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</w:pPr>
      <w:bookmarkStart w:id="0" w:name="_Toc25225_WPSOffice_Level1"/>
      <w:bookmarkStart w:id="1" w:name="_Toc13991_WPSOffice_Level1"/>
      <w:bookmarkStart w:id="2" w:name="_Toc23138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园区组建服务专班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量化指标评分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表</w:t>
      </w:r>
    </w:p>
    <w:p>
      <w:pPr>
        <w:pStyle w:val="3"/>
      </w:pP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00"/>
        <w:gridCol w:w="1528"/>
        <w:gridCol w:w="924"/>
        <w:gridCol w:w="470"/>
        <w:gridCol w:w="145"/>
        <w:gridCol w:w="1051"/>
        <w:gridCol w:w="152"/>
        <w:gridCol w:w="58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eastAsia="zh-CN"/>
              </w:rPr>
              <w:t>光明区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园区组建服务专班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Hans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评估周期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34" w:hanging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申报材料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报送时间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释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义</w:t>
            </w:r>
          </w:p>
        </w:tc>
        <w:tc>
          <w:tcPr>
            <w:tcW w:w="8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根据《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光明区关于打造高品质产业空间 促进优质项目落地若干措施》（深光府规〔2024〕3号）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《光明区关于打造高品质产业空间 促进优质项目发展扶持操作规程》（深光工信〔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，对申领《若干措施》第(十)款园区组建服务专班项目资金补贴的园区进行量化指标评分。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指标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权重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数据采集单位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建立信息采集工作机制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核查园区信息完整真实准确性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0" w:hanging="37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动态填报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园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区基础信息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0" w:hanging="3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提供园区空置房源信息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加分项得分：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总分：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评估规则及计算公式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对各园区自主填报信息进行量化，满分为100分，由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个指标构成，得分计算分为以下步骤：</w:t>
            </w:r>
          </w:p>
          <w:p>
            <w:pPr>
              <w:ind w:firstLine="481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各指标得分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建立信息采集工作机制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（15分）。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建立健全信息采集工作机制；设置招商、统计专班、配备服务专员和对外咨询服务热线，未设立相关机制、专班、服务专员、热线的不得分（10 分）；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使用平台填报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息（5分）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二、核查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园区信息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完整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真实性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园区信息、入驻各企业与平台登记的信息一致（1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房源实际情况与在平台登记房源信息一致（1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（三）平台将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不定期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进行核查，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存在偏差或是虚报信息的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，每查出一项，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扣分1.5分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三、动态填报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信息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动态填报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基础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信息，每年不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于月度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频率，填报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时间为每月结束后第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内容为园区信息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（含运营主体基本信息、入驻企业基本信息、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园区总产值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月度/季度/年度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</w:t>
            </w:r>
          </w:p>
          <w:p>
            <w:pPr>
              <w:ind w:left="34" w:firstLine="4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园区专班服务专员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产业主管部门、属地街道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工作人员完成相关信息的采集工作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采集内容为：园区空间信息、园区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入驻企业信息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等，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在2个工作日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内完成采集，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配合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一次，加分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不超过20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四、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提供园区空置房源信息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基于园区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实际情况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，定期汇总提供园区空置房源信息和相关统计数据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每年不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于月度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频率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，更新时间为每月结束后第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园区空间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空置数量、空置房源信息（包括房源类型、面积、租金等）（10分）；</w:t>
            </w:r>
          </w:p>
          <w:p>
            <w:pPr>
              <w:ind w:left="34" w:firstLine="4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（二）积极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产业主管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(含招商引资)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加分项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园区同比上一年，年度入驻率和营业收入（产值）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为正增长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加2分；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积极配合开展电动自行车入园、文明城市创建、园区综合环境整治等工作，每一项加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评分指标进行计算，将各园区所得分数汇总。建筑面积分别达10万平方米、7万平方米、5万平方米、3万平方米，分别最高可申领10万元、7万元、5万元、3万元奖励，当申报单位园区≥80分，可申领建筑面积对应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；当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申报单位园区80分＞总分≥60分，降一档申领奖励；当申报单位园区＜60分，不可申领奖励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。奖励申领结果以光明区工业和信息化局审核结果为准。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A园区建筑面积5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万平方米，量化指标评分表得分65分，可申领奖励3万元；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B园区建筑面积3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万平方米，量化指标评分表得分85分，可申领奖励3万元；</w:t>
            </w:r>
          </w:p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C园区建筑面积3.8万平方米，量化指标评分表得分65分，不可申领奖励。</w:t>
            </w:r>
          </w:p>
        </w:tc>
      </w:tr>
    </w:tbl>
    <w:p>
      <w:pPr>
        <w:rPr>
          <w:rFonts w:hint="default" w:eastAsia="仿宋_GB2312"/>
          <w:sz w:val="24"/>
        </w:rPr>
      </w:pPr>
    </w:p>
    <w:p>
      <w:pPr>
        <w:pStyle w:val="3"/>
        <w:ind w:left="0" w:leftChars="0" w:firstLine="0" w:firstLineChars="0"/>
        <w:rPr>
          <w:rFonts w:hint="default" w:eastAsia="仿宋_GB2312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C4EE"/>
    <w:multiLevelType w:val="singleLevel"/>
    <w:tmpl w:val="DBDEC4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B39D90"/>
    <w:multiLevelType w:val="singleLevel"/>
    <w:tmpl w:val="FFB39D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mM1MmQ2YzA2ZDk3MGMxMzI1OTg3MWI4ZTkxOTkifQ=="/>
  </w:docVars>
  <w:rsids>
    <w:rsidRoot w:val="4A1947CF"/>
    <w:rsid w:val="05E82BC0"/>
    <w:rsid w:val="0D097F0B"/>
    <w:rsid w:val="0EF1400C"/>
    <w:rsid w:val="0F724422"/>
    <w:rsid w:val="11716A16"/>
    <w:rsid w:val="1BD00781"/>
    <w:rsid w:val="1DCC309C"/>
    <w:rsid w:val="1EAA3E12"/>
    <w:rsid w:val="1F264B0E"/>
    <w:rsid w:val="1FE87F35"/>
    <w:rsid w:val="21920158"/>
    <w:rsid w:val="21AC07E9"/>
    <w:rsid w:val="27DDBF66"/>
    <w:rsid w:val="28E45FA6"/>
    <w:rsid w:val="2A3224D8"/>
    <w:rsid w:val="2B1F7D16"/>
    <w:rsid w:val="2D127F2F"/>
    <w:rsid w:val="2F97A25F"/>
    <w:rsid w:val="30467249"/>
    <w:rsid w:val="30CC1916"/>
    <w:rsid w:val="314B2214"/>
    <w:rsid w:val="31D8281D"/>
    <w:rsid w:val="34CC12B0"/>
    <w:rsid w:val="37F2249C"/>
    <w:rsid w:val="396E2E01"/>
    <w:rsid w:val="3C3851C3"/>
    <w:rsid w:val="3EF44842"/>
    <w:rsid w:val="3FF21018"/>
    <w:rsid w:val="40220269"/>
    <w:rsid w:val="43482915"/>
    <w:rsid w:val="47084895"/>
    <w:rsid w:val="4A1947CF"/>
    <w:rsid w:val="4BAA5ACF"/>
    <w:rsid w:val="4C0B44E0"/>
    <w:rsid w:val="51837C6F"/>
    <w:rsid w:val="525564B4"/>
    <w:rsid w:val="54E87AB4"/>
    <w:rsid w:val="55BC7D28"/>
    <w:rsid w:val="55FB8387"/>
    <w:rsid w:val="587F072F"/>
    <w:rsid w:val="5EB17740"/>
    <w:rsid w:val="61594B9C"/>
    <w:rsid w:val="63EF99AF"/>
    <w:rsid w:val="655A4F35"/>
    <w:rsid w:val="661A55F3"/>
    <w:rsid w:val="66464181"/>
    <w:rsid w:val="68AC2AC4"/>
    <w:rsid w:val="68F05370"/>
    <w:rsid w:val="6D9B24F8"/>
    <w:rsid w:val="71BB1323"/>
    <w:rsid w:val="74DA4486"/>
    <w:rsid w:val="774F6A80"/>
    <w:rsid w:val="77DFFEE0"/>
    <w:rsid w:val="799C225D"/>
    <w:rsid w:val="79F655A2"/>
    <w:rsid w:val="7BFBF3B4"/>
    <w:rsid w:val="7F5A53F2"/>
    <w:rsid w:val="7F9DBDBF"/>
    <w:rsid w:val="7FBB36F2"/>
    <w:rsid w:val="7FFB20D2"/>
    <w:rsid w:val="7FFFFDC6"/>
    <w:rsid w:val="AFFFFE42"/>
    <w:rsid w:val="BBFD4EE3"/>
    <w:rsid w:val="BBFD9B33"/>
    <w:rsid w:val="BDFB9038"/>
    <w:rsid w:val="CF19572B"/>
    <w:rsid w:val="DF5DD38B"/>
    <w:rsid w:val="DFDB1F72"/>
    <w:rsid w:val="E3BB7FEC"/>
    <w:rsid w:val="EBEED8DE"/>
    <w:rsid w:val="ECDB272D"/>
    <w:rsid w:val="EFF53497"/>
    <w:rsid w:val="EFF72EC2"/>
    <w:rsid w:val="F57DAEDF"/>
    <w:rsid w:val="F731E1E3"/>
    <w:rsid w:val="F9EF59AA"/>
    <w:rsid w:val="FABE4CF1"/>
    <w:rsid w:val="FD9C2C17"/>
    <w:rsid w:val="FDF1D9A2"/>
    <w:rsid w:val="FFD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4" w:lineRule="exact"/>
      <w:ind w:left="40"/>
    </w:pPr>
    <w:rPr>
      <w:rFonts w:hint="eastAsia" w:ascii="Times New Roman" w:hAnsi="Times New Roman" w:eastAsia="宋体" w:cs="Times New Roman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1247</Words>
  <Characters>1283</Characters>
  <Lines>0</Lines>
  <Paragraphs>0</Paragraphs>
  <TotalTime>0</TotalTime>
  <ScaleCrop>false</ScaleCrop>
  <LinksUpToDate>false</LinksUpToDate>
  <CharactersWithSpaces>1293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2018-07-21T07:11:00Z</dcterms:created>
  <dc:creator>d</dc:creator>
  <cp:lastModifiedBy>huawei</cp:lastModifiedBy>
  <cp:lastPrinted>2022-03-26T01:36:00Z</cp:lastPrinted>
  <dcterms:modified xsi:type="dcterms:W3CDTF">2025-08-19T09:20:21Z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0C700651D81143A0B7E3D28E03505A76</vt:lpwstr>
  </property>
</Properties>
</file>