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深圳市科学技术奖标准奖奖励</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4"/>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深圳市光明区人民政府印发《深圳市光明区关于促进质量标准知识产权发展的若干措施》的通知（深光府规〔202前两名</w:t>
      </w:r>
      <w:bookmarkStart w:id="0" w:name="_GoBack"/>
      <w:bookmarkEnd w:id="0"/>
      <w:r>
        <w:rPr>
          <w:rFonts w:hint="eastAsia" w:ascii="仿宋_GB2312" w:eastAsia="仿宋_GB2312" w:cs="宋体"/>
          <w:kern w:val="2"/>
          <w:sz w:val="32"/>
          <w:szCs w:val="32"/>
          <w:highlight w:val="none"/>
        </w:rPr>
        <w:t>3〕13号）</w:t>
      </w:r>
    </w:p>
    <w:p>
      <w:pPr>
        <w:pStyle w:val="4"/>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4"/>
        <w:ind w:firstLine="320" w:firstLineChars="100"/>
        <w:rPr>
          <w:rFonts w:hint="default" w:ascii="仿宋_GB2312" w:eastAsia="仿宋_GB2312" w:cs="宋体"/>
          <w:kern w:val="2"/>
          <w:sz w:val="32"/>
          <w:szCs w:val="32"/>
          <w:highlight w:val="none"/>
          <w:lang w:val="en-US" w:eastAsia="zh-CN"/>
        </w:rPr>
      </w:pPr>
      <w:r>
        <w:rPr>
          <w:rFonts w:hint="eastAsia" w:ascii="仿宋_GB2312" w:hAnsi="宋体" w:eastAsia="黑体"/>
          <w:bCs/>
          <w:kern w:val="44"/>
          <w:sz w:val="32"/>
          <w:szCs w:val="44"/>
          <w:lang w:val="en-US" w:eastAsia="zh-CN"/>
        </w:rPr>
        <w:t>二、深圳市科学技术奖标准奖奖励</w:t>
      </w:r>
      <w:r>
        <w:rPr>
          <w:rFonts w:hint="eastAsia" w:ascii="仿宋_GB2312" w:eastAsia="黑体"/>
          <w:bCs/>
          <w:kern w:val="44"/>
          <w:sz w:val="32"/>
          <w:szCs w:val="44"/>
          <w:lang w:val="en-US" w:eastAsia="zh-CN"/>
        </w:rPr>
        <w:t>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支持标准化试点示范。对获得深圳市科学技术奖标准奖的单位,按项目给予最高 20万元奖励。（《若干措施》第二条第五项）</w:t>
      </w:r>
    </w:p>
    <w:p>
      <w:pPr>
        <w:pStyle w:val="4"/>
        <w:ind w:left="0" w:leftChars="0"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lang w:val="en-US"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六</w:t>
      </w:r>
      <w:r>
        <w:rPr>
          <w:rFonts w:hint="eastAsia" w:ascii="仿宋_GB2312" w:hAnsi="楷体_GB2312" w:eastAsia="仿宋_GB2312" w:cs="楷体_GB2312"/>
          <w:b w:val="0"/>
          <w:bCs w:val="0"/>
          <w:lang w:val="en-US"/>
        </w:rPr>
        <w:t>）</w:t>
      </w:r>
      <w:r>
        <w:rPr>
          <w:rFonts w:hint="eastAsia" w:eastAsia="仿宋_GB2312"/>
          <w:sz w:val="32"/>
          <w:szCs w:val="32"/>
        </w:rPr>
        <w:t>上一年获得深圳市科学技术奖（标准奖）的单位。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lang w:val="en-US" w:eastAsia="zh-CN"/>
        </w:rPr>
        <w:t>深圳市财政专项资金统一管理平台</w:t>
      </w:r>
      <w:r>
        <w:rPr>
          <w:rFonts w:hint="eastAsia" w:ascii="仿宋_GB2312" w:hAnsi="楷体_GB2312" w:eastAsia="仿宋_GB2312" w:cs="楷体_GB2312"/>
          <w:sz w:val="32"/>
          <w:szCs w:val="32"/>
        </w:rPr>
        <w:t>在线填报申请书，网址：https:/</w:t>
      </w:r>
      <w:r>
        <w:rPr>
          <w:rFonts w:hint="eastAsia" w:ascii="仿宋_GB2312" w:hAnsi="楷体_GB2312" w:eastAsia="仿宋_GB2312" w:cs="楷体_GB2312"/>
          <w:sz w:val="32"/>
          <w:szCs w:val="32"/>
          <w:highlight w:val="none"/>
        </w:rPr>
        <w:t>/cqt.szfb.sz.gov.cn/#/home</w:t>
      </w:r>
      <w:r>
        <w:rPr>
          <w:rFonts w:hint="eastAsia" w:ascii="仿宋_GB2312" w:hAnsi="楷体_GB2312" w:eastAsia="仿宋_GB2312" w:cs="楷体_GB2312"/>
          <w:sz w:val="32"/>
          <w:szCs w:val="32"/>
          <w:highlight w:val="none"/>
          <w:lang w:val="en-US" w:eastAsia="zh-CN"/>
        </w:rPr>
        <w:t xml:space="preserve"> </w:t>
      </w:r>
      <w:r>
        <w:rPr>
          <w:rFonts w:hint="eastAsia" w:ascii="仿宋_GB2312" w:hAnsi="楷体_GB2312" w:eastAsia="仿宋_GB2312" w:cs="楷体_GB2312"/>
          <w:sz w:val="32"/>
          <w:szCs w:val="32"/>
          <w:highlight w:val="none"/>
        </w:rPr>
        <w:t>。请企业按</w:t>
      </w:r>
      <w:r>
        <w:rPr>
          <w:rFonts w:hint="eastAsia" w:ascii="仿宋_GB2312" w:hAnsi="楷体_GB2312" w:eastAsia="仿宋_GB2312" w:cs="楷体_GB2312"/>
          <w:sz w:val="32"/>
          <w:szCs w:val="32"/>
        </w:rPr>
        <w:t>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提交获奖标准文本</w:t>
      </w:r>
      <w:r>
        <w:rPr>
          <w:rFonts w:hint="eastAsia" w:eastAsia="仿宋_GB2312"/>
          <w:spacing w:val="-6"/>
          <w:sz w:val="32"/>
          <w:szCs w:val="32"/>
          <w:highlight w:val="none"/>
          <w:lang w:eastAsia="zh-CN"/>
        </w:rPr>
        <w:t>、以及</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default" w:ascii="仿宋_GB2312" w:hAnsi="楷体_GB2312" w:eastAsia="仿宋_GB2312" w:cs="楷体_GB2312"/>
          <w:sz w:val="32"/>
          <w:szCs w:val="32"/>
          <w:highlight w:val="none"/>
          <w:lang w:val="en-US"/>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800" w:firstLineChars="25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pStyle w:val="4"/>
      </w:pPr>
    </w:p>
    <w:p>
      <w:pPr>
        <w:kinsoku w:val="0"/>
        <w:overflowPunct w:val="0"/>
        <w:autoSpaceDE w:val="0"/>
        <w:autoSpaceDN w:val="0"/>
        <w:spacing w:line="560" w:lineRule="exact"/>
        <w:ind w:firstLine="640" w:firstLineChars="200"/>
        <w:rPr>
          <w:rFonts w:hint="default" w:ascii="仿宋_GB2312" w:hAnsi="楷体_GB2312" w:eastAsia="仿宋_GB2312" w:cs="楷体_GB2312"/>
          <w:sz w:val="32"/>
          <w:szCs w:val="32"/>
          <w:lang w:val="en-US"/>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1683990"/>
    <w:rsid w:val="228914BF"/>
    <w:rsid w:val="232C6AF6"/>
    <w:rsid w:val="236F1C12"/>
    <w:rsid w:val="25C150D2"/>
    <w:rsid w:val="2623574F"/>
    <w:rsid w:val="27E2526A"/>
    <w:rsid w:val="292A1B95"/>
    <w:rsid w:val="2A181124"/>
    <w:rsid w:val="2A297180"/>
    <w:rsid w:val="2C0529E2"/>
    <w:rsid w:val="2CF4321F"/>
    <w:rsid w:val="2D7367B0"/>
    <w:rsid w:val="2ED605FF"/>
    <w:rsid w:val="2FB71E20"/>
    <w:rsid w:val="2FFF1BE5"/>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81A50AA"/>
    <w:rsid w:val="791F62B5"/>
    <w:rsid w:val="7991214A"/>
    <w:rsid w:val="79C1030D"/>
    <w:rsid w:val="7A3E2CEF"/>
    <w:rsid w:val="7B697A29"/>
    <w:rsid w:val="7E634C51"/>
    <w:rsid w:val="7E7F5C8B"/>
    <w:rsid w:val="7F565502"/>
    <w:rsid w:val="7F6D6098"/>
    <w:rsid w:val="7F776E24"/>
    <w:rsid w:val="7FF833F1"/>
    <w:rsid w:val="96BB7ECF"/>
    <w:rsid w:val="DE8E0C06"/>
    <w:rsid w:val="EF2F0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Body Text"/>
    <w:basedOn w:val="1"/>
    <w:qFormat/>
    <w:uiPriority w:val="1"/>
    <w:pPr>
      <w:ind w:left="106"/>
    </w:pPr>
    <w:rPr>
      <w:rFonts w:ascii="宋体" w:hAnsi="宋体" w:cs="宋体"/>
      <w:sz w:val="32"/>
      <w:szCs w:val="32"/>
      <w:lang w:val="zh-CN" w:bidi="zh-CN"/>
    </w:r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3"/>
    <w:next w:val="3"/>
    <w:link w:val="18"/>
    <w:unhideWhenUsed/>
    <w:qFormat/>
    <w:uiPriority w:val="99"/>
    <w:rPr>
      <w:b/>
      <w:bCs/>
    </w:rPr>
  </w:style>
  <w:style w:type="paragraph" w:styleId="10">
    <w:name w:val="Body Text First Indent"/>
    <w:basedOn w:val="4"/>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3"/>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1</TotalTime>
  <ScaleCrop>false</ScaleCrop>
  <LinksUpToDate>false</LinksUpToDate>
  <CharactersWithSpaces>4631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2021-05-25T08:16:00Z</dcterms:created>
  <dc:creator>740095076@qq.com</dc:creator>
  <cp:lastModifiedBy>zhouqq5</cp:lastModifiedBy>
  <cp:lastPrinted>2022-10-12T01:54:00Z</cp:lastPrinted>
  <dcterms:modified xsi:type="dcterms:W3CDTF">2025-09-29T11:02:11Z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12049CBF003D4C9F8EF8EF56A92DE217</vt:lpwstr>
  </property>
</Properties>
</file>