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7611">
      <w:pPr>
        <w:overflowPunct w:val="0"/>
        <w:spacing w:line="560" w:lineRule="exact"/>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深圳市光明区摊贩经营场所划定和管理办法（试行）</w:t>
      </w:r>
    </w:p>
    <w:p w14:paraId="5D8FF85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sz w:val="32"/>
          <w:szCs w:val="32"/>
          <w:lang w:val="en-US" w:eastAsia="zh-CN"/>
        </w:rPr>
        <w:t>（征求意见稿）</w:t>
      </w:r>
    </w:p>
    <w:p w14:paraId="60981E55">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14:paraId="578FE66F">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第一章 总则</w:t>
      </w:r>
    </w:p>
    <w:p w14:paraId="531EE8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第一条【目的和依据】  为规范光明区摊贩经营场所划定和管理，根据《广东省食品生产加工小作坊和食品摊贩管理条例》《深圳经济特区市容和环境卫生管理条例》等有关规定，结合光明区实际，制定本办法。</w:t>
      </w:r>
    </w:p>
    <w:p w14:paraId="1867E3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第二条【基本原则】  坚持堵与疏、法治与自治、有序与活力相结合的原则，规范实施摊贩经营场所划定和管理工作，充分发挥基层治理优势，探索建立市容秩序管理融入基层社区治理的新机制、新模式。</w:t>
      </w:r>
    </w:p>
    <w:p w14:paraId="4C9903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第三条【适用范围】  本办法所称的摊贩经营场所是指街道办事处根据方便群众、布局合理、监管有序原则，统一划定和管理的集中区域。</w:t>
      </w:r>
    </w:p>
    <w:p w14:paraId="2F374A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第四条【公益原则】 摊贩经营场所的划定和管理应当体现公益性，可根据场所用地权属，引导相关市容和环境卫生作业服务企业或用地权属单位等作为运维主体开展日常运维工作。日常运维不得以营利为目的。</w:t>
      </w:r>
    </w:p>
    <w:p w14:paraId="238474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029624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第五条【部门职责】  街道办事处和各相关部门按照各自职责，依法履行对摊贩经营场所的行政监督检查职责。</w:t>
      </w:r>
    </w:p>
    <w:p w14:paraId="325DA8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街道办事处负责统筹管理摊贩经营场所，负责食品摊贩登记工作，并将登记的食品摊贩信息告知市场监督管理部门，指导社区工作站具体实施摊贩经营场所划定和管理工作。</w:t>
      </w:r>
    </w:p>
    <w:p w14:paraId="6BD0EE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区城管和综合执法局负责摊贩经营场所划定和管理工作的日常指导、协调和监督，强化部门联动，根据工作需要召开专题会议，并负责市容管理、绿化环卫监管工作；</w:t>
      </w:r>
    </w:p>
    <w:p w14:paraId="1B47B0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光明公安分局负责治安秩序监管工作；</w:t>
      </w:r>
    </w:p>
    <w:p w14:paraId="4AA3CE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市公安局交通管理支队光明大队负责周边道路交通违法行为的查处及道路交通安全秩序的维护工作；</w:t>
      </w:r>
    </w:p>
    <w:p w14:paraId="3B861C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光明消防救援大队负责消防安全监管工作；</w:t>
      </w:r>
    </w:p>
    <w:p w14:paraId="62FAB1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市市场监督管理局光明监管局负责食品安全、广告宣传、知识产权的监管等工作；</w:t>
      </w:r>
    </w:p>
    <w:p w14:paraId="669C73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区卫生健康局、区住房建设局、区应急管理局、区商务局、区文化广电旅游体育局、市生态环境局光明管理局等其他部门依职责开展相关监管、指导工作。</w:t>
      </w:r>
    </w:p>
    <w:p w14:paraId="30BD0F65">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第二章</w:t>
      </w:r>
      <w:r>
        <w:rPr>
          <w:rFonts w:hint="default"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val="en-US" w:eastAsia="zh-CN"/>
        </w:rPr>
        <w:t>场所划定</w:t>
      </w:r>
    </w:p>
    <w:p w14:paraId="5E4E834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w:t>
      </w:r>
      <w:r>
        <w:rPr>
          <w:rFonts w:hint="eastAsia" w:ascii="黑体" w:hAnsi="黑体" w:eastAsia="黑体" w:cs="黑体"/>
          <w:color w:val="auto"/>
          <w:sz w:val="32"/>
          <w:szCs w:val="32"/>
          <w:highlight w:val="none"/>
          <w:lang w:val="en-US" w:eastAsia="zh-CN"/>
        </w:rPr>
        <w:t>【划定程序】</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由街道办事处指导社区居委会提出划定意向，经过现场调研、征求意见、综合评估后形成初步方案，提交社区居民议事会充分议事协商后确定正式方案，经公示无异议后报街道办事处审定，并由街道办事处对外发布，同时抄送区城管和综合执法局、市市场监督管理局光明管理局、区住房建设局。</w:t>
      </w:r>
    </w:p>
    <w:p w14:paraId="2B5E4E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w:t>
      </w:r>
      <w:r>
        <w:rPr>
          <w:rFonts w:hint="eastAsia" w:ascii="黑体" w:hAnsi="黑体" w:eastAsia="黑体" w:cs="黑体"/>
          <w:color w:val="auto"/>
          <w:sz w:val="32"/>
          <w:szCs w:val="32"/>
          <w:highlight w:val="none"/>
          <w:lang w:val="en-US" w:eastAsia="zh-CN"/>
        </w:rPr>
        <w:t>【划定意向】</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社区居委会结合辖区占道摆卖和区域生活商业配套情况，对辖区内摊贩经营现状进行摸底调查，了解摊贩数量、经营种类、分布区域、经营时间等信息，有划定意向的，报街道办事处。</w:t>
      </w:r>
    </w:p>
    <w:p w14:paraId="4C1AA1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w:t>
      </w:r>
      <w:r>
        <w:rPr>
          <w:rFonts w:hint="eastAsia" w:ascii="黑体" w:hAnsi="黑体" w:eastAsia="黑体" w:cs="黑体"/>
          <w:color w:val="auto"/>
          <w:sz w:val="32"/>
          <w:szCs w:val="32"/>
          <w:highlight w:val="none"/>
          <w:lang w:val="en-US" w:eastAsia="zh-CN"/>
        </w:rPr>
        <w:t>【现场调研】</w:t>
      </w:r>
      <w:r>
        <w:rPr>
          <w:rFonts w:hint="eastAsia" w:ascii="仿宋_GB2312" w:hAnsi="仿宋_GB2312" w:eastAsia="仿宋_GB2312" w:cs="仿宋_GB2312"/>
          <w:sz w:val="32"/>
          <w:szCs w:val="32"/>
          <w:lang w:val="en-US" w:eastAsia="zh-CN"/>
        </w:rPr>
        <w:t xml:space="preserve"> 社区居委会组织拟划定摊贩经营场所的产权单位、周边的业委会和物业管理处等利益相关方，以及城市管理、市场监管等相关部门代表，对拟选址划定摊贩经营场所的点位开展现场调研，分析研究科学性和合理性。</w:t>
      </w:r>
    </w:p>
    <w:p w14:paraId="54553C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w:t>
      </w:r>
      <w:r>
        <w:rPr>
          <w:rFonts w:hint="eastAsia" w:ascii="黑体" w:hAnsi="黑体" w:eastAsia="黑体" w:cs="黑体"/>
          <w:color w:val="auto"/>
          <w:sz w:val="32"/>
          <w:szCs w:val="32"/>
          <w:highlight w:val="none"/>
          <w:lang w:val="en-US" w:eastAsia="zh-CN"/>
        </w:rPr>
        <w:t>【征求意见】</w:t>
      </w:r>
      <w:r>
        <w:rPr>
          <w:rFonts w:hint="eastAsia" w:ascii="仿宋_GB2312" w:hAnsi="仿宋_GB2312" w:eastAsia="仿宋_GB2312" w:cs="仿宋_GB2312"/>
          <w:sz w:val="32"/>
          <w:szCs w:val="32"/>
          <w:lang w:val="en-US" w:eastAsia="zh-CN"/>
        </w:rPr>
        <w:t xml:space="preserve"> 社区居委会采取征求意见表、业主微信群等“线上+线下”多种方式，对拟划定的摊贩经营场所广泛征求周边商户、居民的意见建议。对提出的反对意见，做好解释说明；对可行性意见建议，予以研究采纳。</w:t>
      </w:r>
    </w:p>
    <w:p w14:paraId="381368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w:t>
      </w:r>
      <w:r>
        <w:rPr>
          <w:rFonts w:hint="eastAsia" w:ascii="黑体" w:hAnsi="黑体" w:eastAsia="黑体" w:cs="黑体"/>
          <w:color w:val="auto"/>
          <w:sz w:val="32"/>
          <w:szCs w:val="32"/>
          <w:highlight w:val="none"/>
          <w:lang w:val="en-US" w:eastAsia="zh-CN"/>
        </w:rPr>
        <w:t>【综合评估】</w:t>
      </w:r>
      <w:r>
        <w:rPr>
          <w:rFonts w:hint="eastAsia" w:ascii="仿宋_GB2312" w:hAnsi="仿宋_GB2312" w:eastAsia="仿宋_GB2312" w:cs="仿宋_GB2312"/>
          <w:sz w:val="32"/>
          <w:szCs w:val="32"/>
          <w:lang w:val="en-US" w:eastAsia="zh-CN"/>
        </w:rPr>
        <w:t xml:space="preserve"> 社区居委会结合现场调研和征求意见情况，综合评估划定摊贩经营场所的必要性和可行性，确定划定的，制定摊贩经营场所划定和管理初步方案。</w:t>
      </w:r>
    </w:p>
    <w:p w14:paraId="6AE348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w:t>
      </w:r>
      <w:r>
        <w:rPr>
          <w:rFonts w:hint="eastAsia" w:ascii="黑体" w:hAnsi="黑体" w:eastAsia="黑体" w:cs="黑体"/>
          <w:color w:val="auto"/>
          <w:sz w:val="32"/>
          <w:szCs w:val="32"/>
          <w:highlight w:val="none"/>
          <w:lang w:val="en-US" w:eastAsia="zh-CN"/>
        </w:rPr>
        <w:t>【初步方案】</w:t>
      </w:r>
      <w:r>
        <w:rPr>
          <w:rFonts w:hint="eastAsia" w:ascii="仿宋_GB2312" w:hAnsi="仿宋_GB2312" w:eastAsia="仿宋_GB2312" w:cs="仿宋_GB2312"/>
          <w:sz w:val="32"/>
          <w:szCs w:val="32"/>
          <w:lang w:val="en-US" w:eastAsia="zh-CN"/>
        </w:rPr>
        <w:t xml:space="preserve"> 初步方案应包括：</w:t>
      </w:r>
    </w:p>
    <w:p w14:paraId="79B02F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（一）区域范围、场地面积、摊位数量；</w:t>
      </w:r>
    </w:p>
    <w:p w14:paraId="3D12C1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（二）场所设置具体安排和效果图；</w:t>
      </w:r>
    </w:p>
    <w:p w14:paraId="0BBE7F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（三）经营业态、经营时间；</w:t>
      </w:r>
    </w:p>
    <w:p w14:paraId="624F73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（四）摊贩入场、轮候和退出机制；</w:t>
      </w:r>
    </w:p>
    <w:p w14:paraId="2EE7F9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（五）拟定运维主体；</w:t>
      </w:r>
    </w:p>
    <w:p w14:paraId="3885BD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（六）运维管理要求；</w:t>
      </w:r>
    </w:p>
    <w:p w14:paraId="0E7813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（七）涉及费用说明；</w:t>
      </w:r>
    </w:p>
    <w:p w14:paraId="6A190C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（八）其他需要明确的事项。</w:t>
      </w:r>
    </w:p>
    <w:p w14:paraId="72C465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第十二条【划定规范】 摊贩经营场所选址划定应当符合以下要求：</w:t>
      </w:r>
    </w:p>
    <w:p w14:paraId="1F8345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（一）不得选址于规划确定的高速公路、快速路、干线型主干道及两侧、城市主干路及两侧；</w:t>
      </w:r>
    </w:p>
    <w:p w14:paraId="4C59EE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（二）不得距离地铁出入口50米范围内，不得距离幼儿园、中小学校和医院200米范围内；</w:t>
      </w:r>
    </w:p>
    <w:p w14:paraId="6498BD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（三）不得选址火车站、高铁站等重要门户和交通枢纽周边；</w:t>
      </w:r>
    </w:p>
    <w:p w14:paraId="378508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（四）不得破坏行道树及其附属设施，不得影响交通设施；</w:t>
      </w:r>
    </w:p>
    <w:p w14:paraId="612A3D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（五）不得埋压、圈占、遮挡消火栓或者占用防火间距，不得占用、堵塞、封闭疏散通道、安全出口、消防车通道、消防车登高操作场地；</w:t>
      </w:r>
    </w:p>
    <w:p w14:paraId="352199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（六）不得搭建永久性、不可拆卸移动的建（构）筑物和乱拉电线或超负荷用电；</w:t>
      </w:r>
    </w:p>
    <w:p w14:paraId="616333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（七）不得擅自占用人行道、盲道、绿地、公园、公共停车泊位和非机动车停放区域，不得影响行人正常通行；</w:t>
      </w:r>
    </w:p>
    <w:p w14:paraId="0A5441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（八）不得违反其他法律法规规章或规范性文件规定的禁止性行为。</w:t>
      </w:r>
    </w:p>
    <w:p w14:paraId="47EB2C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w:t>
      </w:r>
      <w:r>
        <w:rPr>
          <w:rFonts w:hint="eastAsia" w:ascii="黑体" w:hAnsi="黑体" w:eastAsia="黑体" w:cs="黑体"/>
          <w:color w:val="auto"/>
          <w:sz w:val="32"/>
          <w:szCs w:val="32"/>
          <w:highlight w:val="none"/>
          <w:lang w:val="en-US" w:eastAsia="zh-CN"/>
        </w:rPr>
        <w:t>【正式方案】</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社区居委会组织召开社区居民议事会协商讨论初步方案，经表决通过后形成正式方案。</w:t>
      </w:r>
    </w:p>
    <w:p w14:paraId="005BCA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社区居委会应在辖区显要位置将正式方案进行公示，公示期不少于5个工作日。公示期间有异议的，社区居委会应组织相关部门进行核实处理，并根据核实处理结果对正式方案进行优化调整；</w:t>
      </w:r>
    </w:p>
    <w:p w14:paraId="55796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w:t>
      </w:r>
      <w:r>
        <w:rPr>
          <w:rFonts w:hint="eastAsia" w:ascii="黑体" w:hAnsi="黑体" w:eastAsia="黑体" w:cs="黑体"/>
          <w:color w:val="auto"/>
          <w:sz w:val="32"/>
          <w:szCs w:val="32"/>
          <w:highlight w:val="none"/>
          <w:lang w:val="en-US" w:eastAsia="zh-CN"/>
        </w:rPr>
        <w:t>【审定发布】</w:t>
      </w:r>
      <w:r>
        <w:rPr>
          <w:rFonts w:hint="eastAsia" w:ascii="仿宋_GB2312" w:hAnsi="仿宋_GB2312" w:eastAsia="仿宋_GB2312" w:cs="仿宋_GB2312"/>
          <w:sz w:val="32"/>
          <w:szCs w:val="32"/>
          <w:lang w:val="en-US" w:eastAsia="zh-CN"/>
        </w:rPr>
        <w:t>公示期满无异议的，社区居委会将正式方案报街道办事处审定后，由街道办事处对外发布，同时抄送区城管和综合执法局、市市场监督管理局光明管理局、区住房建设局。</w:t>
      </w:r>
    </w:p>
    <w:p w14:paraId="44B4DA97">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第三章</w:t>
      </w:r>
      <w:r>
        <w:rPr>
          <w:rFonts w:hint="default"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val="en-US" w:eastAsia="zh-CN"/>
        </w:rPr>
        <w:t>场所管理</w:t>
      </w:r>
    </w:p>
    <w:p w14:paraId="126F2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第十五条</w:t>
      </w:r>
      <w:r>
        <w:rPr>
          <w:rFonts w:hint="eastAsia" w:ascii="黑体" w:hAnsi="黑体" w:eastAsia="黑体" w:cs="黑体"/>
          <w:color w:val="auto"/>
          <w:sz w:val="32"/>
          <w:szCs w:val="32"/>
          <w:highlight w:val="none"/>
          <w:lang w:val="en-US" w:eastAsia="zh-CN"/>
        </w:rPr>
        <w:t>【场所布置】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街道办事处负责按照正式方案，统筹安排摊贩经营场所的布置，</w:t>
      </w:r>
      <w:r>
        <w:rPr>
          <w:rFonts w:hint="eastAsia" w:ascii="仿宋_GB2312" w:hAnsi="仿宋_GB2312" w:eastAsia="仿宋_GB2312" w:cs="仿宋_GB2312"/>
          <w:color w:val="auto"/>
          <w:sz w:val="32"/>
          <w:szCs w:val="32"/>
          <w:highlight w:val="none"/>
          <w:u w:val="none"/>
          <w:lang w:val="en-US" w:eastAsia="zh-CN"/>
        </w:rPr>
        <w:t>按需设置区域围栏、分类分区标识标牌、信息公开栏等，配备消防器材、垃圾桶、遮阳棚等基础设施，并在区域内设置相应便民告示。告示内容包括经营区域范围、运营期限、经营业态、经营时段、运维主体、监督投诉电话等信息。</w:t>
      </w:r>
    </w:p>
    <w:p w14:paraId="5AA0924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w:t>
      </w:r>
      <w:r>
        <w:rPr>
          <w:rFonts w:hint="eastAsia" w:ascii="黑体" w:hAnsi="黑体" w:eastAsia="黑体" w:cs="黑体"/>
          <w:color w:val="auto"/>
          <w:sz w:val="32"/>
          <w:szCs w:val="32"/>
          <w:highlight w:val="none"/>
          <w:lang w:val="en-US" w:eastAsia="zh-CN"/>
        </w:rPr>
        <w:t>【摊位申请】</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根据正式方案中的摊贩入场机制，确定可入场摊贩。入场摊贩需与运维主体签订责任书后方可入场经营。</w:t>
      </w:r>
    </w:p>
    <w:p w14:paraId="576053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w:t>
      </w:r>
      <w:r>
        <w:rPr>
          <w:rFonts w:hint="eastAsia" w:ascii="黑体" w:hAnsi="黑体" w:eastAsia="黑体" w:cs="黑体"/>
          <w:color w:val="auto"/>
          <w:sz w:val="32"/>
          <w:szCs w:val="32"/>
          <w:highlight w:val="none"/>
          <w:lang w:val="en-US" w:eastAsia="zh-CN"/>
        </w:rPr>
        <w:t>【主体责任】</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运维主体应与街道办事处、社区居委会签订三方责任书，建立日常管理制度，按照街道办事处和相关部门要求，落实场所环境卫生、消防安全、食品安全等日常检查和管理。</w:t>
      </w:r>
    </w:p>
    <w:p w14:paraId="19E435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w:t>
      </w:r>
      <w:r>
        <w:rPr>
          <w:rFonts w:hint="eastAsia" w:ascii="黑体" w:hAnsi="黑体" w:eastAsia="黑体" w:cs="黑体"/>
          <w:color w:val="auto"/>
          <w:kern w:val="0"/>
          <w:sz w:val="32"/>
          <w:szCs w:val="32"/>
          <w:highlight w:val="none"/>
          <w:shd w:val="clear" w:color="auto" w:fill="FFFFFF"/>
          <w:lang w:val="en-US" w:eastAsia="zh-CN" w:bidi="ar-SA"/>
        </w:rPr>
        <w:t>【摊贩自治】</w:t>
      </w:r>
      <w:r>
        <w:rPr>
          <w:rFonts w:hint="eastAsia" w:ascii="仿宋_GB2312" w:hAnsi="仿宋_GB2312" w:eastAsia="仿宋_GB2312" w:cs="仿宋_GB2312"/>
          <w:sz w:val="32"/>
          <w:szCs w:val="32"/>
          <w:lang w:val="en-US" w:eastAsia="zh-CN"/>
        </w:rPr>
        <w:t xml:space="preserve"> 确定入场摊贩后，街道办事处应充分发挥社区居民自治优势，倡导摊贩经营自我管理、自我服务、自我教育、自我监督，引导成立摊贩自治组织，制定自治公约，加强交流协商，逐步实现摊贩经营场所自治自律。</w:t>
      </w:r>
    </w:p>
    <w:p w14:paraId="3F928D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w:t>
      </w:r>
      <w:r>
        <w:rPr>
          <w:rFonts w:hint="eastAsia" w:ascii="黑体" w:hAnsi="黑体" w:eastAsia="黑体" w:cs="黑体"/>
          <w:color w:val="auto"/>
          <w:kern w:val="0"/>
          <w:sz w:val="32"/>
          <w:szCs w:val="32"/>
          <w:highlight w:val="none"/>
          <w:shd w:val="clear" w:color="auto" w:fill="FFFFFF"/>
          <w:lang w:val="en-US" w:eastAsia="zh-CN" w:bidi="ar-SA"/>
        </w:rPr>
        <w:t>【社会监督】</w:t>
      </w:r>
      <w:r>
        <w:rPr>
          <w:rFonts w:hint="eastAsia" w:ascii="仿宋_GB2312" w:hAnsi="仿宋_GB2312" w:eastAsia="仿宋_GB2312" w:cs="仿宋_GB2312"/>
          <w:sz w:val="32"/>
          <w:szCs w:val="32"/>
          <w:lang w:val="en-US" w:eastAsia="zh-CN"/>
        </w:rPr>
        <w:t xml:space="preserve"> 摊贩经营场所划定和管理应坚持公开透明原则，自觉接受社会监督，畅通监督渠道，广泛听取“两代表一委员”、市民群众和新闻媒体的意见建议。</w:t>
      </w:r>
    </w:p>
    <w:p w14:paraId="7B27CA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w:t>
      </w:r>
      <w:r>
        <w:rPr>
          <w:rFonts w:hint="eastAsia" w:ascii="黑体" w:hAnsi="黑体" w:eastAsia="黑体" w:cs="黑体"/>
          <w:color w:val="auto"/>
          <w:sz w:val="32"/>
          <w:szCs w:val="32"/>
          <w:highlight w:val="none"/>
          <w:lang w:val="en-US" w:eastAsia="zh-CN"/>
        </w:rPr>
        <w:t>【定期评估】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街道办事处应当每年对摊贩经营场所的经营秩序、环境卫生、居民满意度等方面进行评估，评估未达标且整改不到位的，应予以取消。</w:t>
      </w:r>
    </w:p>
    <w:p w14:paraId="49723B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w:t>
      </w:r>
      <w:r>
        <w:rPr>
          <w:rFonts w:hint="eastAsia" w:ascii="黑体" w:hAnsi="黑体" w:eastAsia="黑体" w:cs="黑体"/>
          <w:color w:val="auto"/>
          <w:kern w:val="0"/>
          <w:sz w:val="32"/>
          <w:szCs w:val="32"/>
          <w:highlight w:val="none"/>
          <w:shd w:val="clear" w:color="auto" w:fill="FFFFFF"/>
          <w:lang w:val="en-US" w:eastAsia="zh-CN" w:bidi="ar-SA"/>
        </w:rPr>
        <w:t>【摊贩义务】</w:t>
      </w:r>
      <w:r>
        <w:rPr>
          <w:rFonts w:hint="eastAsia" w:ascii="仿宋_GB2312" w:hAnsi="仿宋_GB2312" w:eastAsia="仿宋_GB2312" w:cs="仿宋_GB2312"/>
          <w:sz w:val="32"/>
          <w:szCs w:val="32"/>
          <w:lang w:val="en-US" w:eastAsia="zh-CN"/>
        </w:rPr>
        <w:t xml:space="preserve"> 入场经营摊贩应当遵守以下规范：</w:t>
      </w:r>
    </w:p>
    <w:p w14:paraId="7B6138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（一）须遵守相关法律法规及场所管理制度，服从管理、合法经营、安全有序、文明和谐；</w:t>
      </w:r>
    </w:p>
    <w:p w14:paraId="39C402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（二）应由本人经营，不得转让、出租、出借摊位；</w:t>
      </w:r>
    </w:p>
    <w:p w14:paraId="66D7A2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（三）在场所内从事生产经营活动、销售产品、食品，应按照法律法规相关规定实施，保证生产经营活动合法有序，销售的产品、食品应安全、卫生、无毒、无害；</w:t>
      </w:r>
    </w:p>
    <w:p w14:paraId="4183BA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（四）在规定摊位、规定时间内挂牌经营，不得随意更换经营地点，不得超出经营范围；</w:t>
      </w:r>
    </w:p>
    <w:p w14:paraId="5E76FC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保持市容环境卫生整洁，提倡使用清洁环保安全能源，产生油烟的须降低或者消除对周边环境的影响。严禁使用存在较大风险的生产工具，严禁高音宣传，不得产生异味、光污染以及固体废弃物等污染源影响周围环境及干扰他人正常生活；</w:t>
      </w:r>
    </w:p>
    <w:p w14:paraId="442855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（六）因城市规划调整、城市管理、交通管理、重大活动安全保障等需要对划定摊贩经营区域进行调整的，应当及时清理占用现场并恢复原状。</w:t>
      </w:r>
    </w:p>
    <w:p w14:paraId="2FB5F1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w:t>
      </w:r>
      <w:r>
        <w:rPr>
          <w:rFonts w:hint="eastAsia" w:ascii="黑体" w:hAnsi="黑体" w:eastAsia="黑体" w:cs="黑体"/>
          <w:color w:val="auto"/>
          <w:kern w:val="0"/>
          <w:sz w:val="32"/>
          <w:szCs w:val="32"/>
          <w:highlight w:val="none"/>
          <w:shd w:val="clear" w:color="auto" w:fill="FFFFFF"/>
          <w:lang w:val="en-US" w:eastAsia="zh-CN" w:bidi="ar-SA"/>
        </w:rPr>
        <w:t>【责任追究】</w:t>
      </w:r>
      <w:r>
        <w:rPr>
          <w:rFonts w:hint="eastAsia" w:ascii="仿宋_GB2312" w:hAnsi="仿宋_GB2312" w:eastAsia="仿宋_GB2312" w:cs="仿宋_GB2312"/>
          <w:sz w:val="32"/>
          <w:szCs w:val="32"/>
          <w:lang w:val="en-US" w:eastAsia="zh-CN"/>
        </w:rPr>
        <w:t xml:space="preserve"> 摊贩经营场所内不得出现以下行为：</w:t>
      </w:r>
    </w:p>
    <w:p w14:paraId="5DC358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（一）违反食品卫生、消防安全、市容管理等规定；</w:t>
      </w:r>
    </w:p>
    <w:p w14:paraId="0961EA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（二）超出划定经营区域、时间或业态范围经营；</w:t>
      </w:r>
    </w:p>
    <w:p w14:paraId="714DC0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（三）破坏市政、交通设施，占用消防通道；</w:t>
      </w:r>
    </w:p>
    <w:p w14:paraId="4BA6E4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（四）其他违反法律法规或划定和管理规范的行为。</w:t>
      </w:r>
    </w:p>
    <w:p w14:paraId="304703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违反前款规定的，属于入场经营摊贩行为的，由运维主体报社区居委会，社区居委会将线索报相关行政执法部门处置；属于运维主体责任的，由街道办事处或相关部门处置。</w:t>
      </w:r>
    </w:p>
    <w:p w14:paraId="1EDC014D">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第四章</w:t>
      </w:r>
      <w:r>
        <w:rPr>
          <w:rFonts w:hint="default"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val="en-US" w:eastAsia="zh-CN"/>
        </w:rPr>
        <w:t>附则</w:t>
      </w:r>
    </w:p>
    <w:p w14:paraId="081FA5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第二十三条【解释权】</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本办法由区城管和综合执法局负责解释。</w:t>
      </w:r>
    </w:p>
    <w:p w14:paraId="768FF8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【有效期】 本办法自202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日起实施，有效期3年。</w:t>
      </w:r>
    </w:p>
    <w:p w14:paraId="75044C9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41" w:right="1531" w:bottom="2041"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长城大标宋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大标宋体"/>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长城大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3B8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B2F80">
                          <w:pPr>
                            <w:pStyle w:val="6"/>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68</w:t>
                          </w:r>
                          <w:r>
                            <w:rPr>
                              <w:rFonts w:hint="eastAsia" w:ascii="宋体" w:hAnsi="宋体" w:cs="宋体"/>
                              <w:sz w:val="24"/>
                            </w:rPr>
                            <w:fldChar w:fldCharType="end"/>
                          </w:r>
                          <w:r>
                            <w:rPr>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OfI0AgAAZ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n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wvRZ&#10;FjZ6a3mEjvJ4uzwEyJlUjqJ0SqA78YD5S3267Eoc8D/PKerp/2H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jnyNAIAAGcEAAAOAAAAAAAAAAEAIAAAAB8BAABkcnMvZTJvRG9jLnhtbFBL&#10;BQYAAAAABgAGAFkBAADFBQAAAAA=&#10;">
              <v:fill on="f" focussize="0,0"/>
              <v:stroke on="f" weight="0.5pt"/>
              <v:imagedata o:title=""/>
              <o:lock v:ext="edit" aspectratio="f"/>
              <v:textbox inset="0mm,0mm,0mm,0mm" style="mso-fit-shape-to-text:t;">
                <w:txbxContent>
                  <w:p w14:paraId="1CCB2F80">
                    <w:pPr>
                      <w:pStyle w:val="6"/>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68</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7F8227"/>
    <w:rsid w:val="3BD9EDDD"/>
    <w:rsid w:val="3BFD9807"/>
    <w:rsid w:val="63AF3AEE"/>
    <w:rsid w:val="73F72F0E"/>
    <w:rsid w:val="7AB67D2B"/>
    <w:rsid w:val="7C7D89FD"/>
    <w:rsid w:val="7DD4D98D"/>
    <w:rsid w:val="A8BFFC5C"/>
    <w:rsid w:val="D7AF91C1"/>
    <w:rsid w:val="DFFDCFEA"/>
    <w:rsid w:val="E7FF2B81"/>
    <w:rsid w:val="EB7F0F07"/>
    <w:rsid w:val="EFEF3CD3"/>
    <w:rsid w:val="F47F8227"/>
    <w:rsid w:val="F53F4E80"/>
    <w:rsid w:val="FEFF6C00"/>
    <w:rsid w:val="FF79EA76"/>
    <w:rsid w:val="FFB6EC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afterLines="0" w:afterAutospacing="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Times New Roman" w:hAnsi="Times New Roman" w:eastAsia="宋体" w:cs="Times New Roman"/>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before="120" w:after="120" w:line="360" w:lineRule="auto"/>
      <w:ind w:firstLine="480" w:firstLineChars="200"/>
      <w:jc w:val="left"/>
    </w:pPr>
    <w:rPr>
      <w:rFonts w:ascii="Calibri" w:hAnsi="Calibri" w:eastAsia="宋体" w:cs="Times New Roman"/>
      <w:b/>
      <w:bCs/>
      <w:caps/>
      <w:sz w:val="20"/>
      <w:szCs w:val="20"/>
    </w:rPr>
  </w:style>
  <w:style w:type="paragraph" w:styleId="9">
    <w:name w:val="toc 2"/>
    <w:basedOn w:val="1"/>
    <w:next w:val="1"/>
    <w:unhideWhenUsed/>
    <w:qFormat/>
    <w:uiPriority w:val="39"/>
    <w:pPr>
      <w:tabs>
        <w:tab w:val="right" w:leader="dot" w:pos="8222"/>
      </w:tabs>
      <w:spacing w:line="400" w:lineRule="exact"/>
      <w:ind w:left="210" w:firstLine="480" w:firstLineChars="200"/>
      <w:jc w:val="left"/>
    </w:pPr>
    <w:rPr>
      <w:rFonts w:ascii="Calibri" w:hAnsi="Calibri" w:eastAsia="宋体" w:cs="Times New Roman"/>
      <w:smallCaps/>
      <w:sz w:val="24"/>
      <w:szCs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paragraph" w:styleId="12">
    <w:name w:val="Body Text First Indent"/>
    <w:basedOn w:val="3"/>
    <w:unhideWhenUsed/>
    <w:qFormat/>
    <w:uiPriority w:val="99"/>
    <w:pPr>
      <w:widowControl w:val="0"/>
      <w:spacing w:after="120" w:afterLines="0" w:afterAutospacing="0"/>
      <w:ind w:firstLine="664"/>
      <w:jc w:val="both"/>
    </w:pPr>
    <w:rPr>
      <w:rFonts w:ascii="Calibri" w:hAnsi="Calibri" w:eastAsia="宋体" w:cs="Times New Roman"/>
      <w:kern w:val="2"/>
      <w:sz w:val="21"/>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4.正文"/>
    <w:basedOn w:val="1"/>
    <w:link w:val="18"/>
    <w:qFormat/>
    <w:uiPriority w:val="0"/>
    <w:pPr>
      <w:spacing w:line="560" w:lineRule="exact"/>
      <w:ind w:firstLine="640" w:firstLineChars="200"/>
    </w:pPr>
    <w:rPr>
      <w:rFonts w:hint="eastAsia" w:ascii="仿宋_GB2312" w:hAnsi="仿宋_GB2312" w:eastAsia="仿宋_GB2312" w:cs="Times New Roman"/>
      <w:sz w:val="32"/>
      <w:szCs w:val="32"/>
    </w:rPr>
  </w:style>
  <w:style w:type="character" w:customStyle="1" w:styleId="18">
    <w:name w:val="4.正文 Char"/>
    <w:link w:val="17"/>
    <w:qFormat/>
    <w:uiPriority w:val="0"/>
    <w:rPr>
      <w:rFonts w:hint="eastAsia" w:ascii="仿宋_GB2312" w:hAnsi="仿宋_GB2312" w:eastAsia="仿宋_GB2312" w:cs="Times New Roman"/>
      <w:sz w:val="32"/>
      <w:szCs w:val="32"/>
    </w:rPr>
  </w:style>
  <w:style w:type="paragraph" w:customStyle="1" w:styleId="19">
    <w:name w:val="1.标题"/>
    <w:basedOn w:val="1"/>
    <w:qFormat/>
    <w:uiPriority w:val="0"/>
    <w:pPr>
      <w:spacing w:line="560" w:lineRule="exact"/>
      <w:jc w:val="center"/>
      <w:outlineLvl w:val="0"/>
    </w:pPr>
    <w:rPr>
      <w:rFonts w:ascii="方正小标宋_GBK" w:hAnsi="方正小标宋_GBK" w:eastAsia="方正小标宋_GBK" w:cs="方正小标宋_GBK"/>
      <w:sz w:val="44"/>
      <w:szCs w:val="44"/>
    </w:rPr>
  </w:style>
  <w:style w:type="paragraph" w:customStyle="1" w:styleId="20">
    <w:name w:val="3.二级标题"/>
    <w:basedOn w:val="1"/>
    <w:link w:val="21"/>
    <w:qFormat/>
    <w:uiPriority w:val="0"/>
    <w:pPr>
      <w:spacing w:line="560" w:lineRule="exact"/>
      <w:ind w:firstLine="640" w:firstLineChars="200"/>
    </w:pPr>
    <w:rPr>
      <w:rFonts w:hint="eastAsia" w:ascii="楷体_GB2312" w:hAnsi="楷体_GB2312" w:eastAsia="楷体_GB2312" w:cs="楷体_GB2312"/>
      <w:sz w:val="32"/>
      <w:szCs w:val="32"/>
    </w:rPr>
  </w:style>
  <w:style w:type="character" w:customStyle="1" w:styleId="21">
    <w:name w:val="3.二级标题 Char"/>
    <w:link w:val="20"/>
    <w:qFormat/>
    <w:uiPriority w:val="0"/>
    <w:rPr>
      <w:rFonts w:hint="eastAsia" w:ascii="楷体_GB2312" w:hAnsi="楷体_GB2312" w:eastAsia="楷体_GB2312" w:cs="楷体_GB2312"/>
      <w:sz w:val="32"/>
      <w:szCs w:val="32"/>
    </w:rPr>
  </w:style>
  <w:style w:type="paragraph" w:customStyle="1" w:styleId="22">
    <w:name w:val="2.一级标题"/>
    <w:basedOn w:val="1"/>
    <w:link w:val="23"/>
    <w:qFormat/>
    <w:uiPriority w:val="0"/>
    <w:pPr>
      <w:spacing w:line="560" w:lineRule="exact"/>
      <w:ind w:firstLine="640" w:firstLineChars="200"/>
    </w:pPr>
    <w:rPr>
      <w:rFonts w:hint="eastAsia" w:ascii="黑体" w:hAnsi="黑体" w:eastAsia="黑体" w:cs="黑体"/>
      <w:sz w:val="32"/>
      <w:szCs w:val="32"/>
    </w:rPr>
  </w:style>
  <w:style w:type="character" w:customStyle="1" w:styleId="23">
    <w:name w:val="2.一级标题 Char"/>
    <w:link w:val="22"/>
    <w:qFormat/>
    <w:uiPriority w:val="0"/>
    <w:rPr>
      <w:rFonts w:hint="eastAsia" w:ascii="黑体" w:hAnsi="黑体" w:eastAsia="黑体" w:cs="黑体"/>
      <w:sz w:val="32"/>
      <w:szCs w:val="32"/>
    </w:rPr>
  </w:style>
  <w:style w:type="paragraph" w:customStyle="1" w:styleId="24">
    <w:name w:val="5.图片样式"/>
    <w:basedOn w:val="1"/>
    <w:qFormat/>
    <w:uiPriority w:val="0"/>
    <w:pPr>
      <w:spacing w:before="100" w:beforeLines="100" w:after="50" w:afterLines="50"/>
      <w:jc w:val="center"/>
    </w:pPr>
    <w:rPr>
      <w:rFonts w:ascii="汉仪仿宋简" w:hAnsi="汉仪仿宋简" w:eastAsia="汉仪仿宋简" w:cs="Times New Roman"/>
      <w:sz w:val="24"/>
    </w:rPr>
  </w:style>
  <w:style w:type="paragraph" w:customStyle="1" w:styleId="25">
    <w:name w:val="6.图注"/>
    <w:basedOn w:val="1"/>
    <w:qFormat/>
    <w:uiPriority w:val="0"/>
    <w:pPr>
      <w:spacing w:after="50" w:afterLines="50" w:line="360" w:lineRule="exact"/>
      <w:jc w:val="center"/>
    </w:pPr>
    <w:rPr>
      <w:rFonts w:ascii="宋体" w:hAnsi="宋体" w:eastAsia="宋体" w:cs="宋体"/>
      <w:sz w:val="24"/>
    </w:rPr>
  </w:style>
  <w:style w:type="character" w:customStyle="1" w:styleId="26">
    <w:name w:val="默认段落字体1"/>
    <w:semiHidden/>
    <w:qFormat/>
    <w:uiPriority w:val="0"/>
    <w:rPr>
      <w:rFonts w:ascii="Calibri" w:hAnsi="Calibri" w:eastAsia="宋体" w:cs="Times New Roman"/>
      <w:kern w:val="2"/>
      <w:sz w:val="21"/>
      <w:szCs w:val="24"/>
      <w:lang w:val="en-US" w:eastAsia="zh-CN" w:bidi="ar-SA"/>
    </w:rPr>
  </w:style>
  <w:style w:type="paragraph" w:customStyle="1" w:styleId="27">
    <w:name w:val="7.一级标题居中"/>
    <w:basedOn w:val="1"/>
    <w:qFormat/>
    <w:uiPriority w:val="0"/>
    <w:pPr>
      <w:spacing w:before="100" w:beforeLines="100" w:after="100" w:afterLines="100" w:line="560" w:lineRule="exact"/>
      <w:jc w:val="center"/>
    </w:pPr>
    <w:rPr>
      <w:rFonts w:hint="eastAsia" w:ascii="黑体" w:hAnsi="黑体" w:eastAsia="黑体" w:cs="Times New Roman"/>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2025-11-14T19:42:00Z</dcterms:created>
  <dc:creator>付小勇</dc:creator>
  <cp:lastModifiedBy>廖慧莉</cp:lastModifiedBy>
  <cp:lastPrinted>2025-11-14T19:42:00Z</cp:lastPrinted>
  <dcterms:modified xsi:type="dcterms:W3CDTF">2026-02-27T09:34:45Z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ED21F5CE417D4D0B86E12AE837CD3BC5</vt:lpwstr>
  </property>
</Properties>
</file>