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22D6E">
      <w:pPr>
        <w:pStyle w:val="15"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2：</w:t>
      </w:r>
    </w:p>
    <w:p w14:paraId="02F11AA1">
      <w:pPr>
        <w:pStyle w:val="15"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</w:p>
    <w:p w14:paraId="41E66B7A">
      <w:pPr>
        <w:pStyle w:val="15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参与企业承诺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书</w:t>
      </w:r>
    </w:p>
    <w:p w14:paraId="09F24EFA">
      <w:pPr>
        <w:spacing w:line="560" w:lineRule="exact"/>
        <w:jc w:val="center"/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eastAsia="zh-CN"/>
        </w:rPr>
      </w:pPr>
    </w:p>
    <w:p w14:paraId="426BFB51">
      <w:pPr>
        <w:pStyle w:val="11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我司自愿参加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2026年“飞享光明科学城”低空飞行券发放活动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，郑重承诺：</w:t>
      </w:r>
    </w:p>
    <w:p w14:paraId="1592CA14">
      <w:pPr>
        <w:pStyle w:val="17"/>
        <w:adjustRightInd/>
        <w:snapToGrid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</w:t>
      </w:r>
      <w:r>
        <w:rPr>
          <w:rFonts w:ascii="Times New Roman" w:hAnsi="Times New Roman" w:eastAsia="仿宋_GB2312"/>
          <w:color w:val="auto"/>
          <w:szCs w:val="32"/>
          <w:highlight w:val="none"/>
          <w:shd w:val="clear" w:color="auto" w:fill="FFFFFF"/>
        </w:rPr>
        <w:t>续，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未被国家、省、市有关部门纳入严重失信主体名单实施失信惩戒，明确限制申请财政性资金项目，且在惩戒期内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自觉抵制黄牛套利等不合规行为。</w:t>
      </w:r>
      <w:r>
        <w:rPr>
          <w:rFonts w:ascii="Times New Roman" w:hAnsi="Times New Roman" w:eastAsia="仿宋_GB2312"/>
          <w:color w:val="auto"/>
          <w:szCs w:val="32"/>
          <w:highlight w:val="none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highlight w:val="none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shd w:val="clear" w:color="auto" w:fill="FFFFFF"/>
        </w:rPr>
        <w:t>。</w:t>
      </w:r>
    </w:p>
    <w:p w14:paraId="68E4CB29">
      <w:pPr>
        <w:pStyle w:val="16"/>
        <w:adjustRightInd/>
        <w:snapToGrid/>
        <w:spacing w:line="560" w:lineRule="exact"/>
        <w:ind w:firstLine="640" w:firstLineChars="0"/>
        <w:jc w:val="left"/>
        <w:rPr>
          <w:rFonts w:hint="eastAsia" w:ascii="仿宋_GB2312" w:hAnsi="仿宋_GB2312" w:cs="仿宋_GB2312"/>
          <w:highlight w:val="none"/>
        </w:rPr>
      </w:pP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二、</w:t>
      </w:r>
      <w:r>
        <w:rPr>
          <w:rFonts w:hint="eastAsia" w:ascii="仿宋_GB2312" w:hAnsi="仿宋_GB2312" w:cs="仿宋_GB2312"/>
          <w:highlight w:val="none"/>
        </w:rPr>
        <w:t>我</w:t>
      </w:r>
      <w:r>
        <w:rPr>
          <w:rFonts w:hint="eastAsia" w:ascii="仿宋_GB2312" w:hAnsi="仿宋_GB2312" w:cs="仿宋_GB2312"/>
          <w:highlight w:val="none"/>
          <w:lang w:val="en-US" w:eastAsia="zh-CN"/>
        </w:rPr>
        <w:t>司</w:t>
      </w:r>
      <w:r>
        <w:rPr>
          <w:rFonts w:hint="eastAsia" w:ascii="仿宋_GB2312" w:hAnsi="仿宋_GB2312" w:cs="仿宋_GB2312"/>
          <w:highlight w:val="none"/>
        </w:rPr>
        <w:t>承诺所提供的</w:t>
      </w:r>
      <w:r>
        <w:rPr>
          <w:rFonts w:hint="eastAsia" w:ascii="仿宋_GB2312" w:hAnsi="仿宋_GB2312" w:cs="仿宋_GB2312"/>
          <w:highlight w:val="none"/>
          <w:lang w:eastAsia="zh-CN"/>
        </w:rPr>
        <w:t>《</w:t>
      </w:r>
      <w:r>
        <w:rPr>
          <w:rFonts w:hint="eastAsia" w:ascii="仿宋_GB2312" w:hAnsi="仿宋_GB2312" w:cs="仿宋_GB2312"/>
          <w:highlight w:val="none"/>
        </w:rPr>
        <w:t>企业信息采集表</w:t>
      </w:r>
      <w:r>
        <w:rPr>
          <w:rFonts w:hint="eastAsia" w:ascii="仿宋_GB2312" w:hAnsi="仿宋_GB2312" w:cs="仿宋_GB2312"/>
          <w:highlight w:val="none"/>
          <w:lang w:eastAsia="zh-CN"/>
        </w:rPr>
        <w:t>》相关信息均</w:t>
      </w:r>
      <w:r>
        <w:rPr>
          <w:rFonts w:hint="eastAsia" w:ascii="仿宋_GB2312" w:hAnsi="仿宋_GB2312" w:cs="仿宋_GB2312"/>
          <w:highlight w:val="none"/>
        </w:rPr>
        <w:t>为真实、完整、准确，如有任何错误或虚假，我</w:t>
      </w:r>
      <w:r>
        <w:rPr>
          <w:rFonts w:hint="eastAsia" w:ascii="仿宋_GB2312" w:hAnsi="仿宋_GB2312" w:cs="仿宋_GB2312"/>
          <w:highlight w:val="none"/>
          <w:lang w:val="en-US" w:eastAsia="zh-CN"/>
        </w:rPr>
        <w:t>司</w:t>
      </w:r>
      <w:r>
        <w:rPr>
          <w:rFonts w:hint="eastAsia" w:ascii="仿宋_GB2312" w:hAnsi="仿宋_GB2312" w:cs="仿宋_GB2312"/>
          <w:highlight w:val="none"/>
        </w:rPr>
        <w:t>愿承担全部责任。</w:t>
      </w:r>
    </w:p>
    <w:p w14:paraId="18B662E1">
      <w:pPr>
        <w:pStyle w:val="7"/>
        <w:adjustRightInd/>
        <w:snapToGrid/>
        <w:spacing w:line="560" w:lineRule="exact"/>
        <w:ind w:firstLine="640" w:firstLineChars="200"/>
        <w:rPr>
          <w:rFonts w:hint="eastAsia" w:ascii="Times New Roman" w:hAnsi="Times New Roman"/>
          <w:color w:val="auto"/>
          <w:highlight w:val="none"/>
          <w:shd w:val="clear" w:color="auto" w:fill="FFFFFF"/>
        </w:rPr>
      </w:pPr>
      <w:r>
        <w:rPr>
          <w:rFonts w:hint="eastAsia" w:ascii="Times New Roman" w:hAnsi="Times New Roman"/>
          <w:color w:val="auto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按要求为消费者开具发票</w:t>
      </w: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已知悉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按要求开具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发票为申领应收补贴的必要条件，若因发票信息不真实、不完整等导致补贴无法兑现或收回的，自行承担所有责任。</w:t>
      </w:r>
    </w:p>
    <w:p w14:paraId="6A9232C1">
      <w:pPr>
        <w:pStyle w:val="16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四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年“飞享光明科学城”低空飞行券发放活动</w:t>
      </w:r>
      <w:r>
        <w:rPr>
          <w:rFonts w:ascii="Times New Roman" w:hAnsi="Times New Roman"/>
          <w:color w:val="auto"/>
          <w:shd w:val="clear" w:color="auto" w:fill="FFFFFF"/>
        </w:rPr>
        <w:t>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按要求布放活动宣传物料，如海报、宣传屏等。</w:t>
      </w:r>
    </w:p>
    <w:p w14:paraId="5C32BF32">
      <w:pPr>
        <w:pStyle w:val="16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五</w:t>
      </w:r>
      <w:r>
        <w:rPr>
          <w:rFonts w:hint="eastAsia" w:ascii="Times New Roman" w:hAnsi="Times New Roman"/>
          <w:color w:val="auto"/>
          <w:shd w:val="clear" w:color="auto" w:fill="FFFFFF"/>
        </w:rPr>
        <w:t>、配合政府部门委托第三方审计机构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的</w:t>
      </w:r>
      <w:r>
        <w:rPr>
          <w:rFonts w:hint="eastAsia" w:ascii="Times New Roman" w:hAnsi="Times New Roman"/>
          <w:color w:val="auto"/>
          <w:shd w:val="clear" w:color="auto" w:fill="FFFFFF"/>
        </w:rPr>
        <w:t>监督检查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工作</w:t>
      </w:r>
      <w:r>
        <w:rPr>
          <w:rFonts w:ascii="Times New Roman" w:hAnsi="Times New Roman"/>
          <w:color w:val="auto"/>
          <w:shd w:val="clear" w:color="auto" w:fill="FFFFFF"/>
        </w:rPr>
        <w:t>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妥善处理消费者投诉、建议，不推脱责任，不恶意转移矛盾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Times New Roman" w:hAnsi="Times New Roman"/>
          <w:color w:val="auto"/>
          <w:shd w:val="clear" w:color="auto" w:fill="FFFFFF"/>
        </w:rPr>
        <w:t>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304A7D77">
      <w:pPr>
        <w:pStyle w:val="16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六、配合政府部门所委托的第三方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消费券发放服务机构开展相关工作，包括但不限于核销设备安装、系统调试、运营维护等。</w:t>
      </w:r>
    </w:p>
    <w:p w14:paraId="7E007336">
      <w:pPr>
        <w:pStyle w:val="16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</w:t>
      </w:r>
      <w:r>
        <w:rPr>
          <w:rFonts w:hint="eastAsia" w:ascii="Times New Roman" w:hAnsi="Times New Roman"/>
          <w:color w:val="auto"/>
          <w:shd w:val="clear" w:color="auto" w:fill="FFFFFF"/>
        </w:rPr>
        <w:t>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年“飞享光明科学城”低空飞行券发放活动</w:t>
      </w:r>
      <w:r>
        <w:rPr>
          <w:rFonts w:ascii="Times New Roman" w:hAnsi="Times New Roman"/>
          <w:color w:val="auto"/>
          <w:shd w:val="clear" w:color="auto" w:fill="FFFFFF"/>
        </w:rPr>
        <w:t>工作，执行活动规定；严格按照政府部门确定的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低空飞行券</w:t>
      </w:r>
      <w:r>
        <w:rPr>
          <w:rFonts w:ascii="Times New Roman" w:hAnsi="Times New Roman"/>
          <w:color w:val="auto"/>
          <w:shd w:val="clear" w:color="auto" w:fill="FFFFFF"/>
        </w:rPr>
        <w:t>品类、标准和流程开展活动，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保证</w:t>
      </w:r>
      <w:bookmarkStart w:id="0" w:name="_GoBack"/>
      <w:bookmarkEnd w:id="0"/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本次活动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所提供的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产品及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服务未侵犯知识产权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杜绝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乘机哄抬价格、变相涨价，侵吞补贴资金或强制捆绑、搭售等不合规行为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</w:p>
    <w:p w14:paraId="2CCC2E5B">
      <w:pPr>
        <w:pStyle w:val="16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八、承诺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期间相应的企业低空产品不加价，不虚标价格，不变相加价，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val="en-US" w:eastAsia="zh-CN"/>
        </w:rPr>
        <w:t>不捆绑销售，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不以非法手段排斥其他供应商参与竞争，不恶意质疑投诉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val="en-US" w:eastAsia="zh-CN"/>
        </w:rPr>
        <w:t>确保对参与活动的消费者提供优质服务，不增设任何附加条件，满足消费者合法诉求。</w:t>
      </w:r>
    </w:p>
    <w:p w14:paraId="79F0DC4B">
      <w:pPr>
        <w:adjustRightInd/>
        <w:snapToGrid/>
        <w:spacing w:line="560" w:lineRule="exact"/>
        <w:ind w:firstLine="640" w:firstLineChars="200"/>
        <w:rPr>
          <w:rFonts w:ascii="Times New Roman" w:hAnsi="Times New Roman"/>
          <w:color w:val="auto"/>
        </w:rPr>
      </w:pP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虚开发票、虚假交易等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套取骗取补</w:t>
      </w:r>
      <w:r>
        <w:rPr>
          <w:rFonts w:hint="eastAsia" w:ascii="Times New Roman" w:hAnsi="Times New Roman"/>
          <w:color w:val="auto"/>
          <w:shd w:val="clear" w:color="auto" w:fill="FFFFFF"/>
        </w:rPr>
        <w:t>贴。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 w14:paraId="6C667897">
      <w:pPr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承诺不弄虚作假，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严格按照参与活动要求执行，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并加强内部管理，基于现有手段认真防范恶意套取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补贴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、骗取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补贴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的行为。</w:t>
      </w: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 w14:paraId="6FF96814">
      <w:pPr>
        <w:pStyle w:val="16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十一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要求对商品信息进行及时的调整与优化。</w:t>
      </w:r>
    </w:p>
    <w:p w14:paraId="2959D78C">
      <w:pPr>
        <w:pStyle w:val="16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eastAsia="zh-CN"/>
        </w:rPr>
        <w:t>二</w:t>
      </w:r>
      <w:r>
        <w:rPr>
          <w:rFonts w:hint="eastAsia" w:ascii="Times New Roman" w:hAnsi="Times New Roman"/>
          <w:color w:val="auto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按照活动要求，妥善处理消费者个人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隐私</w:t>
      </w:r>
      <w:r>
        <w:rPr>
          <w:rFonts w:hint="eastAsia" w:ascii="Times New Roman" w:hAnsi="Times New Roman"/>
          <w:color w:val="auto"/>
          <w:shd w:val="clear" w:color="auto" w:fill="FFFFFF"/>
        </w:rPr>
        <w:t>信息，报送活动期间本公司总销售额等数据。</w:t>
      </w:r>
    </w:p>
    <w:p w14:paraId="52750AC8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line="560" w:lineRule="exact"/>
        <w:ind w:firstLine="640"/>
        <w:jc w:val="left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十三、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承诺严格履行活动安全告知义务，在售票、预约及活动现场等环节通过显著方式提示低空飞行活动健康风险，明确建议患有冠心病、心脏病、高血压、严重恐高症等不适宜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飞行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活动疾病或特殊体质人群审慎参与。承诺在活动现场配备基础医疗急救设备及专业救护人员，要求参与者在体验前签署健康声明书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，确保活动有序、高效、安全开展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。</w:t>
      </w:r>
    </w:p>
    <w:p w14:paraId="503D6CB4">
      <w:pPr>
        <w:pStyle w:val="16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shd w:val="clear" w:color="auto" w:fill="FFFFFF"/>
          <w:lang w:eastAsia="zh-CN"/>
        </w:rPr>
      </w:pPr>
    </w:p>
    <w:p w14:paraId="5C7E1022">
      <w:pPr>
        <w:pStyle w:val="16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导致</w:t>
      </w:r>
      <w:r>
        <w:rPr>
          <w:rFonts w:ascii="Times New Roman" w:hAnsi="Times New Roman"/>
          <w:color w:val="auto"/>
          <w:shd w:val="clear" w:color="auto" w:fill="FFFFFF"/>
        </w:rPr>
        <w:t>的全部责任和后果。</w:t>
      </w:r>
    </w:p>
    <w:p w14:paraId="0760435F"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5C87A516"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54A875D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 w14:paraId="68E0B7D8">
      <w:pPr>
        <w:spacing w:line="560" w:lineRule="exact"/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4D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06DF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7BB2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7BB2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TViNmNmOGI1YzVjNjVkOTY2ZjcwYmIzOTIxMDAifQ=="/>
  </w:docVars>
  <w:rsids>
    <w:rsidRoot w:val="00000000"/>
    <w:rsid w:val="03B62CD3"/>
    <w:rsid w:val="04842948"/>
    <w:rsid w:val="056728BF"/>
    <w:rsid w:val="05B47348"/>
    <w:rsid w:val="05B50FE2"/>
    <w:rsid w:val="09015F4A"/>
    <w:rsid w:val="109E6573"/>
    <w:rsid w:val="126148B2"/>
    <w:rsid w:val="1A74258C"/>
    <w:rsid w:val="2637064D"/>
    <w:rsid w:val="2FD14514"/>
    <w:rsid w:val="2FFD1D05"/>
    <w:rsid w:val="307C069F"/>
    <w:rsid w:val="342C7F98"/>
    <w:rsid w:val="346440F6"/>
    <w:rsid w:val="34B74467"/>
    <w:rsid w:val="34DDA460"/>
    <w:rsid w:val="35FA412D"/>
    <w:rsid w:val="3A6C436E"/>
    <w:rsid w:val="3A7750E3"/>
    <w:rsid w:val="3D6AECAB"/>
    <w:rsid w:val="3FFF6825"/>
    <w:rsid w:val="421C282B"/>
    <w:rsid w:val="428177B8"/>
    <w:rsid w:val="45806396"/>
    <w:rsid w:val="45D7DC00"/>
    <w:rsid w:val="4CB2079C"/>
    <w:rsid w:val="4F81286D"/>
    <w:rsid w:val="4FF4F79A"/>
    <w:rsid w:val="5649010D"/>
    <w:rsid w:val="5BB735E4"/>
    <w:rsid w:val="613757B5"/>
    <w:rsid w:val="677974C3"/>
    <w:rsid w:val="69891C91"/>
    <w:rsid w:val="6C7F782A"/>
    <w:rsid w:val="6D7B6B88"/>
    <w:rsid w:val="71D243DB"/>
    <w:rsid w:val="730A1149"/>
    <w:rsid w:val="76BF2EAD"/>
    <w:rsid w:val="78BD001D"/>
    <w:rsid w:val="7AB2317D"/>
    <w:rsid w:val="7BF551D4"/>
    <w:rsid w:val="7E174154"/>
    <w:rsid w:val="7EC01282"/>
    <w:rsid w:val="7EFE6B2E"/>
    <w:rsid w:val="7F6F1FBA"/>
    <w:rsid w:val="7F76F8CF"/>
    <w:rsid w:val="7F7E0D96"/>
    <w:rsid w:val="7FCDC75F"/>
    <w:rsid w:val="ADBE33D4"/>
    <w:rsid w:val="B6FA89F6"/>
    <w:rsid w:val="BFFE049D"/>
    <w:rsid w:val="DCF7B8B6"/>
    <w:rsid w:val="EEFFC82A"/>
    <w:rsid w:val="EFEA45A1"/>
    <w:rsid w:val="F1FF12CE"/>
    <w:rsid w:val="F9BFA795"/>
    <w:rsid w:val="F9F9DCB1"/>
    <w:rsid w:val="FB3AFA77"/>
    <w:rsid w:val="FFBEE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jc w:val="center"/>
    </w:pPr>
    <w:rPr>
      <w:rFonts w:ascii="宋体" w:hAnsi="Calibri"/>
      <w:sz w:val="44"/>
    </w:rPr>
  </w:style>
  <w:style w:type="paragraph" w:styleId="6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next w:val="2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5"/>
    <w:next w:val="1"/>
    <w:qFormat/>
    <w:uiPriority w:val="0"/>
    <w:pPr>
      <w:ind w:firstLine="420" w:firstLineChars="100"/>
    </w:pPr>
    <w:rPr>
      <w:rFonts w:ascii="Calibri"/>
    </w:rPr>
  </w:style>
  <w:style w:type="paragraph" w:styleId="11">
    <w:name w:val="Body Text First Indent 2"/>
    <w:basedOn w:val="6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customStyle="1" w:styleId="16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customStyle="1" w:styleId="17">
    <w:name w:val="PlainText"/>
    <w:basedOn w:val="1"/>
    <w:qFormat/>
    <w:uiPriority w:val="0"/>
    <w:pPr>
      <w:textAlignment w:val="baseline"/>
    </w:pPr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2241</Words>
  <Characters>2282</Characters>
  <Lines>0</Lines>
  <Paragraphs>0</Paragraphs>
  <TotalTime>14</TotalTime>
  <ScaleCrop>false</ScaleCrop>
  <LinksUpToDate>false</LinksUpToDate>
  <CharactersWithSpaces>2313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2024-12-22T08:45:00Z</dcterms:created>
  <dc:creator>52815</dc:creator>
  <cp:lastModifiedBy>陈麒宇</cp:lastModifiedBy>
  <cp:lastPrinted>2025-06-27T20:33:00Z</cp:lastPrinted>
  <dcterms:modified xsi:type="dcterms:W3CDTF">2026-03-25T16:18:41Z</dcterms:modified>
  <dc:title>附件4-2：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B7481D4F2E767165EB5873675733DA19</vt:lpwstr>
  </property>
</Properties>
</file>