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5"/>
        <w:tblW w:w="152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888"/>
        <w:gridCol w:w="4740"/>
        <w:gridCol w:w="7708"/>
      </w:tblGrid>
      <w:tr w14:paraId="558AF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211" w:type="dxa"/>
            <w:gridSpan w:val="4"/>
            <w:noWrap w:val="0"/>
            <w:vAlign w:val="top"/>
          </w:tcPr>
          <w:p w14:paraId="4DD40AA2">
            <w:pPr>
              <w:keepNext w:val="0"/>
              <w:keepLines w:val="0"/>
              <w:pageBreakBefore w:val="0"/>
              <w:widowControl w:val="0"/>
              <w:spacing w:line="560" w:lineRule="exact"/>
              <w:ind w:firstLine="643" w:firstLineChars="200"/>
              <w:jc w:val="center"/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2"/>
                <w:szCs w:val="32"/>
              </w:rPr>
              <w:t>听证意见汇总表</w:t>
            </w:r>
          </w:p>
        </w:tc>
      </w:tr>
      <w:tr w14:paraId="50A39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875" w:type="dxa"/>
            <w:noWrap w:val="0"/>
            <w:vAlign w:val="top"/>
          </w:tcPr>
          <w:p w14:paraId="4DBF6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1888" w:type="dxa"/>
            <w:noWrap w:val="0"/>
            <w:vAlign w:val="top"/>
          </w:tcPr>
          <w:p w14:paraId="683AC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  <w:lang w:eastAsia="zh-CN"/>
              </w:rPr>
              <w:t>听证参加人</w:t>
            </w:r>
          </w:p>
        </w:tc>
        <w:tc>
          <w:tcPr>
            <w:tcW w:w="4740" w:type="dxa"/>
            <w:noWrap w:val="0"/>
            <w:vAlign w:val="top"/>
          </w:tcPr>
          <w:p w14:paraId="1912A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  <w:lang w:eastAsia="zh-CN"/>
              </w:rPr>
              <w:t>听证</w:t>
            </w:r>
            <w:r>
              <w:rPr>
                <w:rFonts w:hint="eastAsia" w:ascii="仿宋_GB2312" w:hAns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7708" w:type="dxa"/>
            <w:noWrap w:val="0"/>
            <w:vAlign w:val="top"/>
          </w:tcPr>
          <w:p w14:paraId="0B5AD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采纳情况</w:t>
            </w:r>
          </w:p>
        </w:tc>
      </w:tr>
      <w:tr w14:paraId="16FA3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  <w:noWrap w:val="0"/>
            <w:vAlign w:val="center"/>
          </w:tcPr>
          <w:p w14:paraId="27C64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88" w:type="dxa"/>
            <w:noWrap w:val="0"/>
            <w:vAlign w:val="center"/>
          </w:tcPr>
          <w:p w14:paraId="58E9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郭晋阳</w:t>
            </w:r>
          </w:p>
        </w:tc>
        <w:tc>
          <w:tcPr>
            <w:tcW w:w="4740" w:type="dxa"/>
            <w:noWrap w:val="0"/>
            <w:vAlign w:val="center"/>
          </w:tcPr>
          <w:p w14:paraId="38B8F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第六条关于划定程序的表述，其中提到“社区居委会提出划定意向，经过现场调研、征求意见、综合评估后形成初步方案”，但征求意见的具体方式不够细化。建议明确是否必须召开居民座谈会、是否需在社区显著位置公告等，以确保居民知情权和参与权落到实处。</w:t>
            </w:r>
          </w:p>
        </w:tc>
        <w:tc>
          <w:tcPr>
            <w:tcW w:w="7708" w:type="dxa"/>
            <w:noWrap w:val="0"/>
            <w:vAlign w:val="center"/>
          </w:tcPr>
          <w:p w14:paraId="50067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>解释说明。《办法》第九条已经规定了“采取征求意见表、业主微信群等线上+线下多种方式”征求意见，并在第十三条要求将正式方案在辖区显要位置公示不少于5个工作日。这些规定已经涵盖了您所关注的居民参与环节。至于是否必须召开座谈会，我们认为不宜“一刀切”，各社区可根据实际情况灵活选择方式，只要确保征求意见的广泛性和真实性即可。</w:t>
            </w:r>
          </w:p>
        </w:tc>
      </w:tr>
      <w:tr w14:paraId="2C12B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  <w:noWrap w:val="0"/>
            <w:vAlign w:val="center"/>
          </w:tcPr>
          <w:p w14:paraId="77883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88" w:type="dxa"/>
            <w:noWrap w:val="0"/>
            <w:vAlign w:val="top"/>
          </w:tcPr>
          <w:p w14:paraId="60DD7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</w:p>
          <w:p w14:paraId="79E99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</w:p>
          <w:p w14:paraId="650BFE20">
            <w:pPr>
              <w:keepNext w:val="0"/>
              <w:keepLines w:val="0"/>
              <w:pageBreakBefore w:val="0"/>
              <w:widowControl w:val="0"/>
              <w:shd w:val="clear" w:color="FFFFFF" w:fill="auto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8"/>
                <w:lang w:val="en-US" w:eastAsia="zh-CN"/>
              </w:rPr>
              <w:t>王龙贤</w:t>
            </w:r>
          </w:p>
        </w:tc>
        <w:tc>
          <w:tcPr>
            <w:tcW w:w="4740" w:type="dxa"/>
            <w:noWrap w:val="0"/>
            <w:vAlign w:val="center"/>
          </w:tcPr>
          <w:p w14:paraId="3008FE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both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 w:bidi="ar-SA"/>
              </w:rPr>
              <w:t>《办法》第十一条和第十五条提到“经营时间”，但不同季节、节假日人流量差异大，是否允许经营时间根据实际情况灵活调整？调整程序是否复杂？</w:t>
            </w:r>
          </w:p>
        </w:tc>
        <w:tc>
          <w:tcPr>
            <w:tcW w:w="7708" w:type="dxa"/>
            <w:noWrap w:val="0"/>
            <w:vAlign w:val="center"/>
          </w:tcPr>
          <w:p w14:paraId="09646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2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解释说明。《办法》所规定的经营时间是在划定阶段确定的基准时间，目的是保障周边居民的正常生活和市容秩序。考虑到实际需求，可以由运维主体提出临时调整方案，经社区居委会同意并报街道办事处备案后实施。调整方案需提前公示，确保周边居民知情权。这样既保持了一定的规范性，又赋予了基层灵活应对的空间。</w:t>
            </w:r>
          </w:p>
        </w:tc>
      </w:tr>
      <w:tr w14:paraId="40A18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6" w:hRule="atLeast"/>
        </w:trPr>
        <w:tc>
          <w:tcPr>
            <w:tcW w:w="875" w:type="dxa"/>
            <w:noWrap w:val="0"/>
            <w:vAlign w:val="center"/>
          </w:tcPr>
          <w:p w14:paraId="5D62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888" w:type="dxa"/>
            <w:noWrap w:val="0"/>
            <w:vAlign w:val="center"/>
          </w:tcPr>
          <w:p w14:paraId="3ED5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麦燕姻</w:t>
            </w:r>
          </w:p>
        </w:tc>
        <w:tc>
          <w:tcPr>
            <w:tcW w:w="4740" w:type="dxa"/>
            <w:noWrap w:val="0"/>
            <w:vAlign w:val="center"/>
          </w:tcPr>
          <w:p w14:paraId="5A52938B">
            <w:pPr>
              <w:pStyle w:val="18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《办法》第十七条提到“运维主体”，但未明确运维主体的资质要求。如果运维主体管理不善，是否有退出或更换机制？谁来监督运维主体的履职情况？</w:t>
            </w:r>
          </w:p>
        </w:tc>
        <w:tc>
          <w:tcPr>
            <w:tcW w:w="7708" w:type="dxa"/>
            <w:noWrap w:val="0"/>
            <w:vAlign w:val="center"/>
          </w:tcPr>
          <w:p w14:paraId="62E95F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解释说明。运维主体的选择由街道和社区根据场所用地权属、管理能力等因素综合确定。虽然《办法》未单独列出运维主体的退出条款，但其履职情况直接体现在第十七条“三方责任书”中，若运维主体未能履行责任，街道办事处可依据责任书约定终止合作，并重新选定运维主体。同时，第二十条的年度评估也将对运维主体的管理效果进行综合评价，评估结果可作为是否继续委托的重要依据。</w:t>
            </w:r>
          </w:p>
        </w:tc>
      </w:tr>
      <w:tr w14:paraId="29506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875" w:type="dxa"/>
            <w:noWrap w:val="0"/>
            <w:vAlign w:val="center"/>
          </w:tcPr>
          <w:p w14:paraId="6536F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888" w:type="dxa"/>
            <w:noWrap w:val="0"/>
            <w:vAlign w:val="center"/>
          </w:tcPr>
          <w:p w14:paraId="664E9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</w:p>
          <w:p w14:paraId="71B9D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温影树</w:t>
            </w:r>
          </w:p>
        </w:tc>
        <w:tc>
          <w:tcPr>
            <w:tcW w:w="4740" w:type="dxa"/>
            <w:noWrap w:val="0"/>
            <w:vAlign w:val="center"/>
          </w:tcPr>
          <w:p w14:paraId="5D723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第十八条提到“引导成立摊贩自治组织”，但摊贩流动性大、组织难度高，建议初期由社区牵头成立临时自治小组，待成熟后再转为摊贩自主管理，这样更符合实际。</w:t>
            </w:r>
          </w:p>
        </w:tc>
        <w:tc>
          <w:tcPr>
            <w:tcW w:w="7708" w:type="dxa"/>
            <w:noWrap w:val="0"/>
            <w:vAlign w:val="center"/>
          </w:tcPr>
          <w:p w14:paraId="12185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解释说明。《办法》第十八条中的“引导”本身就包含了社区先行推动的含义，并不排除社区在初期的主导作用。我们会在后续的实施方案中强调社区要主动介入，帮助摊贩建立自治架构。</w:t>
            </w:r>
          </w:p>
        </w:tc>
      </w:tr>
      <w:tr w14:paraId="6FB76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5" w:type="dxa"/>
            <w:noWrap w:val="0"/>
            <w:vAlign w:val="center"/>
          </w:tcPr>
          <w:p w14:paraId="1FDDD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888" w:type="dxa"/>
            <w:noWrap w:val="0"/>
            <w:vAlign w:val="center"/>
          </w:tcPr>
          <w:p w14:paraId="353C5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何家欢</w:t>
            </w:r>
          </w:p>
        </w:tc>
        <w:tc>
          <w:tcPr>
            <w:tcW w:w="4740" w:type="dxa"/>
            <w:noWrap w:val="0"/>
            <w:vAlign w:val="center"/>
          </w:tcPr>
          <w:p w14:paraId="139DF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第二十一条第六款规定“因城市规划调整需及时清理占用现场并恢复原状”，但没有提及是否对摊贩有补偿或安置措施。建议增加合理补偿条款，体现政策温度。</w:t>
            </w:r>
          </w:p>
        </w:tc>
        <w:tc>
          <w:tcPr>
            <w:tcW w:w="7708" w:type="dxa"/>
            <w:noWrap w:val="0"/>
            <w:vAlign w:val="center"/>
          </w:tcPr>
          <w:p w14:paraId="4387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解释说明。《办法》第五条已明确摊贩经营场所的划定是公益性的，因此对城市规划调整需及时清理占用现场并恢复原状的场所，我们会提前告知摊贩恢复时间，让摊贩提前做好准备。</w:t>
            </w:r>
          </w:p>
        </w:tc>
      </w:tr>
      <w:tr w14:paraId="3BE63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875" w:type="dxa"/>
            <w:noWrap w:val="0"/>
            <w:vAlign w:val="center"/>
          </w:tcPr>
          <w:p w14:paraId="2E140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888" w:type="dxa"/>
            <w:noWrap w:val="0"/>
            <w:vAlign w:val="center"/>
          </w:tcPr>
          <w:p w14:paraId="17C34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梁德昊</w:t>
            </w:r>
          </w:p>
        </w:tc>
        <w:tc>
          <w:tcPr>
            <w:tcW w:w="4740" w:type="dxa"/>
            <w:noWrap w:val="0"/>
            <w:vAlign w:val="center"/>
          </w:tcPr>
          <w:p w14:paraId="6C141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《办法》第十二条对摊贩经营场所的选址划定了很多禁止性条款，比如不能占用消防通道、不能影响交通等，这非常好。但在实际执行中，如果某个初步选定的场所，经过调研发现只是“轻微影响”行人通行，而不是“完全阻断”，这种情况有没有一个裁量的标准？是由谁来最终认定它是否符合规定？</w:t>
            </w:r>
          </w:p>
        </w:tc>
        <w:tc>
          <w:tcPr>
            <w:tcW w:w="7708" w:type="dxa"/>
            <w:noWrap w:val="0"/>
            <w:vAlign w:val="top"/>
          </w:tcPr>
          <w:p w14:paraId="6863A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解释说明。《办法》划定程序中的第八条（现场调研）和第十条（综合评估）阶段，街道和社区会组织城管、交通等相关部门以及利益相关方共同到场研判，如果确实存在模糊地带，街道可以提请我局或其他部门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进行指导和协调，以确保划定工作既合法合规，又符合实际。</w:t>
            </w:r>
          </w:p>
        </w:tc>
      </w:tr>
      <w:tr w14:paraId="2B7F2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875" w:type="dxa"/>
            <w:noWrap w:val="0"/>
            <w:vAlign w:val="center"/>
          </w:tcPr>
          <w:p w14:paraId="0D361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888" w:type="dxa"/>
            <w:noWrap w:val="0"/>
            <w:vAlign w:val="center"/>
          </w:tcPr>
          <w:p w14:paraId="4CCA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麦敬波</w:t>
            </w:r>
          </w:p>
        </w:tc>
        <w:tc>
          <w:tcPr>
            <w:tcW w:w="4740" w:type="dxa"/>
            <w:noWrap w:val="0"/>
            <w:vAlign w:val="top"/>
          </w:tcPr>
          <w:p w14:paraId="336E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虽然《办法》第二十一条提到了“不得高音宣传”、“产生油烟的须降低或消除对周边环境的影响”，但具体怎么降噪、怎么除油烟，没有标准。</w:t>
            </w:r>
          </w:p>
        </w:tc>
        <w:tc>
          <w:tcPr>
            <w:tcW w:w="7708" w:type="dxa"/>
            <w:noWrap w:val="0"/>
            <w:vAlign w:val="center"/>
          </w:tcPr>
          <w:p w14:paraId="0336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解释说明。具体的监管由多方合力：首先是运维主体的日常巡查；其次是生态环境部门用专业设备进行检测；最后是社区和居民的监督。如果市民遇到类似困扰，可以第一时间向运维主体或社区反映。</w:t>
            </w:r>
          </w:p>
        </w:tc>
      </w:tr>
      <w:tr w14:paraId="37105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875" w:type="dxa"/>
            <w:noWrap w:val="0"/>
            <w:vAlign w:val="center"/>
          </w:tcPr>
          <w:p w14:paraId="2210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8</w:t>
            </w:r>
          </w:p>
        </w:tc>
        <w:tc>
          <w:tcPr>
            <w:tcW w:w="1888" w:type="dxa"/>
            <w:noWrap w:val="0"/>
            <w:vAlign w:val="center"/>
          </w:tcPr>
          <w:p w14:paraId="04B35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8"/>
                <w:szCs w:val="28"/>
                <w:lang w:val="en-US" w:eastAsia="zh-CN"/>
              </w:rPr>
              <w:t>朱伟豪</w:t>
            </w:r>
          </w:p>
        </w:tc>
        <w:tc>
          <w:tcPr>
            <w:tcW w:w="4740" w:type="dxa"/>
            <w:noWrap w:val="0"/>
            <w:vAlign w:val="center"/>
          </w:tcPr>
          <w:p w14:paraId="32DFB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摊贩经营者来说，如果经营得好，能不能申请扩大摊位？或者有没有机会从临时摊贩变成固定商户？</w:t>
            </w:r>
          </w:p>
        </w:tc>
        <w:tc>
          <w:tcPr>
            <w:tcW w:w="7708" w:type="dxa"/>
            <w:noWrap w:val="0"/>
            <w:vAlign w:val="center"/>
          </w:tcPr>
          <w:p w14:paraId="688E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解释说明。关于“发展空间”的问题，摊贩经营者可以向运维主体申请调整摊位面积（如果场地允许且符合规划）。</w:t>
            </w:r>
          </w:p>
        </w:tc>
      </w:tr>
      <w:tr w14:paraId="44BF2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875" w:type="dxa"/>
            <w:noWrap w:val="0"/>
            <w:vAlign w:val="center"/>
          </w:tcPr>
          <w:p w14:paraId="20079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88" w:type="dxa"/>
            <w:noWrap w:val="0"/>
            <w:vAlign w:val="center"/>
          </w:tcPr>
          <w:p w14:paraId="7C8CA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刘亚六</w:t>
            </w:r>
          </w:p>
        </w:tc>
        <w:tc>
          <w:tcPr>
            <w:tcW w:w="4740" w:type="dxa"/>
            <w:noWrap w:val="0"/>
            <w:vAlign w:val="center"/>
          </w:tcPr>
          <w:p w14:paraId="53A42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ascii="仿宋_GB2312" w:hAns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《办法》第十六条说“入场摊贩需与运维主体签订责任书后方可入场经营”，但我想知道，这个入场机会是不是公平的？比如原来就在这一带摆摊的老摊贩，会不会比外面新来的人更有优先权？有没有具体的排队或轮候规则？</w:t>
            </w:r>
          </w:p>
        </w:tc>
        <w:tc>
          <w:tcPr>
            <w:tcW w:w="7708" w:type="dxa"/>
            <w:noWrap w:val="0"/>
            <w:vAlign w:val="center"/>
          </w:tcPr>
          <w:p w14:paraId="099B2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解释说明。《办法》第十一条要求初步方案中必须明确“摊贩入场、轮候和退出机制”，具体规则将在方案公示时向社会公开，接受监督，确保公平公正。</w:t>
            </w:r>
          </w:p>
        </w:tc>
      </w:tr>
    </w:tbl>
    <w:p w14:paraId="55ABB28E">
      <w:pPr>
        <w:tabs>
          <w:tab w:val="left" w:pos="3441"/>
        </w:tabs>
        <w:jc w:val="left"/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numberInDash"/>
      <w:cols w:space="1701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长城大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大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8DDED">
    <w:pPr>
      <w:pStyle w:val="18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8ADF79"/>
    <w:rsid w:val="35F26FC0"/>
    <w:rsid w:val="3FEA09A8"/>
    <w:rsid w:val="5FFF2D0B"/>
    <w:rsid w:val="6F870650"/>
    <w:rsid w:val="7F7FE4DA"/>
    <w:rsid w:val="FBFE21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86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FFFFFF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宋体" w:cs="Times New Roman"/>
      <w:color w:val="auto"/>
      <w:spacing w:val="0"/>
      <w:kern w:val="2"/>
      <w:position w:val="0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2"/>
    <w:qFormat/>
    <w:uiPriority w:val="9"/>
    <w:pPr>
      <w:keepNext/>
      <w:keepLines/>
      <w:overflowPunct w:val="0"/>
      <w:autoSpaceDE w:val="0"/>
      <w:autoSpaceDN w:val="0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overflowPunct w:val="0"/>
      <w:autoSpaceDE w:val="0"/>
      <w:autoSpaceDN w:val="0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5">
    <w:name w:val="heading 3"/>
    <w:basedOn w:val="1"/>
    <w:next w:val="1"/>
    <w:link w:val="34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35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36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37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38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39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0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2">
    <w:name w:val="WW-Default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FFFFFF" w:fill="auto"/>
      <w:autoSpaceDE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000000"/>
      <w:spacing w:val="0"/>
      <w:position w:val="0"/>
      <w:sz w:val="24"/>
      <w:szCs w:val="24"/>
      <w:lang w:val="en-US" w:eastAsia="zh-CN" w:bidi="ar-SA"/>
    </w:rPr>
  </w:style>
  <w:style w:type="paragraph" w:styleId="12">
    <w:name w:val="toc 7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701" w:right="0" w:firstLine="0"/>
    </w:pPr>
  </w:style>
  <w:style w:type="paragraph" w:styleId="13">
    <w:name w:val="caption"/>
    <w:basedOn w:val="1"/>
    <w:next w:val="1"/>
    <w:semiHidden/>
    <w:unhideWhenUsed/>
    <w:qFormat/>
    <w:uiPriority w:val="35"/>
    <w:pPr>
      <w:overflowPunct w:val="0"/>
      <w:autoSpaceDE w:val="0"/>
      <w:autoSpaceDN w:val="0"/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toc 5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984" w:right="0" w:firstLine="0"/>
    </w:pPr>
  </w:style>
  <w:style w:type="paragraph" w:styleId="17">
    <w:name w:val="footer"/>
    <w:basedOn w:val="1"/>
    <w:link w:val="51"/>
    <w:unhideWhenUsed/>
    <w:qFormat/>
    <w:uiPriority w:val="99"/>
    <w:pPr>
      <w:tabs>
        <w:tab w:val="center" w:pos="7143"/>
        <w:tab w:val="right" w:pos="14287"/>
      </w:tabs>
      <w:overflowPunct w:val="0"/>
      <w:autoSpaceDE w:val="0"/>
      <w:autoSpaceDN w:val="0"/>
      <w:spacing w:after="0" w:line="240" w:lineRule="auto"/>
    </w:pPr>
  </w:style>
  <w:style w:type="paragraph" w:styleId="18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  <w:overflowPunct w:val="0"/>
      <w:autoSpaceDE w:val="0"/>
      <w:autoSpaceDN w:val="0"/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850" w:right="0" w:firstLine="0"/>
    </w:pPr>
  </w:style>
  <w:style w:type="paragraph" w:styleId="21">
    <w:name w:val="Subtitle"/>
    <w:basedOn w:val="1"/>
    <w:next w:val="1"/>
    <w:link w:val="44"/>
    <w:qFormat/>
    <w:uiPriority w:val="11"/>
    <w:pPr>
      <w:overflowPunct w:val="0"/>
      <w:autoSpaceDE w:val="0"/>
      <w:autoSpaceDN w:val="0"/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7"/>
    <w:semiHidden/>
    <w:unhideWhenUsed/>
    <w:qFormat/>
    <w:uiPriority w:val="99"/>
    <w:pPr>
      <w:overflowPunct w:val="0"/>
      <w:autoSpaceDE w:val="0"/>
      <w:autoSpaceDN w:val="0"/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417" w:right="0" w:firstLine="0"/>
    </w:pPr>
  </w:style>
  <w:style w:type="paragraph" w:styleId="24">
    <w:name w:val="toc 2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83" w:right="0" w:firstLine="0"/>
    </w:pPr>
  </w:style>
  <w:style w:type="paragraph" w:styleId="25">
    <w:name w:val="toc 9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268" w:right="0" w:firstLine="0"/>
    </w:pPr>
  </w:style>
  <w:style w:type="paragraph" w:styleId="26">
    <w:name w:val="Title"/>
    <w:basedOn w:val="1"/>
    <w:next w:val="1"/>
    <w:link w:val="43"/>
    <w:qFormat/>
    <w:uiPriority w:val="10"/>
    <w:pPr>
      <w:overflowPunct w:val="0"/>
      <w:autoSpaceDE w:val="0"/>
      <w:autoSpaceDN w:val="0"/>
      <w:spacing w:before="300" w:after="200"/>
      <w:contextualSpacing/>
    </w:pPr>
    <w:rPr>
      <w:sz w:val="48"/>
      <w:szCs w:val="48"/>
    </w:rPr>
  </w:style>
  <w:style w:type="table" w:styleId="28">
    <w:name w:val="Table Grid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1">
    <w:name w:val="footnote reference"/>
    <w:basedOn w:val="29"/>
    <w:unhideWhenUsed/>
    <w:qFormat/>
    <w:uiPriority w:val="99"/>
    <w:rPr>
      <w:vertAlign w:val="superscript"/>
    </w:rPr>
  </w:style>
  <w:style w:type="character" w:customStyle="1" w:styleId="32">
    <w:name w:val="Heading 1 Char"/>
    <w:basedOn w:val="29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3">
    <w:name w:val="Heading 2 Char"/>
    <w:basedOn w:val="29"/>
    <w:link w:val="4"/>
    <w:qFormat/>
    <w:uiPriority w:val="9"/>
    <w:rPr>
      <w:rFonts w:ascii="Arial" w:hAnsi="Arial" w:eastAsia="Arial" w:cs="Arial"/>
      <w:sz w:val="34"/>
    </w:rPr>
  </w:style>
  <w:style w:type="character" w:customStyle="1" w:styleId="34">
    <w:name w:val="Heading 3 Char"/>
    <w:basedOn w:val="29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5">
    <w:name w:val="Heading 4 Char"/>
    <w:basedOn w:val="29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5 Char"/>
    <w:basedOn w:val="29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7">
    <w:name w:val="Heading 6 Char"/>
    <w:basedOn w:val="29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8">
    <w:name w:val="Heading 7 Char"/>
    <w:basedOn w:val="29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9">
    <w:name w:val="Heading 8 Char"/>
    <w:basedOn w:val="29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0">
    <w:name w:val="Heading 9 Char"/>
    <w:basedOn w:val="29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1">
    <w:name w:val="List Paragraph"/>
    <w:basedOn w:val="1"/>
    <w:qFormat/>
    <w:uiPriority w:val="34"/>
    <w:pPr>
      <w:overflowPunct w:val="0"/>
      <w:autoSpaceDE w:val="0"/>
      <w:autoSpaceDN w:val="0"/>
      <w:ind w:left="720"/>
      <w:contextualSpacing/>
    </w:pPr>
  </w:style>
  <w:style w:type="paragraph" w:styleId="42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FFFFFF" w:fill="auto"/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43">
    <w:name w:val="Title Char"/>
    <w:basedOn w:val="29"/>
    <w:link w:val="26"/>
    <w:qFormat/>
    <w:uiPriority w:val="10"/>
    <w:rPr>
      <w:sz w:val="48"/>
      <w:szCs w:val="48"/>
    </w:rPr>
  </w:style>
  <w:style w:type="character" w:customStyle="1" w:styleId="44">
    <w:name w:val="Subtitle Char"/>
    <w:basedOn w:val="29"/>
    <w:link w:val="21"/>
    <w:qFormat/>
    <w:uiPriority w:val="11"/>
    <w:rPr>
      <w:sz w:val="24"/>
      <w:szCs w:val="24"/>
    </w:rPr>
  </w:style>
  <w:style w:type="paragraph" w:styleId="45">
    <w:name w:val="Quote"/>
    <w:basedOn w:val="1"/>
    <w:next w:val="1"/>
    <w:link w:val="46"/>
    <w:qFormat/>
    <w:uiPriority w:val="29"/>
    <w:pPr>
      <w:overflowPunct w:val="0"/>
      <w:autoSpaceDE w:val="0"/>
      <w:autoSpaceDN w:val="0"/>
      <w:ind w:left="720" w:right="720"/>
    </w:pPr>
    <w:rPr>
      <w:i/>
    </w:rPr>
  </w:style>
  <w:style w:type="character" w:customStyle="1" w:styleId="46">
    <w:name w:val="Quote Char"/>
    <w:link w:val="45"/>
    <w:qFormat/>
    <w:uiPriority w:val="29"/>
    <w:rPr>
      <w:i/>
    </w:rPr>
  </w:style>
  <w:style w:type="paragraph" w:styleId="47">
    <w:name w:val="Intense Quote"/>
    <w:basedOn w:val="1"/>
    <w:next w:val="1"/>
    <w:link w:val="4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overflowPunct w:val="0"/>
      <w:autoSpaceDE w:val="0"/>
      <w:autoSpaceDN w:val="0"/>
      <w:ind w:left="720" w:right="720"/>
      <w:contextualSpacing w:val="0"/>
    </w:pPr>
    <w:rPr>
      <w:i/>
    </w:rPr>
  </w:style>
  <w:style w:type="character" w:customStyle="1" w:styleId="48">
    <w:name w:val="Intense Quote Char"/>
    <w:link w:val="47"/>
    <w:qFormat/>
    <w:uiPriority w:val="30"/>
    <w:rPr>
      <w:i/>
    </w:rPr>
  </w:style>
  <w:style w:type="character" w:customStyle="1" w:styleId="49">
    <w:name w:val="Header Char"/>
    <w:basedOn w:val="29"/>
    <w:link w:val="18"/>
    <w:qFormat/>
    <w:uiPriority w:val="99"/>
  </w:style>
  <w:style w:type="character" w:customStyle="1" w:styleId="50">
    <w:name w:val="Footer Char"/>
    <w:basedOn w:val="29"/>
    <w:link w:val="17"/>
    <w:qFormat/>
    <w:uiPriority w:val="99"/>
  </w:style>
  <w:style w:type="character" w:customStyle="1" w:styleId="51">
    <w:name w:val="Caption Char"/>
    <w:link w:val="17"/>
    <w:qFormat/>
    <w:uiPriority w:val="99"/>
  </w:style>
  <w:style w:type="table" w:customStyle="1" w:styleId="52">
    <w:name w:val="Table Grid Light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3">
    <w:name w:val="Plain Table 1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4">
    <w:name w:val="Plain Table 2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6">
    <w:name w:val="Plain Table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7">
    <w:name w:val="Plain Table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58">
    <w:name w:val="Grid Table 1 Light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66">
    <w:name w:val="Grid Table 2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67">
    <w:name w:val="Grid Table 2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68">
    <w:name w:val="Grid Table 2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69">
    <w:name w:val="Grid Table 2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70">
    <w:name w:val="Grid Table 2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71">
    <w:name w:val="Grid Table 2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72">
    <w:name w:val="Grid Table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73">
    <w:name w:val="Grid Table 3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74">
    <w:name w:val="Grid Table 3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75">
    <w:name w:val="Grid Table 3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76">
    <w:name w:val="Grid Table 3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77">
    <w:name w:val="Grid Table 3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78">
    <w:name w:val="Grid Table 3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79">
    <w:name w:val="Grid Table 4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80">
    <w:name w:val="Grid Table 4 - Accent 1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neCell"/>
    <w:tblStylePr w:type="nwCell"/>
    <w:tblStylePr w:type="seCell"/>
    <w:tblStylePr w:type="swCell"/>
  </w:style>
  <w:style w:type="table" w:customStyle="1" w:styleId="81">
    <w:name w:val="Grid Table 4 - Accent 2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82">
    <w:name w:val="Grid Table 4 - Accent 3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83">
    <w:name w:val="Grid Table 4 - Accent 4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84">
    <w:name w:val="Grid Table 4 - Accent 5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85">
    <w:name w:val="Grid Table 4 - Accent 6"/>
    <w:basedOn w:val="27"/>
    <w:qFormat/>
    <w:uiPriority w:val="5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86">
    <w:name w:val="Grid Table 5 Dark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  <w:tblStylePr w:type="neCell"/>
    <w:tblStylePr w:type="nwCell"/>
    <w:tblStylePr w:type="seCell"/>
    <w:tblStylePr w:type="swCell"/>
  </w:style>
  <w:style w:type="table" w:customStyle="1" w:styleId="87">
    <w:name w:val="Grid Table 5 Dark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  <w:tblStylePr w:type="neCell"/>
    <w:tblStylePr w:type="nwCell"/>
    <w:tblStylePr w:type="seCell"/>
    <w:tblStylePr w:type="swCell"/>
  </w:style>
  <w:style w:type="table" w:customStyle="1" w:styleId="88">
    <w:name w:val="Grid Table 5 Dark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  <w:tblStylePr w:type="neCell"/>
    <w:tblStylePr w:type="nwCell"/>
    <w:tblStylePr w:type="seCell"/>
    <w:tblStylePr w:type="swCell"/>
  </w:style>
  <w:style w:type="table" w:customStyle="1" w:styleId="89">
    <w:name w:val="Grid Table 5 Dark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  <w:tblStylePr w:type="neCell"/>
    <w:tblStylePr w:type="nwCell"/>
    <w:tblStylePr w:type="seCell"/>
    <w:tblStylePr w:type="swCell"/>
  </w:style>
  <w:style w:type="table" w:customStyle="1" w:styleId="90">
    <w:name w:val="Grid Table 5 Dark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  <w:tblStylePr w:type="neCell"/>
    <w:tblStylePr w:type="nwCell"/>
    <w:tblStylePr w:type="seCell"/>
    <w:tblStylePr w:type="swCell"/>
  </w:style>
  <w:style w:type="table" w:customStyle="1" w:styleId="91">
    <w:name w:val="Grid Table 5 Dark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  <w:tblStylePr w:type="neCell"/>
    <w:tblStylePr w:type="nwCell"/>
    <w:tblStylePr w:type="seCell"/>
    <w:tblStylePr w:type="swCell"/>
  </w:style>
  <w:style w:type="table" w:customStyle="1" w:styleId="92">
    <w:name w:val="Grid Table 5 Dark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6 Colorful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7">
    <w:name w:val="List Table 1 Light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08">
    <w:name w:val="List Table 1 Light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09">
    <w:name w:val="List Table 1 Light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10">
    <w:name w:val="List Table 1 Light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11">
    <w:name w:val="List Table 1 Light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12">
    <w:name w:val="List Table 1 Light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13">
    <w:name w:val="List Table 1 Light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14">
    <w:name w:val="List Table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15">
    <w:name w:val="List Table 2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16">
    <w:name w:val="List Table 2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17">
    <w:name w:val="List Table 2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18">
    <w:name w:val="List Table 2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19">
    <w:name w:val="List Table 2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20">
    <w:name w:val="List Table 2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4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30">
    <w:name w:val="List Table 4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4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4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4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4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5 Dark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ned - Accent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7">
    <w:name w:val="Lined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58">
    <w:name w:val="Lined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59">
    <w:name w:val="Lined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0">
    <w:name w:val="Lined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1">
    <w:name w:val="Lined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4">
    <w:name w:val="Bordered &amp; Lined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65">
    <w:name w:val="Bordered &amp; Lined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6">
    <w:name w:val="Bordered &amp; Lined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7">
    <w:name w:val="Bordered &amp; Lined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8">
    <w:name w:val="Bordered &amp; Lined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1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2">
    <w:name w:val="Bordered - Accent 2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3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4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5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6"/>
    <w:basedOn w:val="27"/>
    <w:qFormat/>
    <w:uiPriority w:val="99"/>
    <w:pPr>
      <w:overflowPunct w:val="0"/>
      <w:autoSpaceDE w:val="0"/>
      <w:autoSpaceDN w:val="0"/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7">
    <w:name w:val="Footnote Text Char"/>
    <w:link w:val="22"/>
    <w:qFormat/>
    <w:uiPriority w:val="99"/>
    <w:rPr>
      <w:sz w:val="18"/>
    </w:rPr>
  </w:style>
  <w:style w:type="paragraph" w:customStyle="1" w:styleId="178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FFFFFF" w:fill="auto"/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paragraph" w:customStyle="1" w:styleId="179">
    <w:name w:val="标题 3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customStyle="1" w:styleId="180">
    <w:name w:val="默认段落字体1"/>
    <w:link w:val="1"/>
    <w:semiHidden/>
    <w:qFormat/>
    <w:uiPriority w:val="0"/>
  </w:style>
  <w:style w:type="table" w:customStyle="1" w:styleId="181">
    <w:name w:val="普通表格1"/>
    <w:semiHidden/>
    <w:qFormat/>
    <w:uiPriority w:val="0"/>
  </w:style>
  <w:style w:type="paragraph" w:customStyle="1" w:styleId="182">
    <w:name w:val="纯文本1"/>
    <w:basedOn w:val="1"/>
    <w:qFormat/>
    <w:uiPriority w:val="0"/>
    <w:rPr>
      <w:rFonts w:ascii="宋体" w:hAnsi="Courier New"/>
      <w:szCs w:val="22"/>
    </w:rPr>
  </w:style>
  <w:style w:type="paragraph" w:customStyle="1" w:styleId="183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84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185">
    <w:name w:val="网格型1"/>
    <w:basedOn w:val="181"/>
    <w:qFormat/>
    <w:uiPriority w:val="0"/>
    <w:pPr>
      <w:widowControl w:val="0"/>
      <w:jc w:val="both"/>
    </w:pPr>
  </w:style>
  <w:style w:type="character" w:customStyle="1" w:styleId="186">
    <w:name w:val="NormalCharacter"/>
    <w:link w:val="1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FFFFFF"/>
        </a:solidFill>
        <a:solidFill>
          <a:srgbClr val="FFFFFF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2025-05-24T11:30:00Z</dcterms:created>
  <dc:creator>huawei</dc:creator>
  <cp:lastModifiedBy>廖慧莉</cp:lastModifiedBy>
  <cp:lastPrinted>2025-05-27T20:03:00Z</cp:lastPrinted>
  <dcterms:modified xsi:type="dcterms:W3CDTF">2026-03-24T09:29:33Z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735775CB198CD94CA60AC169A0289B1E_43</vt:lpwstr>
  </property>
</Properties>
</file>