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2BA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5828633">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sz w:val="32"/>
          <w:szCs w:val="32"/>
          <w:lang w:val="en-US" w:eastAsia="zh-CN"/>
        </w:rPr>
      </w:pPr>
    </w:p>
    <w:p w14:paraId="1CE92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《深圳市光明区企业国有资产监督管理办法》及其配套文件（征求意见稿）起草说</w:t>
      </w:r>
      <w:bookmarkStart w:id="0" w:name="_GoBack"/>
      <w:bookmarkEnd w:id="0"/>
      <w:r>
        <w:rPr>
          <w:rFonts w:hint="eastAsia" w:ascii="方正小标宋简体" w:hAnsi="方正小标宋简体" w:eastAsia="方正小标宋简体" w:cs="方正小标宋简体"/>
          <w:sz w:val="44"/>
          <w:szCs w:val="44"/>
          <w:lang w:val="en-US" w:eastAsia="zh-CN"/>
        </w:rPr>
        <w:t>明</w:t>
      </w:r>
    </w:p>
    <w:p w14:paraId="48C147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34D8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为进一步做好光明区</w:t>
      </w:r>
      <w:r>
        <w:rPr>
          <w:rFonts w:hint="eastAsia" w:ascii="仿宋_GB2312" w:hAnsi="仿宋_GB2312" w:eastAsia="仿宋_GB2312" w:cs="仿宋_GB2312"/>
          <w:sz w:val="32"/>
          <w:szCs w:val="32"/>
          <w:lang w:val="en-US" w:eastAsia="zh-CN"/>
        </w:rPr>
        <w:t>国资国企监管</w:t>
      </w:r>
      <w:r>
        <w:rPr>
          <w:rFonts w:hint="eastAsia" w:ascii="仿宋_GB2312" w:hAnsi="仿宋_GB2312" w:eastAsia="仿宋_GB2312" w:cs="仿宋_GB2312"/>
          <w:sz w:val="32"/>
          <w:szCs w:val="32"/>
        </w:rPr>
        <w:t>工作，推动国有企业高质量发展，</w:t>
      </w:r>
      <w:r>
        <w:rPr>
          <w:rFonts w:hint="eastAsia" w:ascii="仿宋_GB2312" w:hAnsi="仿宋_GB2312" w:eastAsia="仿宋_GB2312" w:cs="仿宋_GB2312"/>
          <w:sz w:val="32"/>
          <w:szCs w:val="32"/>
          <w:lang w:eastAsia="zh-CN"/>
        </w:rPr>
        <w:t>区国资局在既有</w:t>
      </w:r>
      <w:r>
        <w:rPr>
          <w:rFonts w:hint="eastAsia" w:ascii="仿宋_GB2312" w:hAnsi="仿宋_GB2312" w:eastAsia="仿宋_GB2312" w:cs="仿宋_GB2312"/>
          <w:sz w:val="32"/>
          <w:szCs w:val="32"/>
          <w:lang w:val="en-US" w:eastAsia="zh-CN"/>
        </w:rPr>
        <w:t>《深圳市光明区企业国有资产监督管理办法》及其</w:t>
      </w:r>
      <w:r>
        <w:rPr>
          <w:rFonts w:hint="default" w:ascii="仿宋_GB2312" w:hAnsi="仿宋_GB2312" w:eastAsia="仿宋_GB2312" w:cs="仿宋_GB2312"/>
          <w:sz w:val="32"/>
          <w:szCs w:val="32"/>
          <w:lang w:val="en" w:eastAsia="zh-CN"/>
        </w:rPr>
        <w:t>五</w:t>
      </w:r>
      <w:r>
        <w:rPr>
          <w:rFonts w:hint="eastAsia" w:ascii="仿宋_GB2312" w:hAnsi="仿宋_GB2312" w:eastAsia="仿宋_GB2312" w:cs="仿宋_GB2312"/>
          <w:sz w:val="32"/>
          <w:szCs w:val="32"/>
          <w:lang w:val="en-US" w:eastAsia="zh-CN"/>
        </w:rPr>
        <w:t>个配套文件</w:t>
      </w:r>
      <w:r>
        <w:rPr>
          <w:rFonts w:hint="eastAsia" w:ascii="仿宋_GB2312" w:hAnsi="仿宋_GB2312" w:eastAsia="仿宋_GB2312" w:cs="仿宋_GB2312"/>
          <w:sz w:val="32"/>
          <w:szCs w:val="32"/>
          <w:lang w:eastAsia="zh-CN"/>
        </w:rPr>
        <w:t>的基础上，结合近几年工作实际，</w:t>
      </w:r>
      <w:r>
        <w:rPr>
          <w:rFonts w:hint="eastAsia" w:ascii="仿宋_GB2312" w:hAnsi="仿宋_GB2312" w:eastAsia="仿宋_GB2312" w:cs="仿宋_GB2312"/>
          <w:sz w:val="32"/>
          <w:szCs w:val="32"/>
        </w:rPr>
        <w:t>对原</w:t>
      </w:r>
      <w:r>
        <w:rPr>
          <w:rFonts w:hint="eastAsia" w:ascii="仿宋_GB2312" w:hAnsi="仿宋_GB2312" w:eastAsia="仿宋_GB2312" w:cs="仿宋_GB2312"/>
          <w:sz w:val="32"/>
          <w:szCs w:val="32"/>
          <w:lang w:eastAsia="zh-CN"/>
        </w:rPr>
        <w:t>系列文件</w:t>
      </w:r>
      <w:r>
        <w:rPr>
          <w:rFonts w:hint="eastAsia" w:ascii="仿宋_GB2312" w:hAnsi="仿宋_GB2312" w:eastAsia="仿宋_GB2312" w:cs="仿宋_GB2312"/>
          <w:sz w:val="32"/>
          <w:szCs w:val="32"/>
        </w:rPr>
        <w:t>进行了全面修订。现将</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情况说明如下</w:t>
      </w:r>
      <w:r>
        <w:rPr>
          <w:rFonts w:hint="eastAsia" w:ascii="仿宋_GB2312" w:hAnsi="仿宋_GB2312" w:eastAsia="仿宋_GB2312" w:cs="仿宋_GB2312"/>
          <w:sz w:val="32"/>
          <w:szCs w:val="32"/>
          <w:lang w:eastAsia="zh-CN"/>
        </w:rPr>
        <w:t>。</w:t>
      </w:r>
    </w:p>
    <w:p w14:paraId="2938C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一、修订背景</w:t>
      </w:r>
    </w:p>
    <w:p w14:paraId="0F1F1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为深入贯彻落实《中共中央关于进一步全面深化改革、推进中国式现代化的决定》《国有企业改革深化提升行动方案（2023—2025 年）》《关于在深化国有企业改革中坚持党的领导加强党的建设的若干意见》等党和国家及省、市最新出台的政策法规文件精神，紧密贴合当前国有企业改革发展的时代背景与战略要求。同时，鉴于近几年原制度在实际运行过程中逐渐暴露出的一部分与现实发展不相适应的问题和不足，有必要对原制度进行系统性的优化调整。通过优化调整，确保光明区企业国有资产监管制度体系与政策导向高度契合，推动国有资本布局优化和效率提升，不断提升国有企业的核心竞争力与服务光明区城市建设发展的能力。</w:t>
      </w:r>
    </w:p>
    <w:p w14:paraId="0AE14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二、修订依据</w:t>
      </w:r>
    </w:p>
    <w:p w14:paraId="55E3F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default" w:ascii="仿宋_GB2312" w:hAnsi="仿宋_GB2312" w:eastAsia="仿宋_GB2312" w:cs="仿宋_GB2312"/>
          <w:b w:val="0"/>
          <w:bCs/>
          <w:color w:val="000000"/>
          <w:sz w:val="32"/>
          <w:szCs w:val="32"/>
          <w:lang w:val="en-US" w:eastAsia="zh-CN"/>
        </w:rPr>
        <w:t>本次修订</w:t>
      </w:r>
      <w:r>
        <w:rPr>
          <w:rFonts w:hint="default" w:ascii="仿宋_GB2312" w:hAnsi="仿宋_GB2312" w:eastAsia="仿宋_GB2312" w:cs="仿宋_GB2312"/>
          <w:b w:val="0"/>
          <w:bCs/>
          <w:color w:val="000000"/>
          <w:sz w:val="32"/>
          <w:szCs w:val="32"/>
          <w:lang w:val="en" w:eastAsia="zh-CN"/>
        </w:rPr>
        <w:t>参照</w:t>
      </w:r>
      <w:r>
        <w:rPr>
          <w:rFonts w:hint="default" w:ascii="仿宋_GB2312" w:hAnsi="仿宋_GB2312" w:eastAsia="仿宋_GB2312" w:cs="仿宋_GB2312"/>
          <w:b w:val="0"/>
          <w:bCs/>
          <w:color w:val="000000"/>
          <w:sz w:val="32"/>
          <w:szCs w:val="32"/>
          <w:lang w:val="en-US" w:eastAsia="zh-CN"/>
        </w:rPr>
        <w:t>的政策法规依据包括：《中华人民共和国企业国有资产法》《中华人民共和国公司法》《中华人民共和国会计法》《企业国有资产监督管理暂行条例》《企业国有资产交易监督管理办法》《国务院关于改革和完善国有资产管理体制的若干意见》</w:t>
      </w:r>
      <w:r>
        <w:rPr>
          <w:rFonts w:hint="eastAsia" w:ascii="仿宋_GB2312" w:hAnsi="仿宋_GB2312" w:eastAsia="仿宋_GB2312" w:cs="仿宋_GB2312"/>
          <w:b w:val="0"/>
          <w:bCs/>
          <w:color w:val="000000"/>
          <w:sz w:val="32"/>
          <w:szCs w:val="32"/>
          <w:lang w:val="en-US" w:eastAsia="zh-CN"/>
        </w:rPr>
        <w:t>《国务院关于改革国有企业工资决定机制的意见》</w:t>
      </w:r>
      <w:r>
        <w:rPr>
          <w:rFonts w:hint="default" w:ascii="仿宋_GB2312" w:hAnsi="仿宋_GB2312" w:eastAsia="仿宋_GB2312" w:cs="仿宋_GB2312"/>
          <w:b w:val="0"/>
          <w:bCs/>
          <w:color w:val="000000"/>
          <w:sz w:val="32"/>
          <w:szCs w:val="32"/>
          <w:lang w:val="en-US" w:eastAsia="zh-CN"/>
        </w:rPr>
        <w:t>《关于在深化国有企业改革中坚持党的领导加强党的建设的若干意见》</w:t>
      </w:r>
      <w:r>
        <w:rPr>
          <w:rFonts w:hint="eastAsia" w:ascii="仿宋_GB2312" w:hAnsi="仿宋_GB2312" w:eastAsia="仿宋_GB2312" w:cs="仿宋_GB2312"/>
          <w:b w:val="0"/>
          <w:bCs/>
          <w:color w:val="000000"/>
          <w:sz w:val="32"/>
          <w:szCs w:val="32"/>
          <w:lang w:val="en-US" w:eastAsia="zh-CN"/>
        </w:rPr>
        <w:t>《国务院国资委关于印发国有企业参股管理暂行办法的通知》《深圳市属国有企业产权变动监管办法》《深圳市属国有企业投资参股管理办法（试行）》《深圳市属国有企业财务总监管理暂行规定》《深圳市属国有企业监事管理暂行规定》《党政主要领导干部和国有企业领导人员经济责任审计规定》《党政主要领导干部和国有企业领导人员经济责任审计规定实施细则》等。</w:t>
      </w:r>
    </w:p>
    <w:p w14:paraId="4E828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三、总体框架</w:t>
      </w:r>
    </w:p>
    <w:p w14:paraId="19AAE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（一）《深圳市光明区企业国有资产监督管理办法》。</w:t>
      </w:r>
      <w:r>
        <w:rPr>
          <w:rFonts w:hint="eastAsia" w:ascii="仿宋_GB2312" w:hAnsi="仿宋_GB2312" w:eastAsia="仿宋_GB2312" w:cs="仿宋_GB2312"/>
          <w:b w:val="0"/>
          <w:bCs/>
          <w:color w:val="000000"/>
          <w:sz w:val="32"/>
          <w:szCs w:val="32"/>
          <w:lang w:val="en-US" w:eastAsia="zh-CN"/>
        </w:rPr>
        <w:t>该制度共八章五十三条。第一章总则，包括：制定目的；监管原则；定义概念；监管职责；监管重点等。第二章企业党的建设，包括：区委国资工委、企业党组织设立要求；企业党建工作要求等。第三章产权管理，包括：产权管理原则；产权管理权限；产权交易场所要求等。第四章财务管理，包括：企业财务管理体系；损失核销管理方式；经营风险控制体系；国资监督管理方式等。第五章投融资管理，包括：投资原则；投资主体；内控制度等。第六章人事管理，包括：用人机制；选拔任用权限；工资薪酬管理方式等。第七章责任追究，包括：违规违纪违法处理方式；容错机制等。第八章附则，包括：解释单位；施行日期等。</w:t>
      </w:r>
    </w:p>
    <w:p w14:paraId="1C94A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（二）《深圳市光明区企业国有产权变动管理规定》。</w:t>
      </w:r>
      <w:r>
        <w:rPr>
          <w:rFonts w:hint="eastAsia" w:ascii="仿宋_GB2312" w:hAnsi="仿宋_GB2312" w:eastAsia="仿宋_GB2312" w:cs="仿宋_GB2312"/>
          <w:b w:val="0"/>
          <w:bCs/>
          <w:color w:val="000000"/>
          <w:sz w:val="32"/>
          <w:szCs w:val="32"/>
          <w:lang w:val="en-US" w:eastAsia="zh-CN"/>
        </w:rPr>
        <w:t>该制度共八章八十一条。第一章总则，包括：制定目的；适用范围；遵循原则；监管职责等。第二章企业国有产权变动内部决策程序，包括：可行性研究、遵循原则、产权变动要求等。第三章企业国有产权变动审批权限和程序，包括：股权变动、增资扩股、资产变动、对外捐赠审批权限；产权变动审批程序等。第四章企业国有资产审计和评估，包括：专项审计流程；资产评估管理权限；资产评估及免予评估情形；资产评估核准和备案程序等。第五章企业国有产权交易程序，包括：公开交易程序；非公开协议交易程序等。第六章变更登记和档案管理，包括：建档对象；档案内容等。第七章企业国有产权变动情况监督，包括：工作机制；监督检查内容；监管途径和原则等。第八章附则，包括：解释部门；实施期限等。</w:t>
      </w:r>
    </w:p>
    <w:p w14:paraId="2CAC0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（三）《深圳市光明区企业财务管理规定》。</w:t>
      </w:r>
      <w:r>
        <w:rPr>
          <w:rFonts w:hint="eastAsia" w:ascii="仿宋_GB2312" w:hAnsi="仿宋_GB2312" w:eastAsia="仿宋_GB2312" w:cs="仿宋_GB2312"/>
          <w:b w:val="0"/>
          <w:bCs/>
          <w:color w:val="000000"/>
          <w:sz w:val="32"/>
          <w:szCs w:val="32"/>
          <w:lang w:val="en-US" w:eastAsia="zh-CN"/>
        </w:rPr>
        <w:t>该制度共五章六十六条。第一章总则，包括：制定目的；适用范围；遵循原则；监管职责等。第二章企业预算管理，包括：预算管理定义；预算管理范围；预算分类及内容；预算编制、调整及考核程序等。第三章国有资本经营预算管理，包括：预算草案编制程序；收益定义；收益上缴比例；预算支出范围；预算绩效评价等。第四章企业财务管理和监督，包括：财务制度体系；财务管理内容；财务审计内容；资产核销管理内容等。第五章附则，包括：解释部门；实施期限等。</w:t>
      </w:r>
    </w:p>
    <w:p w14:paraId="3CD26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（四）《深圳市光明区国有企业投融资和担保管理规定》。</w:t>
      </w:r>
      <w:r>
        <w:rPr>
          <w:rFonts w:hint="eastAsia" w:ascii="仿宋_GB2312" w:hAnsi="仿宋_GB2312" w:eastAsia="仿宋_GB2312" w:cs="仿宋_GB2312"/>
          <w:b w:val="0"/>
          <w:bCs/>
          <w:color w:val="000000"/>
          <w:sz w:val="32"/>
          <w:szCs w:val="32"/>
          <w:lang w:val="en-US" w:eastAsia="zh-CN"/>
        </w:rPr>
        <w:t>该制度共五章四十八条。第一章总则，包括：制定目的；适用范围；遵循原则；监管职责等。第二章国有企业投资管理，包括：投资原则；投资审批管理权限；投资研究论证等。第三章国有企业融资担保管理，包括：融资管理；担保管理。第四章监督实施管理，包括：项目责任及过程管理；项目后评价；报告机制等。第五章附则，包括：解释部门；实施期限等。</w:t>
      </w:r>
    </w:p>
    <w:p w14:paraId="74123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（五）《深圳市光明区国有企业人事管理规定》。</w:t>
      </w:r>
      <w:r>
        <w:rPr>
          <w:rFonts w:hint="eastAsia" w:ascii="仿宋_GB2312" w:hAnsi="仿宋_GB2312" w:eastAsia="仿宋_GB2312" w:cs="仿宋_GB2312"/>
          <w:b w:val="0"/>
          <w:bCs/>
          <w:color w:val="000000"/>
          <w:sz w:val="32"/>
          <w:szCs w:val="32"/>
          <w:lang w:val="en-US" w:eastAsia="zh-CN"/>
        </w:rPr>
        <w:t>该制度共八章五十七条。第一章总则，包括：制定目的；适用范围；遵循原则等。第二章组织架构，包括：法人治理结构审批权限；内设部门审批权限；定岗定员方案管理等。第三章员工管理，包括：员工录用条件；员工录用审批权限；劳务派遣管理；人事调动权限等。第四章领导人员管理，包括：选拔任用程序；请休假管理；薪酬考核；财务总监管理；外部董事管理等。第五章人才储备，包括：人才储备库建立流程；储备人才培养等。第六章人事档案管理，包括：档案管理部门、人事档案内容等。第七章附则，包括：解释部门；实施期限等。</w:t>
      </w:r>
    </w:p>
    <w:p w14:paraId="50B5E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（六）《深圳市光明区国有参股公司管理规定》。</w:t>
      </w:r>
      <w:r>
        <w:rPr>
          <w:rFonts w:hint="eastAsia" w:ascii="仿宋_GB2312" w:hAnsi="仿宋_GB2312" w:eastAsia="仿宋_GB2312" w:cs="仿宋_GB2312"/>
          <w:b w:val="0"/>
          <w:bCs/>
          <w:color w:val="000000"/>
          <w:sz w:val="32"/>
          <w:szCs w:val="32"/>
          <w:lang w:val="en-US" w:eastAsia="zh-CN"/>
        </w:rPr>
        <w:t>该制度共六章五十二条。第一章总则，包括：制定目的；适用范围；遵循原则；监管职责等。第二章参股投资管理，包括：参股条件；投资方式等。第三章参股股权经营管理，包括：一般规定；人事委派和产权代表制度；产权变动管理；投融资管理；财务管理。第四章退出管理，包括：退出条件；退出方式等。第五章责任追究，包括：责任追究情形；免职或解聘委派人员情形等。第六章附则，包括：解释部门；实施期限等。</w:t>
      </w:r>
    </w:p>
    <w:p w14:paraId="643CBD7E">
      <w:pPr>
        <w:pStyle w:val="8"/>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四、修订的主要内容</w:t>
      </w:r>
    </w:p>
    <w:p w14:paraId="496DF272">
      <w:pPr>
        <w:pStyle w:val="8"/>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CESI楷体-GB2312" w:hAnsi="CESI楷体-GB2312" w:eastAsia="CESI楷体-GB2312" w:cs="CESI楷体-GB2312"/>
          <w:color w:val="auto"/>
          <w:kern w:val="2"/>
          <w:sz w:val="32"/>
          <w:szCs w:val="32"/>
          <w:lang w:val="en-US" w:eastAsia="zh-CN" w:bidi="ar-SA"/>
        </w:rPr>
      </w:pPr>
      <w:r>
        <w:rPr>
          <w:rFonts w:hint="eastAsia" w:ascii="CESI楷体-GB2312" w:hAnsi="CESI楷体-GB2312" w:eastAsia="CESI楷体-GB2312" w:cs="CESI楷体-GB2312"/>
          <w:color w:val="auto"/>
          <w:kern w:val="2"/>
          <w:sz w:val="32"/>
          <w:szCs w:val="32"/>
          <w:lang w:val="en-US" w:eastAsia="zh-CN" w:bidi="ar-SA"/>
        </w:rPr>
        <w:t>（一）全面查漏补缺，夯实监管体系根基</w:t>
      </w:r>
    </w:p>
    <w:p w14:paraId="4EBCCC4A">
      <w:pPr>
        <w:pStyle w:val="8"/>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级文件要求，结合日常监管需求，调整优化现有监管内容，精准填补监管空白区域。比如：按照议事协调机构改革要求，删除区国有资产监督管理工作领导小组相关表述；按照监事会改革要求，删除监事会、监事相关表述；</w:t>
      </w:r>
      <w:r>
        <w:rPr>
          <w:rFonts w:hint="default" w:ascii="仿宋_GB2312" w:hAnsi="仿宋_GB2312" w:eastAsia="仿宋_GB2312" w:cs="仿宋_GB2312"/>
          <w:sz w:val="32"/>
          <w:szCs w:val="32"/>
          <w:lang w:val="en" w:eastAsia="zh-CN"/>
        </w:rPr>
        <w:t>补充完善有限合伙企业的监管规定；补充完善投融资和对外担保事项的备案、审批、考核和审计等全流程管理；补充完善所属企业主要负责人的经济责任审计规定；补充完善财务管理制度的具体要求；补充完善预算管理及薪酬管理的具体内容和统一口径；补充</w:t>
      </w:r>
      <w:r>
        <w:rPr>
          <w:rFonts w:hint="eastAsia" w:ascii="仿宋_GB2312" w:hAnsi="仿宋_GB2312" w:eastAsia="仿宋_GB2312" w:cs="仿宋_GB2312"/>
          <w:sz w:val="32"/>
          <w:szCs w:val="32"/>
          <w:lang w:val="en-US" w:eastAsia="zh-CN"/>
        </w:rPr>
        <w:t>提出国企加强信息化管理的相关要求；补充投资参股</w:t>
      </w:r>
      <w:r>
        <w:rPr>
          <w:rFonts w:hint="default" w:ascii="仿宋_GB2312" w:hAnsi="仿宋_GB2312" w:eastAsia="仿宋_GB2312" w:cs="仿宋_GB2312"/>
          <w:sz w:val="32"/>
          <w:szCs w:val="32"/>
          <w:lang w:val="en" w:eastAsia="zh-CN"/>
        </w:rPr>
        <w:t>行为</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 w:eastAsia="zh-CN"/>
        </w:rPr>
        <w:t>实施</w:t>
      </w:r>
      <w:r>
        <w:rPr>
          <w:rFonts w:hint="eastAsia" w:ascii="仿宋_GB2312" w:hAnsi="仿宋_GB2312" w:eastAsia="仿宋_GB2312" w:cs="仿宋_GB2312"/>
          <w:sz w:val="32"/>
          <w:szCs w:val="32"/>
          <w:lang w:val="en-US" w:eastAsia="zh-CN"/>
        </w:rPr>
        <w:t>和退出</w:t>
      </w:r>
      <w:r>
        <w:rPr>
          <w:rFonts w:hint="default" w:ascii="仿宋_GB2312" w:hAnsi="仿宋_GB2312" w:eastAsia="仿宋_GB2312" w:cs="仿宋_GB2312"/>
          <w:sz w:val="32"/>
          <w:szCs w:val="32"/>
          <w:lang w:val="en" w:eastAsia="zh-CN"/>
        </w:rPr>
        <w:t>管理</w:t>
      </w:r>
      <w:r>
        <w:rPr>
          <w:rFonts w:hint="eastAsia" w:ascii="仿宋_GB2312" w:hAnsi="仿宋_GB2312" w:eastAsia="仿宋_GB2312" w:cs="仿宋_GB2312"/>
          <w:sz w:val="32"/>
          <w:szCs w:val="32"/>
          <w:lang w:val="en-US" w:eastAsia="zh-CN"/>
        </w:rPr>
        <w:t>相关要求；补充财务总监等人员的任职回避、考核和任期相关要求</w:t>
      </w:r>
      <w:r>
        <w:rPr>
          <w:rFonts w:hint="default" w:ascii="仿宋_GB2312" w:hAnsi="仿宋_GB2312" w:eastAsia="仿宋_GB2312" w:cs="仿宋_GB2312"/>
          <w:sz w:val="32"/>
          <w:szCs w:val="32"/>
          <w:lang w:val="en" w:eastAsia="zh-CN"/>
        </w:rPr>
        <w:t>；补充完善备案人员的管理范围</w:t>
      </w:r>
      <w:r>
        <w:rPr>
          <w:rFonts w:hint="eastAsia" w:ascii="仿宋_GB2312" w:hAnsi="仿宋_GB2312" w:eastAsia="仿宋_GB2312" w:cs="仿宋_GB2312"/>
          <w:sz w:val="32"/>
          <w:szCs w:val="32"/>
          <w:lang w:val="en-US" w:eastAsia="zh-CN"/>
        </w:rPr>
        <w:t>。</w:t>
      </w:r>
    </w:p>
    <w:p w14:paraId="781DE9D3">
      <w:pPr>
        <w:pStyle w:val="8"/>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CESI楷体-GB2312" w:hAnsi="CESI楷体-GB2312" w:eastAsia="CESI楷体-GB2312" w:cs="CESI楷体-GB2312"/>
          <w:color w:val="auto"/>
          <w:kern w:val="2"/>
          <w:sz w:val="32"/>
          <w:szCs w:val="32"/>
          <w:lang w:val="en-US" w:eastAsia="zh-CN" w:bidi="ar-SA"/>
        </w:rPr>
      </w:pPr>
      <w:r>
        <w:rPr>
          <w:rFonts w:hint="eastAsia" w:ascii="CESI楷体-GB2312" w:hAnsi="CESI楷体-GB2312" w:eastAsia="CESI楷体-GB2312" w:cs="CESI楷体-GB2312"/>
          <w:color w:val="auto"/>
          <w:kern w:val="2"/>
          <w:sz w:val="32"/>
          <w:szCs w:val="32"/>
          <w:lang w:val="en-US" w:eastAsia="zh-CN" w:bidi="ar-SA"/>
        </w:rPr>
        <w:t>（二）优化审批权限，激发国企发展活力</w:t>
      </w:r>
    </w:p>
    <w:p w14:paraId="6CF9D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聚焦审批权限的系统性优化，着力</w:t>
      </w:r>
      <w:r>
        <w:rPr>
          <w:rFonts w:hint="eastAsia" w:ascii="仿宋_GB2312" w:hAnsi="仿宋_GB2312" w:eastAsia="仿宋_GB2312" w:cs="仿宋_GB2312"/>
          <w:sz w:val="32"/>
          <w:szCs w:val="32"/>
          <w:lang w:eastAsia="zh-CN"/>
        </w:rPr>
        <w:t>构建“常规经营充分授权、重大事项审慎收紧”的监管体系，在激发企业内生活力的同时守住国有资产安全底线。</w:t>
      </w:r>
    </w:p>
    <w:p w14:paraId="56576E82">
      <w:pPr>
        <w:numPr>
          <w:ilvl w:val="0"/>
          <w:numId w:val="0"/>
        </w:num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1.产权管理。</w:t>
      </w:r>
      <w:r>
        <w:rPr>
          <w:rFonts w:hint="eastAsia" w:ascii="仿宋_GB2312" w:hAnsi="仿宋_GB2312" w:eastAsia="仿宋_GB2312" w:cs="仿宋_GB2312"/>
          <w:b w:val="0"/>
          <w:bCs w:val="0"/>
          <w:sz w:val="32"/>
          <w:szCs w:val="32"/>
          <w:lang w:val="en-US" w:eastAsia="zh-CN"/>
        </w:rPr>
        <w:t>改变原制度按“金额分档”的审批模式，建立以“企业层级”与“资产性质”为核心的审批框架。</w:t>
      </w:r>
      <w:r>
        <w:rPr>
          <w:rFonts w:hint="default"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sz w:val="32"/>
          <w:szCs w:val="32"/>
          <w:lang w:val="en-US" w:eastAsia="zh-CN"/>
        </w:rPr>
        <w:t>下放权限方面。为提升企业运营效率，将直管企业下属企业的股权变动、增资扩股，以及除土地、房屋外的其他资产（固定资产、无形资产等）处置，原则上授予直管企业自行决策。</w:t>
      </w:r>
      <w:r>
        <w:rPr>
          <w:rFonts w:hint="default"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val="en-US" w:eastAsia="zh-CN"/>
        </w:rPr>
        <w:t>严控权限方面。将涉及直管企业自身的产权变动、具有重大战略意义的直管企业下属企业股权变动、增资扩股以及土地、房屋的处置，决策权上收至区政府常务会议或区国资监管部门。</w:t>
      </w:r>
    </w:p>
    <w:p w14:paraId="0ABEA5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2.投资管理。</w:t>
      </w:r>
      <w:r>
        <w:rPr>
          <w:rFonts w:hint="eastAsia" w:ascii="仿宋_GB2312" w:hAnsi="仿宋_GB2312" w:eastAsia="仿宋_GB2312" w:cs="仿宋_GB2312"/>
          <w:sz w:val="32"/>
          <w:szCs w:val="32"/>
          <w:lang w:val="en-US" w:eastAsia="zh-CN"/>
        </w:rPr>
        <w:t>新制度不再按投资金额划分审批层级，确立以“报批事项清单”为核心的投资管理模式，明确企业享有清单之外的投资决策权。</w:t>
      </w:r>
      <w:r>
        <w:rPr>
          <w:rFonts w:hint="default"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val="en-US" w:eastAsia="zh-CN"/>
        </w:rPr>
        <w:t>下放权限方面。清单之外的投资项目由企业自主决策，尤其是明确财务性股权投资、合作设立基金等市场化行为由企业决策。</w:t>
      </w:r>
      <w:r>
        <w:rPr>
          <w:rFonts w:hint="default"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val="en-US" w:eastAsia="zh-CN"/>
        </w:rPr>
        <w:t>严控权限方面。</w:t>
      </w:r>
      <w:r>
        <w:rPr>
          <w:rFonts w:hint="default" w:ascii="仿宋_GB2312" w:hAnsi="仿宋_GB2312" w:eastAsia="仿宋_GB2312" w:cs="仿宋_GB2312"/>
          <w:sz w:val="32"/>
          <w:szCs w:val="32"/>
          <w:lang w:val="en-US" w:eastAsia="zh-CN"/>
        </w:rPr>
        <w:t>清单内的</w:t>
      </w:r>
      <w:r>
        <w:rPr>
          <w:rFonts w:hint="eastAsia" w:ascii="仿宋_GB2312" w:hAnsi="仿宋_GB2312" w:eastAsia="仿宋_GB2312" w:cs="仿宋_GB2312"/>
          <w:sz w:val="32"/>
          <w:szCs w:val="32"/>
          <w:lang w:val="en-US" w:eastAsia="zh-CN"/>
        </w:rPr>
        <w:t>设立直管企业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特殊项目</w:t>
      </w:r>
      <w:r>
        <w:rPr>
          <w:rFonts w:hint="default" w:ascii="仿宋_GB2312" w:hAnsi="仿宋_GB2312" w:eastAsia="仿宋_GB2312" w:cs="仿宋_GB2312"/>
          <w:sz w:val="32"/>
          <w:szCs w:val="32"/>
          <w:lang w:val="en-US" w:eastAsia="zh-CN"/>
        </w:rPr>
        <w:t>投资</w:t>
      </w:r>
      <w:r>
        <w:rPr>
          <w:rFonts w:hint="eastAsia" w:ascii="仿宋_GB2312" w:hAnsi="仿宋_GB2312" w:eastAsia="仿宋_GB2312" w:cs="仿宋_GB2312"/>
          <w:sz w:val="32"/>
          <w:szCs w:val="32"/>
          <w:lang w:val="en-US" w:eastAsia="zh-CN"/>
        </w:rPr>
        <w:t>（如境外投资、金额占净资产50%以上投资、与非国有主体合作且没有控制权的项目等）、负债率超过70%直管企业的投资，报区政府常务会议审议；金额占净资产30%以上投资及设立所属企业、参股公司，报区国资监管部门审批。</w:t>
      </w:r>
      <w:r>
        <w:rPr>
          <w:rFonts w:hint="default"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val="en-US" w:eastAsia="zh-CN"/>
        </w:rPr>
        <w:t>对于投资金额超过立项金额的项目，取消</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金额</w:t>
      </w:r>
      <w:r>
        <w:rPr>
          <w:rFonts w:hint="default" w:ascii="仿宋_GB2312" w:hAnsi="仿宋_GB2312" w:eastAsia="仿宋_GB2312" w:cs="仿宋_GB2312"/>
          <w:sz w:val="32"/>
          <w:szCs w:val="32"/>
          <w:lang w:val="en-US" w:eastAsia="zh-CN"/>
        </w:rPr>
        <w:t>审批的</w:t>
      </w:r>
      <w:r>
        <w:rPr>
          <w:rFonts w:hint="eastAsia" w:ascii="仿宋_GB2312" w:hAnsi="仿宋_GB2312" w:eastAsia="仿宋_GB2312" w:cs="仿宋_GB2312"/>
          <w:sz w:val="32"/>
          <w:szCs w:val="32"/>
          <w:lang w:val="en-US" w:eastAsia="zh-CN"/>
        </w:rPr>
        <w:t>门槛，规定任何超过原立项金额的投资，均需重新履行决策程序。</w:t>
      </w:r>
    </w:p>
    <w:p w14:paraId="4448AA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3.人事与薪酬管理。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下放权限方面，</w:t>
      </w:r>
      <w:r>
        <w:rPr>
          <w:rFonts w:hint="default" w:ascii="仿宋_GB2312" w:hAnsi="仿宋_GB2312" w:eastAsia="仿宋_GB2312" w:cs="仿宋_GB2312"/>
          <w:sz w:val="32"/>
          <w:szCs w:val="32"/>
          <w:lang w:val="en-US" w:eastAsia="zh-CN"/>
        </w:rPr>
        <w:t>将直管企业定岗定员方案由审批改为备案，并将职级与薪酬体系制定权下放，监管重点转向薪酬总额预算审批。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严控权限方面，将直管企业董事会秘书、部分关键岗位的任免权限，由企业自主决定调整为报区国资监管部门审批后任免。</w:t>
      </w:r>
    </w:p>
    <w:p w14:paraId="2FC27E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4.其他收紧权限。</w:t>
      </w:r>
      <w:r>
        <w:rPr>
          <w:rFonts w:hint="eastAsia" w:ascii="仿宋_GB2312" w:hAnsi="仿宋_GB2312" w:eastAsia="仿宋_GB2312" w:cs="仿宋_GB2312"/>
          <w:sz w:val="32"/>
          <w:szCs w:val="32"/>
          <w:lang w:val="en-US" w:eastAsia="zh-CN"/>
        </w:rPr>
        <w:t>原由已撤销的区国有资产监督管理工作领导小组审议的部分权限，统一移交至区政府常务会议行使，包括：企业单笔1000万元以上的资产损失核销、为境外融资提供担保等。</w:t>
      </w:r>
    </w:p>
    <w:p w14:paraId="695BDED3">
      <w:pPr>
        <w:pStyle w:val="8"/>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CESI楷体-GB2312" w:hAnsi="CESI楷体-GB2312" w:eastAsia="CESI楷体-GB2312" w:cs="CESI楷体-GB2312"/>
          <w:color w:val="auto"/>
          <w:kern w:val="2"/>
          <w:sz w:val="32"/>
          <w:szCs w:val="32"/>
          <w:lang w:val="en-US" w:eastAsia="zh-CN" w:bidi="ar-SA"/>
        </w:rPr>
      </w:pPr>
      <w:r>
        <w:rPr>
          <w:rFonts w:hint="eastAsia" w:ascii="CESI楷体-GB2312" w:hAnsi="CESI楷体-GB2312" w:eastAsia="CESI楷体-GB2312" w:cs="CESI楷体-GB2312"/>
          <w:color w:val="auto"/>
          <w:kern w:val="2"/>
          <w:sz w:val="32"/>
          <w:szCs w:val="32"/>
          <w:lang w:val="en-US" w:eastAsia="zh-CN" w:bidi="ar-SA"/>
        </w:rPr>
        <w:t>（三）理顺逻辑架构，提升制度执行效能</w:t>
      </w:r>
    </w:p>
    <w:p w14:paraId="3D38D144">
      <w:pPr>
        <w:pStyle w:val="8"/>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sz w:val="32"/>
          <w:szCs w:val="32"/>
          <w:lang w:val="en-US" w:eastAsia="zh-CN"/>
        </w:rPr>
        <w:t>对部分制度的篇章结构进行系统梳理和优化调整，使其逻辑更顺畅，便于执行。比如：国有产权变动规定按照审批、审计、评估、交易的顺序进行调整；人事管理规定按照总则、组织架构、普通员工管理、领导人员管理、人才储备、人事档案等顺序进行调整；参股管理规定按照投资参股到股权退出的全流程进行调整；将人事管理中财务总监联签的内容调整到财务管理规定中。</w:t>
      </w:r>
    </w:p>
    <w:p w14:paraId="60CFE62F">
      <w:pPr>
        <w:keepNext w:val="0"/>
        <w:keepLines w:val="0"/>
        <w:pageBreakBefore w:val="0"/>
        <w:widowControl w:val="0"/>
        <w:kinsoku/>
        <w:wordWrap/>
        <w:overflowPunct/>
        <w:topLinePunct w:val="0"/>
        <w:autoSpaceDN/>
        <w:bidi w:val="0"/>
        <w:adjustRightInd/>
        <w:snapToGrid/>
        <w:spacing w:line="560" w:lineRule="exact"/>
        <w:textAlignment w:val="auto"/>
        <w:rPr>
          <w:rFonts w:hint="default"/>
          <w:lang w:val="en" w:eastAsia="zh-CN"/>
        </w:rPr>
      </w:pPr>
    </w:p>
    <w:sectPr>
      <w:footerReference r:id="rId3" w:type="default"/>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长城楷体">
    <w:altName w:val="方正楷体_GBK"/>
    <w:panose1 w:val="00000000000000000000"/>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62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497A">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- 2 -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DA497A">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- 2 -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A08D6"/>
    <w:rsid w:val="0A362C60"/>
    <w:rsid w:val="0BAD2575"/>
    <w:rsid w:val="0F6F9AF9"/>
    <w:rsid w:val="12FA5F41"/>
    <w:rsid w:val="13FD0A8B"/>
    <w:rsid w:val="176ED291"/>
    <w:rsid w:val="17F3E840"/>
    <w:rsid w:val="198BE638"/>
    <w:rsid w:val="1A6FB061"/>
    <w:rsid w:val="1EFE88CC"/>
    <w:rsid w:val="1F7793BF"/>
    <w:rsid w:val="1F7DAAB3"/>
    <w:rsid w:val="1FFB3A0C"/>
    <w:rsid w:val="21050A8E"/>
    <w:rsid w:val="2376368D"/>
    <w:rsid w:val="23FB857C"/>
    <w:rsid w:val="26FC6E6C"/>
    <w:rsid w:val="275E95B3"/>
    <w:rsid w:val="279FB60F"/>
    <w:rsid w:val="2BDF3EC8"/>
    <w:rsid w:val="2BFD0CDE"/>
    <w:rsid w:val="2DBF0319"/>
    <w:rsid w:val="2DDC3C72"/>
    <w:rsid w:val="2F5EDC91"/>
    <w:rsid w:val="33FB24C8"/>
    <w:rsid w:val="35AB4CD6"/>
    <w:rsid w:val="363F2A24"/>
    <w:rsid w:val="3664AD4D"/>
    <w:rsid w:val="36BF8063"/>
    <w:rsid w:val="37EB9761"/>
    <w:rsid w:val="38FEBC09"/>
    <w:rsid w:val="39FD6CEA"/>
    <w:rsid w:val="3B2D61D0"/>
    <w:rsid w:val="3BF7A8BA"/>
    <w:rsid w:val="3BFD9AA4"/>
    <w:rsid w:val="3BFFED19"/>
    <w:rsid w:val="3D7E0F14"/>
    <w:rsid w:val="3D9DC344"/>
    <w:rsid w:val="3DF7A8C6"/>
    <w:rsid w:val="3DFEBCEA"/>
    <w:rsid w:val="3E3DB263"/>
    <w:rsid w:val="3E48640F"/>
    <w:rsid w:val="3E7BE5E3"/>
    <w:rsid w:val="3EE523CD"/>
    <w:rsid w:val="3EFF7708"/>
    <w:rsid w:val="3F7BA777"/>
    <w:rsid w:val="3F9F6242"/>
    <w:rsid w:val="3FB7241A"/>
    <w:rsid w:val="3FD7DEB3"/>
    <w:rsid w:val="3FED1B82"/>
    <w:rsid w:val="3FEED905"/>
    <w:rsid w:val="465269BF"/>
    <w:rsid w:val="476BE692"/>
    <w:rsid w:val="48B32D18"/>
    <w:rsid w:val="49DD13DC"/>
    <w:rsid w:val="4A6254A3"/>
    <w:rsid w:val="4A6E543D"/>
    <w:rsid w:val="4A79117E"/>
    <w:rsid w:val="4BD73EAC"/>
    <w:rsid w:val="4C376359"/>
    <w:rsid w:val="4CEF2366"/>
    <w:rsid w:val="4D852DB2"/>
    <w:rsid w:val="4DEFF3F6"/>
    <w:rsid w:val="4E8570C5"/>
    <w:rsid w:val="4E97CA18"/>
    <w:rsid w:val="4EDD2519"/>
    <w:rsid w:val="4FAB437E"/>
    <w:rsid w:val="4FB52B56"/>
    <w:rsid w:val="4FEF3563"/>
    <w:rsid w:val="4FFD80E0"/>
    <w:rsid w:val="4FFDFA03"/>
    <w:rsid w:val="54CF571B"/>
    <w:rsid w:val="55FB998B"/>
    <w:rsid w:val="56AEDA2A"/>
    <w:rsid w:val="5793125E"/>
    <w:rsid w:val="57BFCC0E"/>
    <w:rsid w:val="57DF8F6C"/>
    <w:rsid w:val="57FE4597"/>
    <w:rsid w:val="5A7997A1"/>
    <w:rsid w:val="5B5EF328"/>
    <w:rsid w:val="5BBEA377"/>
    <w:rsid w:val="5C5275A8"/>
    <w:rsid w:val="5CFFB9AA"/>
    <w:rsid w:val="5D1FE4A5"/>
    <w:rsid w:val="5E75B317"/>
    <w:rsid w:val="5ECAA810"/>
    <w:rsid w:val="5EFE631A"/>
    <w:rsid w:val="5F3D1297"/>
    <w:rsid w:val="5F7F5FA0"/>
    <w:rsid w:val="5F9F6232"/>
    <w:rsid w:val="5FA4A5A9"/>
    <w:rsid w:val="60F7AD92"/>
    <w:rsid w:val="627B90ED"/>
    <w:rsid w:val="62DFAC52"/>
    <w:rsid w:val="635F1B4E"/>
    <w:rsid w:val="63EF7377"/>
    <w:rsid w:val="64EEDBA5"/>
    <w:rsid w:val="662F191A"/>
    <w:rsid w:val="66EA4752"/>
    <w:rsid w:val="67142E00"/>
    <w:rsid w:val="67BBCA8F"/>
    <w:rsid w:val="67DFAC25"/>
    <w:rsid w:val="6979218A"/>
    <w:rsid w:val="6CBEB136"/>
    <w:rsid w:val="6D7501D3"/>
    <w:rsid w:val="6D8493D5"/>
    <w:rsid w:val="6DD7CB2E"/>
    <w:rsid w:val="6DDEA196"/>
    <w:rsid w:val="6F7C2103"/>
    <w:rsid w:val="6FB78206"/>
    <w:rsid w:val="6FDE3AD1"/>
    <w:rsid w:val="6FE30FB7"/>
    <w:rsid w:val="6FED38A3"/>
    <w:rsid w:val="6FFFAEE2"/>
    <w:rsid w:val="706EA6EC"/>
    <w:rsid w:val="717BBADA"/>
    <w:rsid w:val="724A08D6"/>
    <w:rsid w:val="73573E2B"/>
    <w:rsid w:val="735BEA9D"/>
    <w:rsid w:val="737E8B68"/>
    <w:rsid w:val="73FEFBEC"/>
    <w:rsid w:val="75F8B325"/>
    <w:rsid w:val="764DF878"/>
    <w:rsid w:val="766D2B14"/>
    <w:rsid w:val="774F8CF5"/>
    <w:rsid w:val="7774C4E2"/>
    <w:rsid w:val="777EC5F0"/>
    <w:rsid w:val="77AF2C95"/>
    <w:rsid w:val="77B7E59B"/>
    <w:rsid w:val="77BD31DB"/>
    <w:rsid w:val="77E73565"/>
    <w:rsid w:val="77EDE4EB"/>
    <w:rsid w:val="77F40938"/>
    <w:rsid w:val="77FF11DC"/>
    <w:rsid w:val="77FF2D10"/>
    <w:rsid w:val="77FF4E75"/>
    <w:rsid w:val="77FF8704"/>
    <w:rsid w:val="78DE9239"/>
    <w:rsid w:val="78EE021B"/>
    <w:rsid w:val="78FE5DBA"/>
    <w:rsid w:val="796FFDA4"/>
    <w:rsid w:val="79DFC59C"/>
    <w:rsid w:val="79FA688F"/>
    <w:rsid w:val="7AD65278"/>
    <w:rsid w:val="7ADBA9F6"/>
    <w:rsid w:val="7AEFE93F"/>
    <w:rsid w:val="7B1FEBAF"/>
    <w:rsid w:val="7BBF728B"/>
    <w:rsid w:val="7BDFC3AC"/>
    <w:rsid w:val="7BDFF435"/>
    <w:rsid w:val="7BFBE8F5"/>
    <w:rsid w:val="7CD7761C"/>
    <w:rsid w:val="7CF7F5D0"/>
    <w:rsid w:val="7D3D21BF"/>
    <w:rsid w:val="7D732D01"/>
    <w:rsid w:val="7DADCA50"/>
    <w:rsid w:val="7DDCA19F"/>
    <w:rsid w:val="7DE54BD6"/>
    <w:rsid w:val="7DEE5B44"/>
    <w:rsid w:val="7DEFAA80"/>
    <w:rsid w:val="7DF003AA"/>
    <w:rsid w:val="7DFB04C2"/>
    <w:rsid w:val="7DFBD82F"/>
    <w:rsid w:val="7E1FBDD4"/>
    <w:rsid w:val="7E5D3134"/>
    <w:rsid w:val="7E7A354B"/>
    <w:rsid w:val="7E7B7907"/>
    <w:rsid w:val="7ED701D5"/>
    <w:rsid w:val="7EFD9ACE"/>
    <w:rsid w:val="7EFFFB8A"/>
    <w:rsid w:val="7F3DF280"/>
    <w:rsid w:val="7F3E1FB2"/>
    <w:rsid w:val="7F3F9235"/>
    <w:rsid w:val="7F5FD992"/>
    <w:rsid w:val="7F63EBFC"/>
    <w:rsid w:val="7F6DA6B7"/>
    <w:rsid w:val="7F7C801A"/>
    <w:rsid w:val="7F7D3B53"/>
    <w:rsid w:val="7F7DA7CD"/>
    <w:rsid w:val="7F7F72CA"/>
    <w:rsid w:val="7F8DB9BB"/>
    <w:rsid w:val="7FA882C7"/>
    <w:rsid w:val="7FB3154A"/>
    <w:rsid w:val="7FBB07FA"/>
    <w:rsid w:val="7FC7D760"/>
    <w:rsid w:val="7FCB4E20"/>
    <w:rsid w:val="7FCECE1A"/>
    <w:rsid w:val="7FD44460"/>
    <w:rsid w:val="7FD971CF"/>
    <w:rsid w:val="7FDAF959"/>
    <w:rsid w:val="7FDF9FBB"/>
    <w:rsid w:val="7FF33B0E"/>
    <w:rsid w:val="7FF3EC5C"/>
    <w:rsid w:val="7FF60233"/>
    <w:rsid w:val="7FF9941A"/>
    <w:rsid w:val="7FFC0A2D"/>
    <w:rsid w:val="7FFE4F90"/>
    <w:rsid w:val="7FFEEC74"/>
    <w:rsid w:val="7FFF27A3"/>
    <w:rsid w:val="7FFF42E3"/>
    <w:rsid w:val="7FFF7466"/>
    <w:rsid w:val="7FFFB638"/>
    <w:rsid w:val="8D3F5FF5"/>
    <w:rsid w:val="8EF35E55"/>
    <w:rsid w:val="8FFB5D8F"/>
    <w:rsid w:val="91FF1397"/>
    <w:rsid w:val="9BD70081"/>
    <w:rsid w:val="9BEB9AFF"/>
    <w:rsid w:val="9BF52689"/>
    <w:rsid w:val="9BFEA087"/>
    <w:rsid w:val="9C9DE772"/>
    <w:rsid w:val="9CBF61C0"/>
    <w:rsid w:val="9DDF678A"/>
    <w:rsid w:val="9DFFAA09"/>
    <w:rsid w:val="9E779B03"/>
    <w:rsid w:val="9F7F9695"/>
    <w:rsid w:val="9FEFDB01"/>
    <w:rsid w:val="AA7B5741"/>
    <w:rsid w:val="AB9E4FFB"/>
    <w:rsid w:val="ACE7720B"/>
    <w:rsid w:val="AFAD4BD0"/>
    <w:rsid w:val="AFCAAB26"/>
    <w:rsid w:val="AFDDF8B9"/>
    <w:rsid w:val="B0FF4ABF"/>
    <w:rsid w:val="B26F833D"/>
    <w:rsid w:val="B71FC45E"/>
    <w:rsid w:val="B76E5FAD"/>
    <w:rsid w:val="B796EC8E"/>
    <w:rsid w:val="B7B79AED"/>
    <w:rsid w:val="B7FC1CA8"/>
    <w:rsid w:val="BACF8C4A"/>
    <w:rsid w:val="BAFBD25F"/>
    <w:rsid w:val="BAFFA0BF"/>
    <w:rsid w:val="BB73DAC4"/>
    <w:rsid w:val="BBDB323A"/>
    <w:rsid w:val="BBF748A9"/>
    <w:rsid w:val="BDBFAD66"/>
    <w:rsid w:val="BDDF096E"/>
    <w:rsid w:val="BDEF944E"/>
    <w:rsid w:val="BDF7B909"/>
    <w:rsid w:val="BE9B105D"/>
    <w:rsid w:val="BEB3B7AF"/>
    <w:rsid w:val="BEFF1008"/>
    <w:rsid w:val="BF7FD665"/>
    <w:rsid w:val="BFB54BD1"/>
    <w:rsid w:val="BFF929E5"/>
    <w:rsid w:val="BFFE4AE7"/>
    <w:rsid w:val="BFFF6507"/>
    <w:rsid w:val="C55FAFB4"/>
    <w:rsid w:val="C7DF21E2"/>
    <w:rsid w:val="C9FD021C"/>
    <w:rsid w:val="CBBFF71B"/>
    <w:rsid w:val="CD75DD3E"/>
    <w:rsid w:val="CDBE3796"/>
    <w:rsid w:val="CDF60D3E"/>
    <w:rsid w:val="CF6FE5E9"/>
    <w:rsid w:val="CFEFC751"/>
    <w:rsid w:val="CFFBA46D"/>
    <w:rsid w:val="CFFD73FD"/>
    <w:rsid w:val="D3F59406"/>
    <w:rsid w:val="D3FA6708"/>
    <w:rsid w:val="D6BF35AD"/>
    <w:rsid w:val="D6FE3014"/>
    <w:rsid w:val="D75D2D01"/>
    <w:rsid w:val="D797E1ED"/>
    <w:rsid w:val="D7B5D460"/>
    <w:rsid w:val="D7EBDD5A"/>
    <w:rsid w:val="D7FB1EC2"/>
    <w:rsid w:val="D97FF61D"/>
    <w:rsid w:val="D9CC2E4D"/>
    <w:rsid w:val="D9F4BCC8"/>
    <w:rsid w:val="DA3580A7"/>
    <w:rsid w:val="DAEF37E8"/>
    <w:rsid w:val="DB7BC70C"/>
    <w:rsid w:val="DBBF47B7"/>
    <w:rsid w:val="DBCED8E7"/>
    <w:rsid w:val="DBEF9D5A"/>
    <w:rsid w:val="DC5B2464"/>
    <w:rsid w:val="DCD718EF"/>
    <w:rsid w:val="DCF35161"/>
    <w:rsid w:val="DD7B7ACE"/>
    <w:rsid w:val="DDAD60F7"/>
    <w:rsid w:val="DDBFDBF9"/>
    <w:rsid w:val="DDDD041B"/>
    <w:rsid w:val="DDF170C8"/>
    <w:rsid w:val="DEBF6325"/>
    <w:rsid w:val="DEDB9E35"/>
    <w:rsid w:val="DEEFA8A3"/>
    <w:rsid w:val="DEF202AF"/>
    <w:rsid w:val="DEF3A3DA"/>
    <w:rsid w:val="DF6BB805"/>
    <w:rsid w:val="DFD77F69"/>
    <w:rsid w:val="DFDD3BD9"/>
    <w:rsid w:val="DFDF6B49"/>
    <w:rsid w:val="DFE70ABE"/>
    <w:rsid w:val="DFEF09D8"/>
    <w:rsid w:val="DFF7D398"/>
    <w:rsid w:val="DFFF22C5"/>
    <w:rsid w:val="E3FD546C"/>
    <w:rsid w:val="E576DB55"/>
    <w:rsid w:val="E6F71C37"/>
    <w:rsid w:val="E7B1DE51"/>
    <w:rsid w:val="E7BBEB04"/>
    <w:rsid w:val="E7FF70A2"/>
    <w:rsid w:val="E97DD8BE"/>
    <w:rsid w:val="E9EF15EA"/>
    <w:rsid w:val="EB757231"/>
    <w:rsid w:val="EB78240F"/>
    <w:rsid w:val="EBB902EC"/>
    <w:rsid w:val="EBFF76AF"/>
    <w:rsid w:val="ECCE9D81"/>
    <w:rsid w:val="ED7AD44D"/>
    <w:rsid w:val="ED7F25AA"/>
    <w:rsid w:val="EDFB0460"/>
    <w:rsid w:val="EE5F60AE"/>
    <w:rsid w:val="EEEF007C"/>
    <w:rsid w:val="EEEFB68F"/>
    <w:rsid w:val="EF6EF21E"/>
    <w:rsid w:val="EFAF5A69"/>
    <w:rsid w:val="EFB54976"/>
    <w:rsid w:val="EFD7E188"/>
    <w:rsid w:val="EFDFBA0B"/>
    <w:rsid w:val="EFEAF9C7"/>
    <w:rsid w:val="EFEBCBE9"/>
    <w:rsid w:val="EFEE3DF8"/>
    <w:rsid w:val="EFEF35B1"/>
    <w:rsid w:val="EFEFE065"/>
    <w:rsid w:val="EFF75333"/>
    <w:rsid w:val="EFFBA195"/>
    <w:rsid w:val="EFFF1DD2"/>
    <w:rsid w:val="F2696898"/>
    <w:rsid w:val="F26AEB5C"/>
    <w:rsid w:val="F371E645"/>
    <w:rsid w:val="F3B5F5E1"/>
    <w:rsid w:val="F577BABC"/>
    <w:rsid w:val="F5D6A5A2"/>
    <w:rsid w:val="F5DE3548"/>
    <w:rsid w:val="F5E72D92"/>
    <w:rsid w:val="F6FF3005"/>
    <w:rsid w:val="F6FF89F3"/>
    <w:rsid w:val="F7A33964"/>
    <w:rsid w:val="F7BF84B8"/>
    <w:rsid w:val="F7BFEB50"/>
    <w:rsid w:val="F7E34175"/>
    <w:rsid w:val="F7F71B5D"/>
    <w:rsid w:val="F7FCFFDF"/>
    <w:rsid w:val="F7FDBD28"/>
    <w:rsid w:val="F7FE3D50"/>
    <w:rsid w:val="F7FE6906"/>
    <w:rsid w:val="F7FF4892"/>
    <w:rsid w:val="F8F7C093"/>
    <w:rsid w:val="F8FB9752"/>
    <w:rsid w:val="F93DF7B4"/>
    <w:rsid w:val="F97B2FD9"/>
    <w:rsid w:val="F9BD2F33"/>
    <w:rsid w:val="FA9F0846"/>
    <w:rsid w:val="FAF914AD"/>
    <w:rsid w:val="FAF96EB5"/>
    <w:rsid w:val="FAFF3D91"/>
    <w:rsid w:val="FAFFF598"/>
    <w:rsid w:val="FB7B83A1"/>
    <w:rsid w:val="FBF972D5"/>
    <w:rsid w:val="FBFB0953"/>
    <w:rsid w:val="FBFFB9FF"/>
    <w:rsid w:val="FC662953"/>
    <w:rsid w:val="FC9B0734"/>
    <w:rsid w:val="FCB75218"/>
    <w:rsid w:val="FD47EB5C"/>
    <w:rsid w:val="FD762394"/>
    <w:rsid w:val="FD7BF39D"/>
    <w:rsid w:val="FD7F7E45"/>
    <w:rsid w:val="FDB6CF35"/>
    <w:rsid w:val="FDFF17DF"/>
    <w:rsid w:val="FE9BF5F0"/>
    <w:rsid w:val="FECFC467"/>
    <w:rsid w:val="FED23AA5"/>
    <w:rsid w:val="FEF53CB2"/>
    <w:rsid w:val="FEF68D4C"/>
    <w:rsid w:val="FEF79E7F"/>
    <w:rsid w:val="FEF7AC57"/>
    <w:rsid w:val="FEF91E99"/>
    <w:rsid w:val="FEFFF2DC"/>
    <w:rsid w:val="FF1762D1"/>
    <w:rsid w:val="FF33AA22"/>
    <w:rsid w:val="FF57B27C"/>
    <w:rsid w:val="FF6E4336"/>
    <w:rsid w:val="FF77315B"/>
    <w:rsid w:val="FF7FE235"/>
    <w:rsid w:val="FF9F2596"/>
    <w:rsid w:val="FFA34409"/>
    <w:rsid w:val="FFADC135"/>
    <w:rsid w:val="FFBE1670"/>
    <w:rsid w:val="FFBE42AE"/>
    <w:rsid w:val="FFBFC7A5"/>
    <w:rsid w:val="FFCDCA7F"/>
    <w:rsid w:val="FFDBC875"/>
    <w:rsid w:val="FFDC1D66"/>
    <w:rsid w:val="FFDDBE79"/>
    <w:rsid w:val="FFEF2164"/>
    <w:rsid w:val="FFEF6FA8"/>
    <w:rsid w:val="FFF7F13B"/>
    <w:rsid w:val="FFF9350E"/>
    <w:rsid w:val="FFF9DCDB"/>
    <w:rsid w:val="FFFDD7CE"/>
    <w:rsid w:val="FFFE2113"/>
    <w:rsid w:val="FFFF363E"/>
    <w:rsid w:val="FFFFE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overflowPunct w:val="0"/>
      <w:autoSpaceDE w:val="0"/>
      <w:autoSpaceDN w:val="0"/>
      <w:adjustRightInd w:val="0"/>
      <w:spacing w:after="180" w:line="400" w:lineRule="atLeast"/>
      <w:ind w:firstLine="420"/>
      <w:jc w:val="left"/>
      <w:textAlignment w:val="baseline"/>
    </w:pPr>
    <w:rPr>
      <w:rFonts w:ascii="长城楷体" w:hAnsi="Times New Roman" w:eastAsia="长城楷体" w:cs="Times New Roman"/>
      <w:kern w:val="0"/>
      <w:sz w:val="28"/>
      <w:szCs w:val="20"/>
    </w:r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WW-Default"/>
    <w:qFormat/>
    <w:uiPriority w:val="99"/>
    <w:pPr>
      <w:widowControl w:val="0"/>
      <w:suppressAutoHyphens/>
      <w:autoSpaceDE w:val="0"/>
    </w:pPr>
    <w:rPr>
      <w:rFonts w:ascii="Calibri" w:hAnsi="Calibri" w:eastAsia="宋体" w:cs="Times New Roman"/>
      <w:color w:val="000000"/>
      <w:sz w:val="24"/>
      <w:szCs w:val="24"/>
      <w:lang w:val="en-US" w:eastAsia="zh-CN" w:bidi="ar-SA"/>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character" w:customStyle="1" w:styleId="10">
    <w:name w:val="artcontent"/>
    <w:qFormat/>
    <w:uiPriority w:val="0"/>
    <w:rPr>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2020-12-01T04:51:00Z</dcterms:created>
  <dc:creator>Sandy</dc:creator>
  <cp:lastModifiedBy>吴晓玲</cp:lastModifiedBy>
  <cp:lastPrinted>2023-09-11T11:18:00Z</cp:lastPrinted>
  <dcterms:modified xsi:type="dcterms:W3CDTF">2026-03-23T10:43:51Z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39A08482DC25576F05EE72692FDCE11C_42</vt:lpwstr>
  </property>
</Properties>
</file>