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36C96">
      <w:pPr>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w:t>
      </w:r>
      <w:r>
        <w:rPr>
          <w:rFonts w:hint="eastAsia" w:ascii="方正小标宋简体" w:hAnsi="方正小标宋简体" w:eastAsia="方正小标宋简体" w:cs="方正小标宋简体"/>
          <w:color w:val="auto"/>
          <w:sz w:val="44"/>
          <w:szCs w:val="44"/>
          <w:highlight w:val="none"/>
          <w:lang w:val="en-US" w:eastAsia="zh-CN"/>
        </w:rPr>
        <w:t>深圳市</w:t>
      </w:r>
      <w:r>
        <w:rPr>
          <w:rFonts w:hint="eastAsia" w:ascii="方正小标宋简体" w:hAnsi="方正小标宋简体" w:eastAsia="方正小标宋简体" w:cs="方正小标宋简体"/>
          <w:color w:val="auto"/>
          <w:sz w:val="44"/>
          <w:szCs w:val="44"/>
          <w:highlight w:val="none"/>
        </w:rPr>
        <w:t>光明区科技创新“十五五”规划》</w:t>
      </w:r>
    </w:p>
    <w:p w14:paraId="620E941D">
      <w:pPr>
        <w:spacing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编制说明</w:t>
      </w:r>
    </w:p>
    <w:p w14:paraId="28C7BF56">
      <w:pPr>
        <w:spacing w:line="560" w:lineRule="exact"/>
        <w:ind w:firstLine="640"/>
        <w:rPr>
          <w:color w:val="auto"/>
          <w:highlight w:val="none"/>
        </w:rPr>
      </w:pPr>
    </w:p>
    <w:p w14:paraId="1C159CB5">
      <w:pPr>
        <w:pStyle w:val="41"/>
        <w:spacing w:line="560" w:lineRule="exact"/>
        <w:ind w:firstLine="640"/>
        <w:rPr>
          <w:color w:val="auto"/>
          <w:highlight w:val="none"/>
        </w:rPr>
      </w:pPr>
      <w:r>
        <w:rPr>
          <w:rFonts w:hint="eastAsia"/>
          <w:color w:val="auto"/>
          <w:highlight w:val="none"/>
        </w:rPr>
        <w:t>为全面贯彻落实国家和广东省、深圳市有关科技创新决策部署，系统谋划“十五五”阶段科技创新发展路径，起草《</w:t>
      </w:r>
      <w:r>
        <w:rPr>
          <w:rFonts w:hint="eastAsia"/>
          <w:color w:val="auto"/>
          <w:highlight w:val="none"/>
          <w:lang w:val="en-US" w:eastAsia="zh-CN"/>
        </w:rPr>
        <w:t>深圳市</w:t>
      </w:r>
      <w:r>
        <w:rPr>
          <w:rFonts w:hint="eastAsia"/>
          <w:color w:val="auto"/>
          <w:highlight w:val="none"/>
        </w:rPr>
        <w:t>光明区科技创新“十五五”规划》（以下简称《规划》），现就有关情况说明如下：</w:t>
      </w:r>
    </w:p>
    <w:p w14:paraId="645A1F52">
      <w:pPr>
        <w:pStyle w:val="3"/>
        <w:keepNext w:val="0"/>
        <w:keepLines w:val="0"/>
        <w:ind w:firstLine="640"/>
        <w:rPr>
          <w:color w:val="auto"/>
          <w:highlight w:val="none"/>
        </w:rPr>
      </w:pPr>
      <w:r>
        <w:rPr>
          <w:rFonts w:hint="eastAsia"/>
          <w:color w:val="auto"/>
          <w:highlight w:val="none"/>
        </w:rPr>
        <w:t>一、编制背景</w:t>
      </w:r>
    </w:p>
    <w:p w14:paraId="40F1EA85">
      <w:pPr>
        <w:spacing w:line="56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《中华人民共和国国民经济和社会发展第十五个五年规划纲要》将“加快高水平科技自立自强 引领发展新质生产力”作为核心任务部署。光明科学城作为大湾区综合性国家科学中心先行启动区，肩负着助力国家实现高水平科技自立自强的历史使命，自</w:t>
      </w:r>
      <w:r>
        <w:rPr>
          <w:rFonts w:ascii="仿宋_GB2312" w:hAnsi="仿宋_GB2312" w:eastAsia="仿宋_GB2312" w:cs="仿宋_GB2312"/>
          <w:color w:val="auto"/>
          <w:kern w:val="0"/>
          <w:sz w:val="32"/>
          <w:szCs w:val="32"/>
          <w:highlight w:val="none"/>
          <w:lang w:bidi="ar"/>
        </w:rPr>
        <w:t>2018年启动建设以来，经过七年快速发展，已有22个重大科技创新载体在建或建成运营，“基础研究+技术攻关+成果转化+科技金融+人才支撑”全过程创新生态链初步成形，2024年光明科学城跃居全国科技城百强榜第7位，基本完成规划基建和创新生态培育两阶段建设任务。随着新一轮科技</w:t>
      </w:r>
      <w:r>
        <w:rPr>
          <w:rFonts w:hint="eastAsia" w:ascii="仿宋_GB2312" w:hAnsi="仿宋_GB2312" w:eastAsia="仿宋_GB2312" w:cs="仿宋_GB2312"/>
          <w:color w:val="auto"/>
          <w:kern w:val="0"/>
          <w:sz w:val="32"/>
          <w:szCs w:val="32"/>
          <w:highlight w:val="none"/>
          <w:lang w:bidi="ar"/>
        </w:rPr>
        <w:t>革命和产业变革加速突破，“十五五”期间，光明科学城建设迈入创新能级全面跃升、科技成果加速涌现的新阶段，需要高标准编制《</w:t>
      </w:r>
      <w:r>
        <w:rPr>
          <w:rFonts w:hint="eastAsia" w:ascii="仿宋_GB2312" w:hAnsi="仿宋_GB2312" w:eastAsia="仿宋_GB2312" w:cs="仿宋_GB2312"/>
          <w:color w:val="auto"/>
          <w:kern w:val="0"/>
          <w:sz w:val="32"/>
          <w:szCs w:val="32"/>
          <w:highlight w:val="none"/>
          <w:lang w:val="en-US" w:eastAsia="zh-CN" w:bidi="ar"/>
        </w:rPr>
        <w:t>深圳市</w:t>
      </w:r>
      <w:r>
        <w:rPr>
          <w:rFonts w:hint="eastAsia" w:ascii="仿宋_GB2312" w:hAnsi="仿宋_GB2312" w:eastAsia="仿宋_GB2312" w:cs="仿宋_GB2312"/>
          <w:color w:val="auto"/>
          <w:kern w:val="0"/>
          <w:sz w:val="32"/>
          <w:szCs w:val="32"/>
          <w:highlight w:val="none"/>
          <w:lang w:bidi="ar"/>
        </w:rPr>
        <w:t>光明区科技创新“十五五”规划》，锚定建设世界一流科学城的核心使命，着力提高科学竞争力和影响力，实现从“原始创新”“技术策源”向“产业赋能”“新质催生”的关键跃升，加快建设大湾区综合性国家科学中心先行启动区、更具全球影响力的产业科技创新中心和粤港澳大湾区高水平人才高地的核心承载区。</w:t>
      </w:r>
    </w:p>
    <w:p w14:paraId="45F238C6">
      <w:pPr>
        <w:pStyle w:val="3"/>
        <w:keepNext w:val="0"/>
        <w:keepLines w:val="0"/>
        <w:ind w:firstLine="640"/>
        <w:rPr>
          <w:color w:val="auto"/>
          <w:highlight w:val="none"/>
        </w:rPr>
      </w:pPr>
      <w:r>
        <w:rPr>
          <w:rFonts w:hint="eastAsia"/>
          <w:color w:val="auto"/>
          <w:highlight w:val="none"/>
        </w:rPr>
        <w:t>二、编制依据</w:t>
      </w:r>
    </w:p>
    <w:p w14:paraId="64AE07E9">
      <w:pPr>
        <w:pStyle w:val="44"/>
        <w:widowControl w:val="0"/>
        <w:spacing w:before="93" w:after="93"/>
        <w:ind w:firstLine="640"/>
        <w:rPr>
          <w:rFonts w:hAnsi="仿宋_GB2312" w:cs="仿宋_GB2312"/>
          <w:color w:val="auto"/>
          <w:kern w:val="0"/>
          <w:szCs w:val="32"/>
          <w:highlight w:val="none"/>
        </w:rPr>
      </w:pPr>
      <w:r>
        <w:rPr>
          <w:rFonts w:hint="eastAsia" w:hAnsi="仿宋_GB2312" w:cs="仿宋_GB2312"/>
          <w:color w:val="auto"/>
          <w:highlight w:val="none"/>
        </w:rPr>
        <w:t>依据《中华人民共和国国民经济和社会发展第十五个五年规划纲要》《广东省国民经济和社会发展第十五个五年规划纲要》《深圳市国民经济和社会发展第十五个五年规划纲要》以及国家、省、市、区有关科技创新的规划、文件，</w:t>
      </w:r>
      <w:r>
        <w:rPr>
          <w:rFonts w:hint="eastAsia" w:hAnsi="仿宋_GB2312" w:cs="仿宋_GB2312"/>
          <w:color w:val="auto"/>
          <w:kern w:val="0"/>
          <w:szCs w:val="32"/>
          <w:highlight w:val="none"/>
        </w:rPr>
        <w:t>编制本规划。</w:t>
      </w:r>
    </w:p>
    <w:p w14:paraId="39CEF827">
      <w:pPr>
        <w:pStyle w:val="3"/>
        <w:keepNext w:val="0"/>
        <w:keepLines w:val="0"/>
        <w:ind w:firstLine="640"/>
        <w:rPr>
          <w:color w:val="auto"/>
          <w:highlight w:val="none"/>
        </w:rPr>
      </w:pPr>
      <w:r>
        <w:rPr>
          <w:rFonts w:hint="eastAsia"/>
          <w:color w:val="auto"/>
          <w:highlight w:val="none"/>
        </w:rPr>
        <w:t>三、编制思路</w:t>
      </w:r>
    </w:p>
    <w:p w14:paraId="7C16DF4B">
      <w:pPr>
        <w:adjustRightInd w:val="0"/>
        <w:snapToGrid w:val="0"/>
        <w:spacing w:line="560" w:lineRule="exact"/>
        <w:ind w:firstLine="640" w:firstLineChars="200"/>
        <w:rPr>
          <w:rFonts w:hint="eastAsia" w:ascii="仿宋_GB2312" w:hAnsi="仿宋_GB2312" w:eastAsia="仿宋_GB2312" w:cs="仿宋_GB2312"/>
          <w:color w:val="auto"/>
          <w:sz w:val="32"/>
          <w:highlight w:val="none"/>
        </w:rPr>
      </w:pPr>
      <w:bookmarkStart w:id="0" w:name="_Hlk224906948"/>
      <w:r>
        <w:rPr>
          <w:rFonts w:hint="eastAsia" w:ascii="仿宋_GB2312" w:hAnsi="仿宋_GB2312" w:eastAsia="仿宋_GB2312" w:cs="仿宋_GB2312"/>
          <w:color w:val="auto"/>
          <w:sz w:val="32"/>
          <w:highlight w:val="none"/>
        </w:rPr>
        <w:t>基于国家、省、市科技创新</w:t>
      </w:r>
      <w:r>
        <w:rPr>
          <w:rFonts w:hint="eastAsia" w:ascii="仿宋_GB2312" w:hAnsi="仿宋_GB2312" w:eastAsia="仿宋_GB2312" w:cs="仿宋_GB2312"/>
          <w:color w:val="auto"/>
          <w:sz w:val="32"/>
          <w:highlight w:val="none"/>
          <w:lang w:eastAsia="zh-CN"/>
        </w:rPr>
        <w:t>工作</w:t>
      </w:r>
      <w:r>
        <w:rPr>
          <w:rFonts w:hint="eastAsia" w:ascii="仿宋_GB2312" w:hAnsi="仿宋_GB2312" w:eastAsia="仿宋_GB2312" w:cs="仿宋_GB2312"/>
          <w:color w:val="auto"/>
          <w:sz w:val="32"/>
          <w:highlight w:val="none"/>
        </w:rPr>
        <w:t>部署，紧扣光明区“一城三区”（世界一流科学城</w:t>
      </w:r>
      <w:bookmarkStart w:id="1" w:name="_GoBack"/>
      <w:bookmarkEnd w:id="1"/>
      <w:r>
        <w:rPr>
          <w:rFonts w:hint="eastAsia" w:ascii="仿宋_GB2312" w:hAnsi="仿宋_GB2312" w:eastAsia="仿宋_GB2312" w:cs="仿宋_GB2312"/>
          <w:color w:val="auto"/>
          <w:sz w:val="32"/>
          <w:highlight w:val="none"/>
        </w:rPr>
        <w:t>、大湾区综合性国家科学中心先行启动区、更具全球影响力的产业科技创新中心核心承载区、粤港澳大湾区高水平人才高地核心承载区）全区中心战略</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结合光明区“十四五”发展成效、存在问题及“十五五”发展使命，形成了“十五五”时期光明区科技创新规划总体思路。</w:t>
      </w:r>
    </w:p>
    <w:bookmarkEnd w:id="0"/>
    <w:p w14:paraId="35C0A8FA">
      <w:pPr>
        <w:pStyle w:val="3"/>
        <w:keepNext w:val="0"/>
        <w:keepLines w:val="0"/>
        <w:ind w:firstLine="640"/>
        <w:rPr>
          <w:color w:val="auto"/>
          <w:highlight w:val="none"/>
        </w:rPr>
      </w:pPr>
      <w:r>
        <w:rPr>
          <w:rFonts w:hint="eastAsia"/>
          <w:color w:val="auto"/>
          <w:highlight w:val="none"/>
        </w:rPr>
        <w:t>四、主要内容</w:t>
      </w:r>
    </w:p>
    <w:p w14:paraId="111F9CC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《规划》全篇共八个章节，前两章为发展基础与面临形势、总体思路，第三章至第七章为五项重点任务，最后一章为保障措施。各章节具体内容如下：</w:t>
      </w:r>
    </w:p>
    <w:p w14:paraId="74BBA770">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第一章是“发展基础与面临形势”。</w:t>
      </w:r>
      <w:r>
        <w:rPr>
          <w:rFonts w:hint="eastAsia" w:ascii="仿宋_GB2312" w:hAnsi="仿宋_GB2312" w:eastAsia="仿宋_GB2312" w:cs="仿宋_GB2312"/>
          <w:color w:val="auto"/>
          <w:sz w:val="32"/>
          <w:szCs w:val="32"/>
          <w:highlight w:val="none"/>
        </w:rPr>
        <w:t>全面总结“十四五”时期全区科技创新成效基础，主要包括国家重大战略平台建设提速、科技创新综合实力显著增强、科技产业发展能级持续提升、科技成果转化链条基本成形、科技创新生态体系逐步完善等发展成效，明确“十五五”科技创新的发展起点。面临形势部分，分析新一轮科技革命和产业变革加速演进、国际科技竞争和大国博弈日趋白热化、区域创新协同发展与开放合作步伐加快等重大机遇与挑战，研判未来五年外部环境趋势。</w:t>
      </w:r>
    </w:p>
    <w:p w14:paraId="50AC523B">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第二章是“总体要求”。</w:t>
      </w:r>
      <w:r>
        <w:rPr>
          <w:rFonts w:hint="eastAsia" w:ascii="仿宋_GB2312" w:hAnsi="仿宋_GB2312" w:eastAsia="仿宋_GB2312" w:cs="仿宋_GB2312"/>
          <w:color w:val="auto"/>
          <w:sz w:val="32"/>
          <w:szCs w:val="32"/>
          <w:highlight w:val="none"/>
        </w:rPr>
        <w:t>明确规划的指导思想，以习近平新时代中国特色社会主义思想为指导，落实科技自立自强战略等部署。明确坚持党的领导、坚持创新引领、坚持改革先行、坚持开放协同四条发展原则。面向2</w:t>
      </w:r>
      <w:r>
        <w:rPr>
          <w:rFonts w:ascii="仿宋_GB2312" w:hAnsi="仿宋_GB2312" w:eastAsia="仿宋_GB2312" w:cs="仿宋_GB2312"/>
          <w:color w:val="auto"/>
          <w:sz w:val="32"/>
          <w:szCs w:val="32"/>
          <w:highlight w:val="none"/>
        </w:rPr>
        <w:t>030</w:t>
      </w:r>
      <w:r>
        <w:rPr>
          <w:rFonts w:hint="eastAsia" w:ascii="仿宋_GB2312" w:hAnsi="仿宋_GB2312" w:eastAsia="仿宋_GB2312" w:cs="仿宋_GB2312"/>
          <w:color w:val="auto"/>
          <w:sz w:val="32"/>
          <w:szCs w:val="32"/>
          <w:highlight w:val="none"/>
        </w:rPr>
        <w:t>年，设定原始创新策源能级全球领先、科技成果转化体系全面升级、创新驱动发展效能显著增强、科技创新生态活力持续提升四个维度的发展目标。主要指标设置1</w:t>
      </w: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项，按照科技自立自强、科技产业融合、科教人一体三类，包含重大科技基础设施投入运行数量、全社会研发投入强度、每万人口高价值发明专利拥有量、战略性新兴产业增加值占GDP比重等具体指标。</w:t>
      </w:r>
    </w:p>
    <w:p w14:paraId="5C3BCA0A">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第三章是“锻造国家战略科技力量，建设具有全球影响力的科学中心”。</w:t>
      </w:r>
      <w:r>
        <w:rPr>
          <w:rFonts w:hint="eastAsia" w:ascii="仿宋_GB2312" w:hAnsi="仿宋_GB2312" w:eastAsia="仿宋_GB2312" w:cs="仿宋_GB2312"/>
          <w:color w:val="auto"/>
          <w:sz w:val="32"/>
          <w:szCs w:val="32"/>
          <w:highlight w:val="none"/>
        </w:rPr>
        <w:t>聚焦提升区域原始创新能力，系统部署战略科技力量建设：一是建设高能级重大科技基础设施集群，加快推进重大科技基础设施建设，提升重大科技基础设施使用效能，前瞻谋划新建重大科技基础设施；二是构建高层次科技创新载体集群，着力构建国家级实验室体系，支持重点科研平台集聚发展，增强企业创新平台节点作用；三是打造高水平大学科研平台集群，支持中山大学·深圳高起点建设世界一流大学校区，推动深圳理工大学打造新型研究型大学，面向产业前沿构建一流高校研究院方阵。</w:t>
      </w:r>
    </w:p>
    <w:p w14:paraId="028B31C0">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第四章是“加强原始创新和关键核心技术攻关，增强自主创新能力”。</w:t>
      </w:r>
      <w:r>
        <w:rPr>
          <w:rFonts w:hint="eastAsia" w:ascii="仿宋_GB2312" w:hAnsi="仿宋_GB2312" w:eastAsia="仿宋_GB2312" w:cs="仿宋_GB2312"/>
          <w:color w:val="auto"/>
          <w:sz w:val="32"/>
          <w:szCs w:val="32"/>
          <w:highlight w:val="none"/>
        </w:rPr>
        <w:t>立足科技创新策源功能，部署三个重点方向：一是加强基础研究战略性前瞻性布局，聚焦信息科学、生命科学、材料科学三大领域前沿方向；二是体系化推进关键核心技术突破，前瞻部署前沿引领技术，集聚力量增强关键共性技术供给；三是提升重大科研攻关组织能力，包括探索更为灵活高效的科研管理模式，引导各类创新主体牵头或参与国家、省、市科技计划项目，创新科研项目组织模式和经费管理方式，强化有组织的攻关等。</w:t>
      </w:r>
    </w:p>
    <w:p w14:paraId="448C3097">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第五章是“加快科技成果高效转化应用，培育壮大新质生产力”。</w:t>
      </w:r>
      <w:r>
        <w:rPr>
          <w:rFonts w:hint="eastAsia" w:ascii="仿宋_GB2312" w:hAnsi="仿宋_GB2312" w:eastAsia="仿宋_GB2312" w:cs="仿宋_GB2312"/>
          <w:color w:val="auto"/>
          <w:sz w:val="32"/>
          <w:szCs w:val="32"/>
          <w:highlight w:val="none"/>
        </w:rPr>
        <w:t>围绕打通从科技强到产业强的通道，构建“全链条贯通、全要素集聚、全主体协同”的科技成果转化体系：一是全方位建设区域技术转移转化高地，打造区域综合性成果转化平台，促进高校院所科技成果就地转化，吸引全球科技成果落地转化；二是全领域布局概念验证与中试平台，系统布局概念验证中心，持续强化中小试服务能力，强化技术熟化平台高效协同；三是全场景构建新技术应用体系，全域打造新技术新产品试验场，加快重点行业应用场景推广，推进“人工智能+”赋能千行百业；四是全链条增强科技服务支撑效能，引育产业支撑型科技服务企业，促进科研仪器设备高效共享，壮大技术转移等专业服务力量。</w:t>
      </w:r>
    </w:p>
    <w:p w14:paraId="643DCD5A">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第六章“强化企业科技创新主体地位，建设现代化产业体系”。</w:t>
      </w:r>
      <w:r>
        <w:rPr>
          <w:rFonts w:hint="eastAsia" w:ascii="仿宋_GB2312" w:hAnsi="仿宋_GB2312" w:eastAsia="仿宋_GB2312" w:cs="仿宋_GB2312"/>
          <w:color w:val="auto"/>
          <w:sz w:val="32"/>
          <w:szCs w:val="32"/>
          <w:highlight w:val="none"/>
        </w:rPr>
        <w:t>聚焦产业科技创新中心核心承载区建设，部署四方面任务：一是强化创新型企业梯次培育，构建梯次成长的科技企业队伍，支持科技领军企业开展关键核心技术攻关，支持中小企业加大研发投入；二是加强企业主导的产学研深度融合，推广“产业界出题、科技界答题”的攻关模式，鼓励领军企业牵头组建创新联合体，深化产学研精准高效对接；三是着力打造新兴支柱产业，做大做强超高清视频显示、高性能材料、智能传感器等优势产业，加快发展生物医药、高端医疗器械、人工智能等战略重点产业，培育壮大低空经济等新兴产业；四是前瞻布局优势未来产业，在生物制造、脑科学与脑机工程、具身智能、第六代移动通信、量子科技等领域培育新增长点。</w:t>
      </w:r>
    </w:p>
    <w:p w14:paraId="50C04CFA">
      <w:pPr>
        <w:spacing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第七章是“深入推进科技创新体制机制改革，营造开放创新生态”。</w:t>
      </w:r>
      <w:r>
        <w:rPr>
          <w:rFonts w:hint="eastAsia" w:ascii="仿宋_GB2312" w:hAnsi="仿宋_GB2312" w:eastAsia="仿宋_GB2312" w:cs="仿宋_GB2312"/>
          <w:color w:val="auto"/>
          <w:sz w:val="32"/>
          <w:szCs w:val="32"/>
          <w:highlight w:val="none"/>
        </w:rPr>
        <w:t>围绕优化科技创新环境，部署六方面重点任务：一是深化科学城体制机制改革，建立教育科技人才一体发展机制，完善科学城“投建运转”体制，健全新型研发机构建设发展机制，深化科技成果转化机制改革；二是集聚一流科技创新人才，引进国内外顶尖科学家团队，加强青年科技人才培养扶持，壮大急需紧缺产业人才；三是构建多元科技金融体系，完善全链条基金体系壮大耐心资本，推动科技信贷联动直接融资渠道，健全保险担保风险分担体系，优化科技投融资综合服务生态；四是建设国际创新合作枢纽，加强国际科技交流合作，拓展全国科学城“朋友圈”，融入湾区协同创新共同体，推动全市“两区三城多点”联动；五是打造高品质科普示范区，升级打造科普阵地网络，构建阶梯式科普教育体系，强化科技社团学会资源链接，激活科普产业发展活力；六是培育创新创业创造沃土，健全创业孵化育成体系，提升创新创业赛事能级，增强知识产权服务效能，打造多元融合创新社区。</w:t>
      </w:r>
    </w:p>
    <w:p w14:paraId="5D8D90FF">
      <w:pPr>
        <w:spacing w:line="560" w:lineRule="exact"/>
        <w:ind w:firstLine="643"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b/>
          <w:bCs/>
          <w:color w:val="auto"/>
          <w:sz w:val="32"/>
          <w:szCs w:val="32"/>
          <w:highlight w:val="none"/>
        </w:rPr>
        <w:t>第八章是“保障举措”。</w:t>
      </w:r>
      <w:r>
        <w:rPr>
          <w:rFonts w:hint="eastAsia" w:ascii="仿宋_GB2312" w:hAnsi="仿宋_GB2312" w:eastAsia="仿宋_GB2312" w:cs="仿宋_GB2312"/>
          <w:color w:val="auto"/>
          <w:sz w:val="32"/>
          <w:szCs w:val="32"/>
          <w:highlight w:val="none"/>
        </w:rPr>
        <w:t>从加强组织领导与统筹协调、加大政策与资金精准供给、强化资源与空间要素保障、优化动态监测与评估机制四个方面，建立规划实施保障体系，确保高质量完成各项任务。</w:t>
      </w:r>
    </w:p>
    <w:sectPr>
      <w:footerReference r:id="rId3" w:type="default"/>
      <w:footerReference r:id="rId4" w:type="even"/>
      <w:pgSz w:w="11906" w:h="16838"/>
      <w:pgMar w:top="1599" w:right="1537" w:bottom="14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B9D3">
    <w:pPr>
      <w:pStyle w:val="12"/>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B16B1">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AB16B1">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2103">
    <w:pPr>
      <w:pStyle w:val="12"/>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8C5E0">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A8C5E0">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11"/>
    <w:rsid w:val="000038B0"/>
    <w:rsid w:val="00053BFC"/>
    <w:rsid w:val="00067EA6"/>
    <w:rsid w:val="00075F46"/>
    <w:rsid w:val="000F0822"/>
    <w:rsid w:val="001300A9"/>
    <w:rsid w:val="001410AC"/>
    <w:rsid w:val="0016342C"/>
    <w:rsid w:val="001B6BB5"/>
    <w:rsid w:val="001E6D90"/>
    <w:rsid w:val="00212FC5"/>
    <w:rsid w:val="00213B04"/>
    <w:rsid w:val="002E2D62"/>
    <w:rsid w:val="003004B2"/>
    <w:rsid w:val="00324B6E"/>
    <w:rsid w:val="0038413B"/>
    <w:rsid w:val="0039332B"/>
    <w:rsid w:val="003F0F4A"/>
    <w:rsid w:val="004A5152"/>
    <w:rsid w:val="004C3704"/>
    <w:rsid w:val="004D7763"/>
    <w:rsid w:val="00535537"/>
    <w:rsid w:val="005E0589"/>
    <w:rsid w:val="00623585"/>
    <w:rsid w:val="00665F2E"/>
    <w:rsid w:val="00671024"/>
    <w:rsid w:val="00684BE1"/>
    <w:rsid w:val="007256A5"/>
    <w:rsid w:val="0073402B"/>
    <w:rsid w:val="00745A1E"/>
    <w:rsid w:val="007B4FD7"/>
    <w:rsid w:val="007C6DB7"/>
    <w:rsid w:val="00813E30"/>
    <w:rsid w:val="00900B80"/>
    <w:rsid w:val="009805EE"/>
    <w:rsid w:val="00A1688C"/>
    <w:rsid w:val="00A543F0"/>
    <w:rsid w:val="00A81E0E"/>
    <w:rsid w:val="00A828E1"/>
    <w:rsid w:val="00A96205"/>
    <w:rsid w:val="00AC3C7B"/>
    <w:rsid w:val="00AD39BC"/>
    <w:rsid w:val="00B155B4"/>
    <w:rsid w:val="00B24B6F"/>
    <w:rsid w:val="00B71C2A"/>
    <w:rsid w:val="00BB3CDF"/>
    <w:rsid w:val="00BC02D3"/>
    <w:rsid w:val="00C115FE"/>
    <w:rsid w:val="00CA306B"/>
    <w:rsid w:val="00DB4707"/>
    <w:rsid w:val="00DD46AF"/>
    <w:rsid w:val="00DF4811"/>
    <w:rsid w:val="00E16A57"/>
    <w:rsid w:val="00E3350F"/>
    <w:rsid w:val="00E35A46"/>
    <w:rsid w:val="00E41F21"/>
    <w:rsid w:val="00E64622"/>
    <w:rsid w:val="00E96CD6"/>
    <w:rsid w:val="00F01988"/>
    <w:rsid w:val="00FA36D5"/>
    <w:rsid w:val="250F611E"/>
    <w:rsid w:val="36551947"/>
    <w:rsid w:val="59AC33EA"/>
    <w:rsid w:val="5FBDA428"/>
    <w:rsid w:val="612F2B7B"/>
    <w:rsid w:val="681372D5"/>
    <w:rsid w:val="DF7EB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0"/>
    <w:pPr>
      <w:keepNext/>
      <w:keepLines/>
      <w:adjustRightInd w:val="0"/>
      <w:snapToGrid w:val="0"/>
      <w:spacing w:line="560" w:lineRule="exact"/>
      <w:ind w:firstLine="200" w:firstLineChars="200"/>
      <w:outlineLvl w:val="0"/>
    </w:pPr>
    <w:rPr>
      <w:rFonts w:ascii="Times New Roman" w:hAnsi="Times New Roman" w:eastAsia="黑体" w:cs="Times New Roman"/>
      <w:bCs/>
      <w:kern w:val="44"/>
      <w:sz w:val="32"/>
      <w:szCs w:val="44"/>
    </w:rPr>
  </w:style>
  <w:style w:type="paragraph" w:styleId="4">
    <w:name w:val="heading 2"/>
    <w:basedOn w:val="1"/>
    <w:next w:val="1"/>
    <w:link w:val="19"/>
    <w:unhideWhenUsed/>
    <w:qFormat/>
    <w:uiPriority w:val="9"/>
    <w:pPr>
      <w:keepNext/>
      <w:keepLines/>
      <w:adjustRightInd w:val="0"/>
      <w:snapToGrid w:val="0"/>
      <w:spacing w:before="260" w:after="260" w:line="416" w:lineRule="auto"/>
      <w:ind w:firstLine="200" w:firstLineChars="200"/>
      <w:outlineLvl w:val="1"/>
    </w:pPr>
    <w:rPr>
      <w:rFonts w:eastAsia="楷体_GB2312" w:asciiTheme="majorHAnsi" w:hAnsiTheme="majorHAnsi" w:cstheme="majorBidi"/>
      <w:bCs/>
      <w:sz w:val="32"/>
      <w:szCs w:val="32"/>
    </w:rPr>
  </w:style>
  <w:style w:type="paragraph" w:styleId="5">
    <w:name w:val="heading 3"/>
    <w:basedOn w:val="1"/>
    <w:next w:val="1"/>
    <w:link w:val="20"/>
    <w:unhideWhenUsed/>
    <w:qFormat/>
    <w:uiPriority w:val="9"/>
    <w:pPr>
      <w:keepNext/>
      <w:keepLines/>
      <w:adjustRightInd w:val="0"/>
      <w:snapToGrid w:val="0"/>
      <w:spacing w:before="260" w:after="260" w:line="416" w:lineRule="auto"/>
      <w:ind w:firstLine="200" w:firstLineChars="200"/>
      <w:outlineLvl w:val="2"/>
    </w:pPr>
    <w:rPr>
      <w:rFonts w:ascii="Times New Roman" w:hAnsi="Times New Roman" w:eastAsia="仿宋_GB2312" w:cs="Times New Roman"/>
      <w:bCs/>
      <w:sz w:val="32"/>
      <w:szCs w:val="32"/>
    </w:rPr>
  </w:style>
  <w:style w:type="paragraph" w:styleId="6">
    <w:name w:val="heading 4"/>
    <w:basedOn w:val="1"/>
    <w:next w:val="1"/>
    <w:link w:val="27"/>
    <w:semiHidden/>
    <w:unhideWhenUsed/>
    <w:qFormat/>
    <w:uiPriority w:val="9"/>
    <w:pPr>
      <w:keepNext/>
      <w:keepLines/>
      <w:adjustRightInd w:val="0"/>
      <w:snapToGrid w:val="0"/>
      <w:spacing w:before="80" w:after="40" w:line="560" w:lineRule="exact"/>
      <w:ind w:firstLine="200" w:firstLineChars="200"/>
      <w:outlineLvl w:val="3"/>
    </w:pPr>
    <w:rPr>
      <w:rFonts w:cstheme="majorBidi"/>
      <w:color w:val="104862" w:themeColor="accent1" w:themeShade="BF"/>
      <w:sz w:val="28"/>
      <w:szCs w:val="28"/>
    </w:rPr>
  </w:style>
  <w:style w:type="paragraph" w:styleId="7">
    <w:name w:val="heading 5"/>
    <w:basedOn w:val="1"/>
    <w:next w:val="1"/>
    <w:link w:val="28"/>
    <w:semiHidden/>
    <w:unhideWhenUsed/>
    <w:qFormat/>
    <w:uiPriority w:val="9"/>
    <w:pPr>
      <w:keepNext/>
      <w:keepLines/>
      <w:adjustRightInd w:val="0"/>
      <w:snapToGrid w:val="0"/>
      <w:spacing w:before="80" w:after="40" w:line="560" w:lineRule="exact"/>
      <w:ind w:firstLine="200" w:firstLineChars="200"/>
      <w:outlineLvl w:val="4"/>
    </w:pPr>
    <w:rPr>
      <w:rFonts w:cstheme="majorBidi"/>
      <w:color w:val="104862" w:themeColor="accent1" w:themeShade="BF"/>
      <w:sz w:val="24"/>
    </w:rPr>
  </w:style>
  <w:style w:type="paragraph" w:styleId="8">
    <w:name w:val="heading 6"/>
    <w:basedOn w:val="1"/>
    <w:next w:val="1"/>
    <w:link w:val="29"/>
    <w:semiHidden/>
    <w:unhideWhenUsed/>
    <w:qFormat/>
    <w:uiPriority w:val="9"/>
    <w:pPr>
      <w:keepNext/>
      <w:keepLines/>
      <w:adjustRightInd w:val="0"/>
      <w:snapToGrid w:val="0"/>
      <w:spacing w:before="40" w:line="560" w:lineRule="exact"/>
      <w:ind w:firstLine="200" w:firstLineChars="200"/>
      <w:outlineLvl w:val="5"/>
    </w:pPr>
    <w:rPr>
      <w:rFonts w:cstheme="majorBidi"/>
      <w:b/>
      <w:bCs/>
      <w:color w:val="104862" w:themeColor="accent1" w:themeShade="BF"/>
      <w:sz w:val="32"/>
    </w:rPr>
  </w:style>
  <w:style w:type="paragraph" w:styleId="9">
    <w:name w:val="heading 7"/>
    <w:basedOn w:val="1"/>
    <w:next w:val="1"/>
    <w:link w:val="30"/>
    <w:semiHidden/>
    <w:unhideWhenUsed/>
    <w:qFormat/>
    <w:uiPriority w:val="9"/>
    <w:pPr>
      <w:keepNext/>
      <w:keepLines/>
      <w:adjustRightInd w:val="0"/>
      <w:snapToGrid w:val="0"/>
      <w:spacing w:before="40" w:line="560" w:lineRule="exact"/>
      <w:ind w:firstLine="200" w:firstLineChars="200"/>
      <w:outlineLvl w:val="6"/>
    </w:pPr>
    <w:rPr>
      <w:rFonts w:cstheme="majorBidi"/>
      <w:b/>
      <w:bCs/>
      <w:color w:val="595959" w:themeColor="text1" w:themeTint="A6"/>
      <w:sz w:val="32"/>
      <w14:textFill>
        <w14:solidFill>
          <w14:schemeClr w14:val="tx1">
            <w14:lumMod w14:val="65000"/>
            <w14:lumOff w14:val="35000"/>
          </w14:schemeClr>
        </w14:solidFill>
      </w14:textFill>
    </w:rPr>
  </w:style>
  <w:style w:type="paragraph" w:styleId="10">
    <w:name w:val="heading 8"/>
    <w:basedOn w:val="1"/>
    <w:next w:val="1"/>
    <w:link w:val="31"/>
    <w:semiHidden/>
    <w:unhideWhenUsed/>
    <w:qFormat/>
    <w:uiPriority w:val="9"/>
    <w:pPr>
      <w:keepNext/>
      <w:keepLines/>
      <w:adjustRightInd w:val="0"/>
      <w:snapToGrid w:val="0"/>
      <w:spacing w:line="560" w:lineRule="exact"/>
      <w:ind w:firstLine="200" w:firstLineChars="200"/>
      <w:outlineLvl w:val="7"/>
    </w:pPr>
    <w:rPr>
      <w:rFonts w:cstheme="majorBidi"/>
      <w:color w:val="595959" w:themeColor="text1" w:themeTint="A6"/>
      <w:sz w:val="32"/>
      <w14:textFill>
        <w14:solidFill>
          <w14:schemeClr w14:val="tx1">
            <w14:lumMod w14:val="65000"/>
            <w14:lumOff w14:val="35000"/>
          </w14:schemeClr>
        </w14:solidFill>
      </w14:textFill>
    </w:rPr>
  </w:style>
  <w:style w:type="paragraph" w:styleId="11">
    <w:name w:val="heading 9"/>
    <w:basedOn w:val="1"/>
    <w:next w:val="1"/>
    <w:link w:val="32"/>
    <w:semiHidden/>
    <w:unhideWhenUsed/>
    <w:qFormat/>
    <w:uiPriority w:val="9"/>
    <w:pPr>
      <w:keepNext/>
      <w:keepLines/>
      <w:adjustRightInd w:val="0"/>
      <w:snapToGrid w:val="0"/>
      <w:spacing w:line="560" w:lineRule="exact"/>
      <w:ind w:firstLine="200" w:firstLineChars="200"/>
      <w:outlineLvl w:val="8"/>
    </w:pPr>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0"/>
    <w:semiHidden/>
    <w:unhideWhenUsed/>
    <w:qFormat/>
    <w:uiPriority w:val="99"/>
    <w:rPr>
      <w:rFonts w:hAnsi="Courier New" w:cs="Courier New" w:asciiTheme="minorEastAsia"/>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tabs>
        <w:tab w:val="center" w:pos="4153"/>
        <w:tab w:val="right" w:pos="8306"/>
      </w:tabs>
      <w:snapToGrid w:val="0"/>
      <w:jc w:val="center"/>
    </w:pPr>
    <w:rPr>
      <w:sz w:val="18"/>
      <w:szCs w:val="18"/>
    </w:rPr>
  </w:style>
  <w:style w:type="paragraph" w:styleId="14">
    <w:name w:val="Subtitle"/>
    <w:basedOn w:val="4"/>
    <w:next w:val="1"/>
    <w:link w:val="22"/>
    <w:qFormat/>
    <w:uiPriority w:val="0"/>
    <w:pPr>
      <w:spacing w:before="0" w:after="0" w:line="560" w:lineRule="exact"/>
    </w:pPr>
    <w:rPr>
      <w:rFonts w:asciiTheme="minorHAnsi" w:hAnsiTheme="minorHAnsi" w:cstheme="minorBidi"/>
      <w:bCs w:val="0"/>
      <w:kern w:val="28"/>
    </w:rPr>
  </w:style>
  <w:style w:type="paragraph" w:styleId="15">
    <w:name w:val="Title"/>
    <w:basedOn w:val="1"/>
    <w:next w:val="1"/>
    <w:link w:val="21"/>
    <w:qFormat/>
    <w:uiPriority w:val="0"/>
    <w:pPr>
      <w:adjustRightInd w:val="0"/>
      <w:snapToGrid w:val="0"/>
      <w:spacing w:line="560" w:lineRule="exact"/>
      <w:ind w:firstLine="200" w:firstLineChars="200"/>
      <w:jc w:val="center"/>
      <w:outlineLvl w:val="0"/>
    </w:pPr>
    <w:rPr>
      <w:rFonts w:ascii="Times New Roman" w:hAnsi="Times New Roman" w:eastAsia="方正小标宋简体" w:cs="Times New Roman"/>
      <w:bCs/>
      <w:sz w:val="44"/>
      <w:szCs w:val="32"/>
    </w:rPr>
  </w:style>
  <w:style w:type="character" w:customStyle="1" w:styleId="18">
    <w:name w:val="标题 1 字符"/>
    <w:link w:val="3"/>
    <w:qFormat/>
    <w:uiPriority w:val="0"/>
    <w:rPr>
      <w:rFonts w:eastAsia="黑体"/>
      <w:bCs/>
      <w:kern w:val="44"/>
      <w:sz w:val="32"/>
      <w:szCs w:val="44"/>
    </w:rPr>
  </w:style>
  <w:style w:type="character" w:customStyle="1" w:styleId="19">
    <w:name w:val="标题 2 字符"/>
    <w:basedOn w:val="17"/>
    <w:link w:val="4"/>
    <w:qFormat/>
    <w:uiPriority w:val="9"/>
    <w:rPr>
      <w:rFonts w:eastAsia="楷体_GB2312" w:asciiTheme="majorHAnsi" w:hAnsiTheme="majorHAnsi" w:cstheme="majorBidi"/>
      <w:bCs/>
      <w:sz w:val="32"/>
      <w:szCs w:val="32"/>
    </w:rPr>
  </w:style>
  <w:style w:type="character" w:customStyle="1" w:styleId="20">
    <w:name w:val="标题 3 字符"/>
    <w:basedOn w:val="17"/>
    <w:link w:val="5"/>
    <w:qFormat/>
    <w:uiPriority w:val="9"/>
    <w:rPr>
      <w:rFonts w:eastAsia="仿宋_GB2312"/>
      <w:bCs/>
      <w:sz w:val="32"/>
      <w:szCs w:val="32"/>
    </w:rPr>
  </w:style>
  <w:style w:type="character" w:customStyle="1" w:styleId="21">
    <w:name w:val="标题 字符"/>
    <w:link w:val="15"/>
    <w:qFormat/>
    <w:uiPriority w:val="0"/>
    <w:rPr>
      <w:rFonts w:eastAsia="方正小标宋简体"/>
      <w:bCs/>
      <w:sz w:val="44"/>
      <w:szCs w:val="32"/>
    </w:rPr>
  </w:style>
  <w:style w:type="character" w:customStyle="1" w:styleId="22">
    <w:name w:val="副标题 字符"/>
    <w:link w:val="14"/>
    <w:qFormat/>
    <w:uiPriority w:val="0"/>
    <w:rPr>
      <w:rFonts w:eastAsia="楷体_GB2312"/>
      <w:kern w:val="28"/>
      <w:sz w:val="32"/>
      <w:szCs w:val="32"/>
    </w:rPr>
  </w:style>
  <w:style w:type="paragraph" w:customStyle="1" w:styleId="23">
    <w:name w:val="标题3"/>
    <w:basedOn w:val="5"/>
    <w:next w:val="1"/>
    <w:link w:val="24"/>
    <w:qFormat/>
    <w:uiPriority w:val="0"/>
    <w:pPr>
      <w:spacing w:before="0" w:after="0" w:line="560" w:lineRule="exact"/>
    </w:pPr>
  </w:style>
  <w:style w:type="character" w:customStyle="1" w:styleId="24">
    <w:name w:val="标题3 字符"/>
    <w:link w:val="23"/>
    <w:qFormat/>
    <w:uiPriority w:val="0"/>
    <w:rPr>
      <w:rFonts w:eastAsia="仿宋_GB2312"/>
      <w:bCs/>
      <w:sz w:val="32"/>
      <w:szCs w:val="32"/>
    </w:rPr>
  </w:style>
  <w:style w:type="paragraph" w:customStyle="1" w:styleId="25">
    <w:name w:val="专栏"/>
    <w:basedOn w:val="1"/>
    <w:link w:val="26"/>
    <w:qFormat/>
    <w:uiPriority w:val="0"/>
    <w:pPr>
      <w:adjustRightInd w:val="0"/>
      <w:snapToGrid w:val="0"/>
      <w:spacing w:line="560" w:lineRule="exact"/>
      <w:ind w:firstLine="200" w:firstLineChars="200"/>
    </w:pPr>
    <w:rPr>
      <w:rFonts w:eastAsia="楷体_GB2312" w:cs="仿宋_GB2312"/>
      <w:spacing w:val="-1"/>
      <w:sz w:val="28"/>
      <w:szCs w:val="28"/>
      <w14:ligatures w14:val="standardContextual"/>
    </w:rPr>
  </w:style>
  <w:style w:type="character" w:customStyle="1" w:styleId="26">
    <w:name w:val="专栏 字符"/>
    <w:link w:val="25"/>
    <w:qFormat/>
    <w:uiPriority w:val="0"/>
    <w:rPr>
      <w:rFonts w:eastAsia="楷体_GB2312" w:cs="仿宋_GB2312"/>
      <w:spacing w:val="-1"/>
      <w:sz w:val="28"/>
      <w:szCs w:val="28"/>
    </w:rPr>
  </w:style>
  <w:style w:type="character" w:customStyle="1" w:styleId="27">
    <w:name w:val="标题 4 字符"/>
    <w:basedOn w:val="17"/>
    <w:link w:val="6"/>
    <w:semiHidden/>
    <w:qFormat/>
    <w:uiPriority w:val="9"/>
    <w:rPr>
      <w:rFonts w:cstheme="majorBidi"/>
      <w:color w:val="104862" w:themeColor="accent1" w:themeShade="BF"/>
      <w:sz w:val="28"/>
      <w:szCs w:val="28"/>
      <w14:ligatures w14:val="none"/>
    </w:rPr>
  </w:style>
  <w:style w:type="character" w:customStyle="1" w:styleId="28">
    <w:name w:val="标题 5 字符"/>
    <w:basedOn w:val="17"/>
    <w:link w:val="7"/>
    <w:semiHidden/>
    <w:qFormat/>
    <w:uiPriority w:val="9"/>
    <w:rPr>
      <w:rFonts w:cstheme="majorBidi"/>
      <w:color w:val="104862" w:themeColor="accent1" w:themeShade="BF"/>
      <w:sz w:val="24"/>
      <w14:ligatures w14:val="none"/>
    </w:rPr>
  </w:style>
  <w:style w:type="character" w:customStyle="1" w:styleId="29">
    <w:name w:val="标题 6 字符"/>
    <w:basedOn w:val="17"/>
    <w:link w:val="8"/>
    <w:semiHidden/>
    <w:qFormat/>
    <w:uiPriority w:val="9"/>
    <w:rPr>
      <w:rFonts w:cstheme="majorBidi"/>
      <w:b/>
      <w:bCs/>
      <w:color w:val="104862" w:themeColor="accent1" w:themeShade="BF"/>
      <w:sz w:val="32"/>
      <w14:ligatures w14:val="none"/>
    </w:rPr>
  </w:style>
  <w:style w:type="character" w:customStyle="1" w:styleId="30">
    <w:name w:val="标题 7 字符"/>
    <w:basedOn w:val="17"/>
    <w:link w:val="9"/>
    <w:semiHidden/>
    <w:qFormat/>
    <w:uiPriority w:val="9"/>
    <w:rPr>
      <w:rFonts w:cstheme="majorBidi"/>
      <w:b/>
      <w:bCs/>
      <w:color w:val="595959" w:themeColor="text1" w:themeTint="A6"/>
      <w:sz w:val="32"/>
      <w14:textFill>
        <w14:solidFill>
          <w14:schemeClr w14:val="tx1">
            <w14:lumMod w14:val="65000"/>
            <w14:lumOff w14:val="35000"/>
          </w14:schemeClr>
        </w14:solidFill>
      </w14:textFill>
      <w14:ligatures w14:val="none"/>
    </w:rPr>
  </w:style>
  <w:style w:type="character" w:customStyle="1" w:styleId="31">
    <w:name w:val="标题 8 字符"/>
    <w:basedOn w:val="17"/>
    <w:link w:val="10"/>
    <w:semiHidden/>
    <w:qFormat/>
    <w:uiPriority w:val="9"/>
    <w:rPr>
      <w:rFonts w:cstheme="majorBidi"/>
      <w:color w:val="595959" w:themeColor="text1" w:themeTint="A6"/>
      <w:sz w:val="32"/>
      <w14:textFill>
        <w14:solidFill>
          <w14:schemeClr w14:val="tx1">
            <w14:lumMod w14:val="65000"/>
            <w14:lumOff w14:val="35000"/>
          </w14:schemeClr>
        </w14:solidFill>
      </w14:textFill>
      <w14:ligatures w14:val="none"/>
    </w:rPr>
  </w:style>
  <w:style w:type="character" w:customStyle="1" w:styleId="32">
    <w:name w:val="标题 9 字符"/>
    <w:basedOn w:val="17"/>
    <w:link w:val="11"/>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14:ligatures w14:val="none"/>
    </w:rPr>
  </w:style>
  <w:style w:type="paragraph" w:styleId="33">
    <w:name w:val="Quote"/>
    <w:basedOn w:val="1"/>
    <w:next w:val="1"/>
    <w:link w:val="34"/>
    <w:qFormat/>
    <w:uiPriority w:val="29"/>
    <w:pPr>
      <w:adjustRightInd w:val="0"/>
      <w:snapToGrid w:val="0"/>
      <w:spacing w:before="160" w:after="160" w:line="560" w:lineRule="exact"/>
      <w:ind w:firstLine="200" w:firstLineChars="200"/>
      <w:jc w:val="center"/>
    </w:pPr>
    <w:rPr>
      <w:rFonts w:ascii="Times New Roman" w:hAnsi="Times New Roman" w:eastAsia="仿宋_GB2312" w:cs="Times New Roman"/>
      <w:i/>
      <w:iCs/>
      <w:color w:val="404040" w:themeColor="text1" w:themeTint="BF"/>
      <w:sz w:val="32"/>
      <w14:textFill>
        <w14:solidFill>
          <w14:schemeClr w14:val="tx1">
            <w14:lumMod w14:val="75000"/>
            <w14:lumOff w14:val="25000"/>
          </w14:schemeClr>
        </w14:solidFill>
      </w14:textFill>
    </w:rPr>
  </w:style>
  <w:style w:type="character" w:customStyle="1" w:styleId="34">
    <w:name w:val="引用 字符"/>
    <w:basedOn w:val="17"/>
    <w:link w:val="33"/>
    <w:qFormat/>
    <w:uiPriority w:val="29"/>
    <w:rPr>
      <w:rFonts w:ascii="Times New Roman" w:hAnsi="Times New Roman" w:eastAsia="仿宋_GB2312" w:cs="Times New Roman"/>
      <w:i/>
      <w:iCs/>
      <w:color w:val="404040" w:themeColor="text1" w:themeTint="BF"/>
      <w:sz w:val="32"/>
      <w14:textFill>
        <w14:solidFill>
          <w14:schemeClr w14:val="tx1">
            <w14:lumMod w14:val="75000"/>
            <w14:lumOff w14:val="25000"/>
          </w14:schemeClr>
        </w14:solidFill>
      </w14:textFill>
      <w14:ligatures w14:val="none"/>
    </w:rPr>
  </w:style>
  <w:style w:type="paragraph" w:styleId="35">
    <w:name w:val="List Paragraph"/>
    <w:basedOn w:val="1"/>
    <w:qFormat/>
    <w:uiPriority w:val="34"/>
    <w:pPr>
      <w:adjustRightInd w:val="0"/>
      <w:snapToGrid w:val="0"/>
      <w:spacing w:line="560" w:lineRule="exact"/>
      <w:ind w:left="720" w:firstLine="200" w:firstLineChars="200"/>
      <w:contextualSpacing/>
    </w:pPr>
    <w:rPr>
      <w:rFonts w:ascii="Times New Roman" w:hAnsi="Times New Roman" w:eastAsia="仿宋_GB2312" w:cs="Times New Roman"/>
      <w:sz w:val="32"/>
    </w:rPr>
  </w:style>
  <w:style w:type="character" w:customStyle="1" w:styleId="36">
    <w:name w:val="明显强调1"/>
    <w:basedOn w:val="17"/>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adjustRightInd w:val="0"/>
      <w:snapToGrid w:val="0"/>
      <w:spacing w:before="360" w:after="360" w:line="560" w:lineRule="exact"/>
      <w:ind w:left="864" w:right="864" w:firstLine="200" w:firstLineChars="200"/>
      <w:jc w:val="center"/>
    </w:pPr>
    <w:rPr>
      <w:rFonts w:ascii="Times New Roman" w:hAnsi="Times New Roman" w:eastAsia="仿宋_GB2312" w:cs="Times New Roman"/>
      <w:i/>
      <w:iCs/>
      <w:color w:val="104862" w:themeColor="accent1" w:themeShade="BF"/>
      <w:sz w:val="32"/>
    </w:rPr>
  </w:style>
  <w:style w:type="character" w:customStyle="1" w:styleId="38">
    <w:name w:val="明显引用 字符"/>
    <w:basedOn w:val="17"/>
    <w:link w:val="37"/>
    <w:qFormat/>
    <w:uiPriority w:val="30"/>
    <w:rPr>
      <w:rFonts w:ascii="Times New Roman" w:hAnsi="Times New Roman" w:eastAsia="仿宋_GB2312" w:cs="Times New Roman"/>
      <w:i/>
      <w:iCs/>
      <w:color w:val="104862" w:themeColor="accent1" w:themeShade="BF"/>
      <w:sz w:val="32"/>
      <w14:ligatures w14:val="none"/>
    </w:rPr>
  </w:style>
  <w:style w:type="character" w:customStyle="1" w:styleId="39">
    <w:name w:val="明显参考1"/>
    <w:basedOn w:val="17"/>
    <w:qFormat/>
    <w:uiPriority w:val="32"/>
    <w:rPr>
      <w:b/>
      <w:bCs/>
      <w:smallCaps/>
      <w:color w:val="104862" w:themeColor="accent1" w:themeShade="BF"/>
      <w:spacing w:val="5"/>
    </w:rPr>
  </w:style>
  <w:style w:type="character" w:customStyle="1" w:styleId="40">
    <w:name w:val="纯文本 字符"/>
    <w:basedOn w:val="17"/>
    <w:link w:val="2"/>
    <w:semiHidden/>
    <w:qFormat/>
    <w:uiPriority w:val="99"/>
    <w:rPr>
      <w:rFonts w:hAnsi="Courier New" w:cs="Courier New" w:asciiTheme="minorEastAsia"/>
      <w:sz w:val="21"/>
      <w14:ligatures w14:val="none"/>
    </w:rPr>
  </w:style>
  <w:style w:type="paragraph" w:customStyle="1" w:styleId="41">
    <w:name w:val="_Style 1"/>
    <w:basedOn w:val="1"/>
    <w:next w:val="1"/>
    <w:qFormat/>
    <w:uiPriority w:val="0"/>
    <w:pPr>
      <w:ind w:firstLine="200" w:firstLineChars="200"/>
    </w:pPr>
    <w:rPr>
      <w:rFonts w:ascii="宋体" w:hAnsi="宋体" w:eastAsia="仿宋_GB2312" w:cs="Times New Roman"/>
      <w:sz w:val="32"/>
      <w:szCs w:val="32"/>
    </w:rPr>
  </w:style>
  <w:style w:type="character" w:customStyle="1" w:styleId="42">
    <w:name w:val="页眉 字符"/>
    <w:basedOn w:val="17"/>
    <w:link w:val="13"/>
    <w:qFormat/>
    <w:uiPriority w:val="99"/>
    <w:rPr>
      <w:sz w:val="18"/>
      <w:szCs w:val="18"/>
      <w14:ligatures w14:val="none"/>
    </w:rPr>
  </w:style>
  <w:style w:type="character" w:customStyle="1" w:styleId="43">
    <w:name w:val="页脚 字符"/>
    <w:basedOn w:val="17"/>
    <w:link w:val="12"/>
    <w:qFormat/>
    <w:uiPriority w:val="99"/>
    <w:rPr>
      <w:sz w:val="18"/>
      <w:szCs w:val="18"/>
      <w14:ligatures w14:val="none"/>
    </w:rPr>
  </w:style>
  <w:style w:type="paragraph" w:customStyle="1" w:styleId="44">
    <w:name w:val="gei正文"/>
    <w:basedOn w:val="1"/>
    <w:qFormat/>
    <w:uiPriority w:val="0"/>
    <w:pPr>
      <w:widowControl/>
      <w:spacing w:beforeLines="30" w:afterLines="30" w:line="560" w:lineRule="exact"/>
      <w:ind w:firstLine="200" w:firstLineChars="200"/>
    </w:pPr>
    <w:rPr>
      <w:rFonts w:ascii="仿宋_GB2312" w:hAnsi="Times New Roman" w:eastAsia="仿宋_GB2312" w:cs="Times New Roman"/>
      <w:sz w:val="32"/>
      <w:szCs w:val="28"/>
    </w:rPr>
  </w:style>
  <w:style w:type="paragraph" w:customStyle="1" w:styleId="45">
    <w:name w:val="WW-Default"/>
    <w:basedOn w:val="1"/>
    <w:qFormat/>
    <w:uiPriority w:val="0"/>
    <w:pPr>
      <w:suppressAutoHyphens/>
      <w:jc w:val="left"/>
    </w:pPr>
    <w:rPr>
      <w:rFonts w:ascii="Calibri" w:hAnsi="Calibri" w:eastAsia="宋体" w:cs="Calibri"/>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b011f78c-731c-479a-b13a-78f34ee9a905</errorID>
      <errorWord xmlns="http://schemas.wps.cn/vas-ai-hub/contract-review">《光明区科技创新发展“十五五”规划》</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《光明区科技创新“十五五”规划》</item>
      </candidateList>
      <explain xmlns="http://schemas.wps.cn/vas-ai-hub/contract-review">实体一致性：规划名称前后表述不一致，应统一为《光明区科技创新“十五五”规划》</explain>
      <paraID xmlns="http://schemas.wps.cn/vas-ai-hub/contract-review">5B64DEA8</paraID>
      <start xmlns="http://schemas.wps.cn/vas-ai-hub/contract-review">0</start>
      <end xmlns="http://schemas.wps.cn/vas-ai-hub/contract-review">16</end>
      <status xmlns="http://schemas.wps.cn/vas-ai-hub/contract-review">modified</status>
      <modifiedWord xmlns="http://schemas.wps.cn/vas-ai-hub/contract-review">《光明区科技创新“十五五”规划》</modifiedWord>
      <trackRevisions xmlns="http://schemas.wps.cn/vas-ai-hub/contract-review">false</trackRevisions>
    </reviewItem>
    <reviewItem xmlns="http://schemas.wps.cn/vas-ai-hub/contract-review">
      <errorID xmlns="http://schemas.wps.cn/vas-ai-hub/contract-review">2cf09a95-2b32-4a55-bd1b-e862fe79afff</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71B78F5E</paraID>
      <start xmlns="http://schemas.wps.cn/vas-ai-hub/contract-review">60</start>
      <end xmlns="http://schemas.wps.cn/vas-ai-hub/contract-review">61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cf81c2ad-fe47-45ea-be2f-e1ce0dfba74e</errorID>
      <errorWord xmlns="http://schemas.wps.cn/vas-ai-hub/contract-review">中心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核心</item>
      </candidateList>
      <explain xmlns="http://schemas.wps.cn/vas-ai-hub/contract-review"/>
      <paraID xmlns="http://schemas.wps.cn/vas-ai-hub/contract-review">7D688CEC</paraID>
      <start xmlns="http://schemas.wps.cn/vas-ai-hub/contract-review">167</start>
      <end xmlns="http://schemas.wps.cn/vas-ai-hub/contract-review">169</end>
      <status xmlns="http://schemas.wps.cn/vas-ai-hub/contract-review">modified</status>
      <modifiedWord xmlns="http://schemas.wps.cn/vas-ai-hub/contract-review">核心</modifiedWord>
      <trackRevisions xmlns="http://schemas.wps.cn/vas-ai-hub/contract-review">false</trackRevisions>
    </reviewItem>
    <reviewItem xmlns="http://schemas.wps.cn/vas-ai-hub/contract-review">
      <errorID xmlns="http://schemas.wps.cn/vas-ai-hub/contract-review">2b498240-8b8d-4c7d-b105-2f93016ea698</errorID>
      <errorWord xmlns="http://schemas.wps.cn/vas-ai-hub/contract-review">国家级实验室体系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国家实验室体系</item>
      </candidateList>
      <explain xmlns="http://schemas.wps.cn/vas-ai-hub/contract-review">词汇“国家实验室体系”在特定场景下为固定表述形式，请确认此处的“国家级实验室体系”是否存在不当。</explain>
      <paraID xmlns="http://schemas.wps.cn/vas-ai-hub/contract-review"> AE25C17</paraID>
      <start xmlns="http://schemas.wps.cn/vas-ai-hub/contract-review">167</start>
      <end xmlns="http://schemas.wps.cn/vas-ai-hub/contract-review">174</end>
      <status xmlns="http://schemas.wps.cn/vas-ai-hub/contract-review">modified</status>
      <modifiedWord xmlns="http://schemas.wps.cn/vas-ai-hub/contract-review">国家实验室体系</modifiedWord>
      <trackRevisions xmlns="http://schemas.wps.cn/vas-ai-hub/contract-review">false</trackRevisions>
    </reviewItem>
    <reviewItem xmlns="http://schemas.wps.cn/vas-ai-hub/contract-review">
      <errorID xmlns="http://schemas.wps.cn/vas-ai-hub/contract-review">1f1ac795-e49a-4180-9965-3220d827d5fb</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AE25C17</paraID>
      <start xmlns="http://schemas.wps.cn/vas-ai-hub/contract-review">220</start>
      <end xmlns="http://schemas.wps.cn/vas-ai-hub/contract-review">221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ed38c9cb-07a5-4426-8cb7-aa8709cc257a</errorID>
      <errorWord xmlns="http://schemas.wps.cn/vas-ai-hub/contract-review">壮大</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，壮大</item>
      </candidateList>
      <explain xmlns="http://schemas.wps.cn/vas-ai-hub/contract-review"/>
      <paraID xmlns="http://schemas.wps.cn/vas-ai-hub/contract-review"> 5BA2201</paraID>
      <start xmlns="http://schemas.wps.cn/vas-ai-hub/contract-review">210</start>
      <end xmlns="http://schemas.wps.cn/vas-ai-hub/contract-review">213</end>
      <status xmlns="http://schemas.wps.cn/vas-ai-hub/contract-review">modified</status>
      <modifiedWord xmlns="http://schemas.wps.cn/vas-ai-hub/contract-review">，壮大</modifiedWord>
      <trackRevisions xmlns="http://schemas.wps.cn/vas-ai-hub/contract-review">false</trackRevisions>
    </reviewItem>
    <reviewItem xmlns="http://schemas.wps.cn/vas-ai-hub/contract-review">
      <errorID xmlns="http://schemas.wps.cn/vas-ai-hub/contract-review">366fa19b-8825-4aa0-afba-c715e0a59a01</errorID>
      <errorWord xmlns="http://schemas.wps.cn/vas-ai-hub/contract-review">直接</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、拓展直接</item>
      </candidateList>
      <explain xmlns="http://schemas.wps.cn/vas-ai-hub/contract-review"/>
      <paraID xmlns="http://schemas.wps.cn/vas-ai-hub/contract-review"> 5BA2201</paraID>
      <start xmlns="http://schemas.wps.cn/vas-ai-hub/contract-review">226</start>
      <end xmlns="http://schemas.wps.cn/vas-ai-hub/contract-review">231</end>
      <status xmlns="http://schemas.wps.cn/vas-ai-hub/contract-review">modified</status>
      <modifiedWord xmlns="http://schemas.wps.cn/vas-ai-hub/contract-review">、拓展直接</modifiedWord>
      <trackRevisions xmlns="http://schemas.wps.cn/vas-ai-hub/contract-review">false</trackRevisions>
    </reviewItem>
    <reviewItem xmlns="http://schemas.wps.cn/vas-ai-hub/contract-review">
      <errorID xmlns="http://schemas.wps.cn/vas-ai-hub/contract-review">a2a0da3c-5bf5-4986-9261-42132d8da8fb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5BA2201</paraID>
      <start xmlns="http://schemas.wps.cn/vas-ai-hub/contract-review">265</start>
      <end xmlns="http://schemas.wps.cn/vas-ai-hub/contract-review">266</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11464-BD93-4124-A52C-38C37E9B04D7}">
  <ds:schemaRefs/>
</ds:datastoreItem>
</file>

<file path=docProps/app.xml><?xml version="1.0" encoding="utf-8"?>
<Properties xmlns="http://schemas.openxmlformats.org/officeDocument/2006/extended-properties" xmlns:vt="http://schemas.openxmlformats.org/officeDocument/2006/docPropsVTypes">
  <Template>Normal</Template>
  <Pages>5</Pages>
  <Words>4199</Words>
  <Characters>4220</Characters>
  <Lines>30</Lines>
  <Paragraphs>8</Paragraphs>
  <TotalTime>7</TotalTime>
  <ScaleCrop>false</ScaleCrop>
  <LinksUpToDate>false</LinksUpToDate>
  <CharactersWithSpaces>4221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2026-03-18T22:07:00Z</dcterms:created>
  <dc:creator>诗耀 黄</dc:creator>
  <cp:lastModifiedBy>袁璀霂</cp:lastModifiedBy>
  <dcterms:modified xsi:type="dcterms:W3CDTF">2026-05-29T14:58:34Z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eyJoZGlkIjoiM2RhMGI0ZDJiNDYzMWIwOGYxMGFkOWVhYTU2ZWQyOTkiLCJ1c2VySWQiOiIzMDcxNTg4NzkifQ==</vt:lpwstr>
  </property>
  <property fmtid="{D5CDD505-2E9C-101B-9397-08002B2CF9AE}" pid="3" name="KSOProductBuildVer">
    <vt:lpwstr>2052-12.1.2.22550</vt:lpwstr>
  </property>
  <property fmtid="{D5CDD505-2E9C-101B-9397-08002B2CF9AE}" pid="4" name="ICV">
    <vt:lpwstr>AE46E9BAE5D57BC41A39196A31E02B95_43</vt:lpwstr>
  </property>
</Properties>
</file>