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20" w:lineRule="exact"/>
        <w:textAlignment w:val="auto"/>
        <w:rPr>
          <w:rFonts w:hint="default" w:ascii="方正小标宋简体" w:hAnsi="方正小标宋简体" w:eastAsia="方正小标宋简体" w:cs="方正小标宋简体"/>
          <w:b w:val="0"/>
          <w:bCs w:val="0"/>
          <w:color w:val="000000"/>
          <w:sz w:val="32"/>
          <w:szCs w:val="32"/>
          <w:highlight w:val="none"/>
          <w:lang w:val="en-US"/>
        </w:rPr>
      </w:pPr>
      <w:r>
        <w:rPr>
          <w:rFonts w:hint="eastAsia" w:ascii="CESI黑体-GB2312" w:hAnsi="CESI黑体-GB2312" w:eastAsia="CESI黑体-GB2312" w:cs="CESI黑体-GB2312"/>
          <w:b w:val="0"/>
          <w:bCs w:val="0"/>
          <w:sz w:val="32"/>
          <w:szCs w:val="32"/>
          <w:lang w:eastAsia="zh-CN"/>
        </w:rPr>
        <w:t>附件</w:t>
      </w:r>
      <w:r>
        <w:rPr>
          <w:rFonts w:hint="eastAsia" w:ascii="CESI黑体-GB2312" w:hAnsi="CESI黑体-GB2312" w:eastAsia="CESI黑体-GB2312" w:cs="CESI黑体-GB2312"/>
          <w:b w:val="0"/>
          <w:bCs w:val="0"/>
          <w:sz w:val="32"/>
          <w:szCs w:val="32"/>
          <w:lang w:val="en-US" w:eastAsia="zh-CN"/>
        </w:rPr>
        <w:t>1</w:t>
      </w:r>
    </w:p>
    <w:p>
      <w:pPr>
        <w:spacing w:line="560" w:lineRule="exact"/>
        <w:jc w:val="center"/>
        <w:rPr>
          <w:rFonts w:hint="eastAsia" w:ascii="方正小标宋简体" w:hAnsi="方正小标宋简体" w:eastAsia="方正小标宋简体" w:cs="方正小标宋简体"/>
          <w:sz w:val="44"/>
          <w:szCs w:val="44"/>
          <w:highlight w:val="none"/>
          <w:lang w:eastAsia="zh-CN"/>
        </w:rPr>
      </w:pPr>
    </w:p>
    <w:p>
      <w:pPr>
        <w:spacing w:line="56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eastAsia="zh-CN"/>
        </w:rPr>
        <w:t>深圳市光明区总工会</w:t>
      </w:r>
      <w:r>
        <w:rPr>
          <w:rFonts w:hint="eastAsia" w:ascii="方正小标宋简体" w:hAnsi="方正小标宋简体" w:eastAsia="方正小标宋简体" w:cs="方正小标宋简体"/>
          <w:sz w:val="44"/>
          <w:szCs w:val="44"/>
          <w:highlight w:val="none"/>
          <w:lang w:val="en-US" w:eastAsia="zh-CN"/>
        </w:rPr>
        <w:t>2026年采购消费帮扶慰问物资项目采购公告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进一步加强新就业形态劳动者及高温一线职工关心关爱，切实履行工会组织在助力乡村振兴中的责任担当，光明区群团工作部拟通过公开招标方式，采购一批对口帮扶地区产品，用于慰问新就业形态劳动者及一线职工。现将本项目有关情况公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项目名称：光明区总工会2026年采购消费帮扶慰问物资项目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采购预算：12万元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项目需求：采购对口帮扶地区农副产品，用于慰问新就业形态劳动者（快递员、外卖骑手、网约车司机等）及高温一线职工（环卫工人、建筑工人、产业工人等）。具体需求如下：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（一）采购产品类别：对口帮扶地区农副产品，包括但不限于大米、芒果、葡萄、百香果等当季水果及农副产品，具体品类以采购时各帮扶平台在售产品为准，优先采购光明区对口帮扶地区产品。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（二）产品要求：所有产品须来源合规、质量合格，符合国家食品安全标准，并提供相应的检测报告或合格证明。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（三）配送服务：供应商须按采购方要求，将物资配送到指定地点（光明区各街道慰问点、职工服务站等），含物流运输及配送费用，具体配送时间及地点以采购方通知为准。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（四）服务期限：自合同签订之日起至2026年12月31日（具体以实际慰问活动安排为准）。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报价方资质要求</w:t>
      </w:r>
    </w:p>
    <w:p>
      <w:pPr>
        <w:adjustRightInd w:val="0"/>
        <w:snapToGrid w:val="0"/>
        <w:spacing w:line="560" w:lineRule="exact"/>
        <w:ind w:firstLine="640" w:firstLineChars="200"/>
        <w:rPr>
          <w:rFonts w:ascii="仿宋_GB2312" w:hAnsi="Calibri" w:eastAsia="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Calibri" w:eastAsia="仿宋_GB2312"/>
          <w:sz w:val="32"/>
          <w:szCs w:val="32"/>
          <w:highlight w:val="none"/>
        </w:rPr>
        <w:t>符合《中华人民共和国政府采购法》第二十二条资格条件</w:t>
      </w:r>
      <w:r>
        <w:rPr>
          <w:rFonts w:hint="eastAsia" w:ascii="仿宋_GB2312" w:hAnsi="Calibri" w:eastAsia="仿宋_GB2312"/>
          <w:sz w:val="32"/>
          <w:szCs w:val="32"/>
          <w:highlight w:val="none"/>
          <w:lang w:eastAsia="zh-CN"/>
        </w:rPr>
        <w:t>。</w:t>
      </w:r>
    </w:p>
    <w:p>
      <w:pPr>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color w:val="000000"/>
          <w:sz w:val="32"/>
          <w:szCs w:val="32"/>
          <w:highlight w:val="none"/>
        </w:rPr>
        <w:t>单位负责人为同一人或者存在直接控股、管理关系的不同供应商，不得同时参加同一包的采购活动。单位办公地点为同一地址的，供应商之间股东有关联的，一律视为有直接控股、管理关系。供应商之间有上述关系的，应主动声明，否则将给予列入不良记录名单、3年内不得参加</w:t>
      </w:r>
      <w:r>
        <w:rPr>
          <w:rFonts w:hint="eastAsia" w:ascii="仿宋_GB2312" w:hAnsi="仿宋_GB2312" w:eastAsia="仿宋_GB2312" w:cs="仿宋_GB2312"/>
          <w:color w:val="000000"/>
          <w:sz w:val="32"/>
          <w:szCs w:val="32"/>
          <w:highlight w:val="none"/>
          <w:lang w:eastAsia="zh-CN"/>
        </w:rPr>
        <w:t>我单位</w:t>
      </w:r>
      <w:r>
        <w:rPr>
          <w:rFonts w:hint="eastAsia" w:ascii="仿宋_GB2312" w:hAnsi="仿宋_GB2312" w:eastAsia="仿宋_GB2312" w:cs="仿宋_GB2312"/>
          <w:color w:val="000000"/>
          <w:sz w:val="32"/>
          <w:szCs w:val="32"/>
          <w:highlight w:val="none"/>
        </w:rPr>
        <w:t>采购活动的处罚。</w:t>
      </w:r>
    </w:p>
    <w:p>
      <w:pPr>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（三）本项目不接受联合体投标报价，不允许分包、转包。</w:t>
      </w:r>
    </w:p>
    <w:p>
      <w:pPr>
        <w:pStyle w:val="4"/>
        <w:spacing w:line="560" w:lineRule="exact"/>
        <w:ind w:firstLine="616" w:firstLineChars="200"/>
        <w:rPr>
          <w:rFonts w:hint="eastAsia" w:ascii="仿宋_GB2312" w:hAnsi="仿宋" w:eastAsia="仿宋_GB2312"/>
          <w:sz w:val="32"/>
          <w:szCs w:val="32"/>
          <w:highlight w:val="none"/>
          <w:lang w:val="en-US" w:eastAsia="zh-CN"/>
        </w:rPr>
      </w:pPr>
      <w:r>
        <w:rPr>
          <w:rFonts w:hint="eastAsia" w:ascii="仿宋_GB2312" w:hAnsi="仿宋_GB2312"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lang w:val="en-US" w:eastAsia="zh-CN"/>
        </w:rPr>
        <w:t>、评标方式：综合评分法。</w:t>
      </w:r>
      <w:r>
        <w:rPr>
          <w:rFonts w:hint="eastAsia" w:ascii="仿宋_GB2312" w:hAnsi="仿宋" w:eastAsia="仿宋_GB2312"/>
          <w:sz w:val="32"/>
          <w:szCs w:val="32"/>
          <w:highlight w:val="none"/>
          <w:lang w:val="en-US" w:eastAsia="zh-CN"/>
        </w:rPr>
        <w:t>将综合投标单位的报价、</w:t>
      </w:r>
      <w:r>
        <w:rPr>
          <w:rFonts w:hint="eastAsia" w:ascii="仿宋_GB2312" w:hAnsi="仿宋"/>
          <w:sz w:val="32"/>
          <w:szCs w:val="32"/>
          <w:highlight w:val="none"/>
          <w:lang w:val="en-US" w:eastAsia="zh-CN"/>
        </w:rPr>
        <w:t>专业资质</w:t>
      </w:r>
      <w:r>
        <w:rPr>
          <w:rFonts w:hint="eastAsia" w:ascii="仿宋_GB2312" w:hAnsi="仿宋" w:eastAsia="仿宋_GB2312"/>
          <w:sz w:val="32"/>
          <w:szCs w:val="32"/>
          <w:highlight w:val="none"/>
          <w:lang w:val="en-US" w:eastAsia="zh-CN"/>
        </w:rPr>
        <w:t>、服务</w:t>
      </w:r>
      <w:r>
        <w:rPr>
          <w:rFonts w:hint="eastAsia" w:ascii="仿宋_GB2312" w:hAnsi="仿宋"/>
          <w:sz w:val="32"/>
          <w:szCs w:val="32"/>
          <w:highlight w:val="none"/>
          <w:lang w:val="en-US" w:eastAsia="zh-CN"/>
        </w:rPr>
        <w:t>方案</w:t>
      </w:r>
      <w:r>
        <w:rPr>
          <w:rFonts w:hint="eastAsia" w:ascii="仿宋_GB2312" w:hAnsi="仿宋" w:eastAsia="仿宋_GB2312"/>
          <w:sz w:val="32"/>
          <w:szCs w:val="32"/>
          <w:highlight w:val="none"/>
          <w:lang w:val="en-US" w:eastAsia="zh-CN"/>
        </w:rPr>
        <w:t>等方面进行评选，综合得分最高者为中标单位。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六、评分标准</w:t>
      </w:r>
    </w:p>
    <w:tbl>
      <w:tblPr>
        <w:tblStyle w:val="6"/>
        <w:tblW w:w="86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2"/>
        <w:gridCol w:w="1686"/>
        <w:gridCol w:w="659"/>
        <w:gridCol w:w="55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8" w:hRule="atLeast"/>
          <w:jc w:val="center"/>
        </w:trPr>
        <w:tc>
          <w:tcPr>
            <w:tcW w:w="782"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default" w:ascii="仿宋_GB2312" w:eastAsia="仿宋_GB2312"/>
                <w:b/>
                <w:bCs w:val="0"/>
                <w:color w:val="auto"/>
                <w:sz w:val="32"/>
                <w:szCs w:val="32"/>
                <w:highlight w:val="none"/>
              </w:rPr>
            </w:pPr>
            <w:r>
              <w:rPr>
                <w:rFonts w:hint="eastAsia" w:ascii="仿宋_GB2312" w:eastAsia="仿宋_GB2312"/>
                <w:b/>
                <w:bCs w:val="0"/>
                <w:color w:val="auto"/>
                <w:sz w:val="32"/>
                <w:szCs w:val="32"/>
                <w:highlight w:val="none"/>
                <w:lang w:eastAsia="zh-CN"/>
              </w:rPr>
              <w:t>序号</w:t>
            </w:r>
          </w:p>
        </w:tc>
        <w:tc>
          <w:tcPr>
            <w:tcW w:w="1686"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eastAsia" w:ascii="仿宋_GB2312" w:eastAsia="仿宋_GB2312"/>
                <w:b/>
                <w:bCs w:val="0"/>
                <w:color w:val="auto"/>
                <w:sz w:val="32"/>
                <w:szCs w:val="32"/>
                <w:highlight w:val="none"/>
                <w:lang w:eastAsia="zh-CN"/>
              </w:rPr>
            </w:pPr>
            <w:r>
              <w:rPr>
                <w:rFonts w:hint="eastAsia" w:ascii="仿宋_GB2312" w:eastAsia="仿宋_GB2312"/>
                <w:b/>
                <w:bCs w:val="0"/>
                <w:color w:val="auto"/>
                <w:sz w:val="32"/>
                <w:szCs w:val="32"/>
                <w:highlight w:val="none"/>
              </w:rPr>
              <w:t>评分项目</w:t>
            </w:r>
          </w:p>
        </w:tc>
        <w:tc>
          <w:tcPr>
            <w:tcW w:w="659"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default" w:ascii="仿宋_GB2312" w:eastAsia="仿宋_GB2312"/>
                <w:b/>
                <w:bCs w:val="0"/>
                <w:color w:val="auto"/>
                <w:sz w:val="32"/>
                <w:szCs w:val="32"/>
                <w:highlight w:val="none"/>
                <w:lang w:val="en-US" w:eastAsia="zh-CN"/>
              </w:rPr>
            </w:pPr>
            <w:r>
              <w:rPr>
                <w:rFonts w:hint="eastAsia" w:ascii="仿宋_GB2312" w:eastAsia="仿宋_GB2312"/>
                <w:b/>
                <w:bCs w:val="0"/>
                <w:color w:val="auto"/>
                <w:sz w:val="32"/>
                <w:szCs w:val="32"/>
                <w:highlight w:val="none"/>
                <w:lang w:eastAsia="zh-CN"/>
              </w:rPr>
              <w:t>分值</w:t>
            </w:r>
            <w:r>
              <w:rPr>
                <w:rFonts w:hint="eastAsia" w:ascii="仿宋_GB2312" w:eastAsia="仿宋_GB2312"/>
                <w:b/>
                <w:bCs w:val="0"/>
                <w:color w:val="auto"/>
                <w:sz w:val="32"/>
                <w:szCs w:val="32"/>
                <w:highlight w:val="none"/>
                <w:lang w:val="en-US" w:eastAsia="zh-CN"/>
              </w:rPr>
              <w:t xml:space="preserve"> </w:t>
            </w:r>
          </w:p>
        </w:tc>
        <w:tc>
          <w:tcPr>
            <w:tcW w:w="5562"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default" w:ascii="仿宋_GB2312" w:eastAsia="仿宋_GB2312"/>
                <w:b/>
                <w:bCs w:val="0"/>
                <w:color w:val="auto"/>
                <w:sz w:val="32"/>
                <w:szCs w:val="32"/>
                <w:highlight w:val="none"/>
              </w:rPr>
            </w:pPr>
            <w:r>
              <w:rPr>
                <w:rFonts w:hint="eastAsia" w:ascii="仿宋_GB2312" w:eastAsia="仿宋_GB2312"/>
                <w:b/>
                <w:bCs w:val="0"/>
                <w:color w:val="auto"/>
                <w:sz w:val="32"/>
                <w:szCs w:val="32"/>
                <w:highlight w:val="none"/>
              </w:rPr>
              <w:t>评 分 参 考 及 范 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8" w:hRule="atLeast"/>
          <w:jc w:val="center"/>
        </w:trPr>
        <w:tc>
          <w:tcPr>
            <w:tcW w:w="782"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w:t>
            </w:r>
          </w:p>
        </w:tc>
        <w:tc>
          <w:tcPr>
            <w:tcW w:w="1686"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采购价格</w:t>
            </w:r>
          </w:p>
        </w:tc>
        <w:tc>
          <w:tcPr>
            <w:tcW w:w="659"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5562" w:type="dxa"/>
            <w:noWrap w:val="0"/>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40" w:lineRule="exact"/>
              <w:ind w:left="0" w:right="0" w:firstLine="420"/>
              <w:jc w:val="left"/>
              <w:textAlignment w:val="auto"/>
              <w:rPr>
                <w:rFonts w:hint="eastAsia" w:ascii="仿宋_GB2312" w:hAnsi="仿宋_GB2312" w:eastAsia="仿宋_GB2312" w:cs="仿宋_GB2312"/>
                <w:b w:val="0"/>
                <w:bCs w:val="0"/>
                <w:color w:val="auto"/>
                <w:sz w:val="24"/>
                <w:szCs w:val="24"/>
                <w:highlight w:val="none"/>
                <w:lang w:val="en" w:eastAsia="zh-CN"/>
              </w:rPr>
            </w:pPr>
            <w:r>
              <w:rPr>
                <w:rFonts w:hint="eastAsia" w:ascii="仿宋_GB2312" w:hAnsi="仿宋_GB2312" w:eastAsia="仿宋_GB2312" w:cs="仿宋_GB2312"/>
                <w:b w:val="0"/>
                <w:color w:val="auto"/>
                <w:sz w:val="24"/>
                <w:szCs w:val="24"/>
                <w:highlight w:val="none"/>
                <w:u w:val="none"/>
                <w:lang w:eastAsia="zh-CN"/>
              </w:rPr>
              <w:t>根据供应商报价评分，价格越低，分数越高。以</w:t>
            </w:r>
            <w:r>
              <w:rPr>
                <w:rFonts w:hint="default" w:ascii="仿宋_GB2312" w:hAnsi="仿宋_GB2312" w:eastAsia="仿宋_GB2312" w:cs="仿宋_GB2312"/>
                <w:b w:val="0"/>
                <w:color w:val="auto"/>
                <w:sz w:val="24"/>
                <w:szCs w:val="24"/>
                <w:highlight w:val="none"/>
                <w:u w:val="none"/>
              </w:rPr>
              <w:t>满足招标文件要求且投标价格最低的投标报价为</w:t>
            </w:r>
            <w:bookmarkStart w:id="0" w:name="_GoBack"/>
            <w:r>
              <w:rPr>
                <w:rFonts w:hint="default" w:ascii="仿宋_GB2312" w:hAnsi="仿宋_GB2312" w:eastAsia="仿宋_GB2312" w:cs="仿宋_GB2312"/>
                <w:b w:val="0"/>
                <w:color w:val="auto"/>
                <w:sz w:val="24"/>
                <w:szCs w:val="24"/>
                <w:highlight w:val="none"/>
                <w:u w:val="none"/>
              </w:rPr>
              <w:t>评标基准价</w:t>
            </w:r>
            <w:bookmarkEnd w:id="0"/>
            <w:r>
              <w:rPr>
                <w:rFonts w:hint="default" w:ascii="仿宋_GB2312" w:hAnsi="仿宋_GB2312" w:eastAsia="仿宋_GB2312" w:cs="仿宋_GB2312"/>
                <w:b w:val="0"/>
                <w:color w:val="auto"/>
                <w:sz w:val="24"/>
                <w:szCs w:val="24"/>
                <w:highlight w:val="none"/>
                <w:u w:val="none"/>
              </w:rPr>
              <w:t>，</w:t>
            </w:r>
            <w:r>
              <w:rPr>
                <w:rFonts w:hint="default" w:ascii="仿宋_GB2312" w:hAnsi="仿宋_GB2312" w:eastAsia="仿宋_GB2312" w:cs="仿宋_GB2312"/>
                <w:b w:val="0"/>
                <w:color w:val="auto"/>
                <w:sz w:val="24"/>
                <w:szCs w:val="24"/>
                <w:highlight w:val="none"/>
              </w:rPr>
              <w:t>其价格分为满分。其他投标人的价格分统一按照下列公式计算：投标报价得分=(评标基准价/投标报价)</w:t>
            </w:r>
            <w:r>
              <w:rPr>
                <w:rFonts w:hint="eastAsia" w:ascii="仿宋_GB2312" w:hAnsi="仿宋_GB2312" w:eastAsia="仿宋_GB2312" w:cs="仿宋_GB2312"/>
                <w:b w:val="0"/>
                <w:color w:val="auto"/>
                <w:sz w:val="24"/>
                <w:szCs w:val="24"/>
                <w:highlight w:val="none"/>
                <w:lang w:val="en-US" w:eastAsia="zh-CN"/>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8" w:hRule="atLeast"/>
          <w:jc w:val="center"/>
        </w:trPr>
        <w:tc>
          <w:tcPr>
            <w:tcW w:w="782"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w:t>
            </w:r>
          </w:p>
        </w:tc>
        <w:tc>
          <w:tcPr>
            <w:tcW w:w="1686"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专业资质</w:t>
            </w:r>
          </w:p>
        </w:tc>
        <w:tc>
          <w:tcPr>
            <w:tcW w:w="659"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55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仿宋_GB2312" w:hAnsi="仿宋_GB2312" w:eastAsia="仿宋_GB2312" w:cs="仿宋_GB2312"/>
                <w:b w:val="0"/>
                <w:bCs w:val="0"/>
                <w:color w:val="auto"/>
                <w:sz w:val="24"/>
                <w:szCs w:val="24"/>
                <w:highlight w:val="none"/>
                <w:lang w:val="en-US"/>
              </w:rPr>
            </w:pPr>
            <w:r>
              <w:rPr>
                <w:rFonts w:hint="eastAsia" w:ascii="仿宋_GB2312" w:hAnsi="仿宋_GB2312" w:eastAsia="仿宋_GB2312" w:cs="仿宋_GB2312"/>
                <w:b w:val="0"/>
                <w:color w:val="auto"/>
                <w:sz w:val="24"/>
                <w:szCs w:val="24"/>
                <w:highlight w:val="none"/>
                <w:lang w:val="en-US" w:eastAsia="zh-CN"/>
              </w:rPr>
              <w:t>审核供应商提供的执业资格复印件、法定代表人身份证明、委托代理人证明（如有），满分3分，材料缺一项扣1分，无材料0分。审核供应商提供的公司简介、概况及经营范围等资质证明材料，满分2分，材料缺一项扣1分，无材料0分。审核供应商提供的依法缴纳税收和社会保障资金的记录。满分2分，缺一项扣1分，无材料0分。审核供应商提供的食品经营许可证、食品安全管理体系认证证书、圳品评价证书等材料，满分3分，材料缺一项扣1分，无材料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8" w:hRule="atLeast"/>
          <w:jc w:val="center"/>
        </w:trPr>
        <w:tc>
          <w:tcPr>
            <w:tcW w:w="782"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w:t>
            </w:r>
          </w:p>
        </w:tc>
        <w:tc>
          <w:tcPr>
            <w:tcW w:w="1686"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同类项目经验</w:t>
            </w:r>
          </w:p>
        </w:tc>
        <w:tc>
          <w:tcPr>
            <w:tcW w:w="659"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55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lang w:val="en-US" w:eastAsia="zh-CN"/>
              </w:rPr>
              <w:t>审核供应商提供其他同类项目经验（提供合作政企名单、提供合同关键页、履约评价等），按照供应商提供的同类项目经验数量评分，6个以上为A等级，5-3个为B等级，3个（不含）以下为C等级，无同类项目经验为D等级；A等级（优秀）：90%（含）-100%、B等级（良好）：75（含）-90%、C等级（合格）：60%（含）-75%、D等级（不合格）：0-60%，赋予相应权重进行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18" w:hRule="atLeast"/>
          <w:jc w:val="center"/>
        </w:trPr>
        <w:tc>
          <w:tcPr>
            <w:tcW w:w="782"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w:t>
            </w:r>
          </w:p>
        </w:tc>
        <w:tc>
          <w:tcPr>
            <w:tcW w:w="1686"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实施方案</w:t>
            </w:r>
          </w:p>
        </w:tc>
        <w:tc>
          <w:tcPr>
            <w:tcW w:w="659"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40</w:t>
            </w:r>
          </w:p>
        </w:tc>
        <w:tc>
          <w:tcPr>
            <w:tcW w:w="5562" w:type="dxa"/>
            <w:noWrap w:val="0"/>
            <w:vAlign w:val="center"/>
          </w:tcPr>
          <w:p>
            <w:pPr>
              <w:keepNext w:val="0"/>
              <w:keepLines w:val="0"/>
              <w:numPr>
                <w:ilvl w:val="0"/>
                <w:numId w:val="2"/>
              </w:numPr>
              <w:suppressLineNumbers w:val="0"/>
              <w:tabs>
                <w:tab w:val="left" w:pos="426"/>
                <w:tab w:val="clear" w:pos="312"/>
              </w:tabs>
              <w:snapToGrid w:val="0"/>
              <w:spacing w:before="0" w:beforeAutospacing="0" w:after="0" w:afterAutospacing="0" w:line="460" w:lineRule="exact"/>
              <w:ind w:left="0" w:right="0" w:firstLine="480" w:firstLineChars="200"/>
              <w:jc w:val="left"/>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kern w:val="2"/>
                <w:sz w:val="24"/>
                <w:szCs w:val="24"/>
                <w:highlight w:val="none"/>
                <w:lang w:val="en-US" w:eastAsia="zh-CN" w:bidi="ar-SA"/>
              </w:rPr>
              <w:t>服务实施方案及专属项目人员配置方案；</w:t>
            </w:r>
          </w:p>
          <w:p>
            <w:pPr>
              <w:keepNext w:val="0"/>
              <w:keepLines w:val="0"/>
              <w:numPr>
                <w:ilvl w:val="0"/>
                <w:numId w:val="2"/>
              </w:numPr>
              <w:suppressLineNumbers w:val="0"/>
              <w:tabs>
                <w:tab w:val="left" w:pos="426"/>
                <w:tab w:val="clear" w:pos="312"/>
              </w:tabs>
              <w:snapToGrid w:val="0"/>
              <w:spacing w:before="0" w:beforeAutospacing="0" w:after="0" w:afterAutospacing="0" w:line="460" w:lineRule="exact"/>
              <w:ind w:left="0" w:right="0" w:firstLine="480" w:firstLineChars="200"/>
              <w:jc w:val="left"/>
              <w:rPr>
                <w:rFonts w:hint="default"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kern w:val="2"/>
                <w:sz w:val="24"/>
                <w:szCs w:val="24"/>
                <w:highlight w:val="none"/>
                <w:lang w:val="en-US" w:eastAsia="zh-CN" w:bidi="ar-SA"/>
              </w:rPr>
              <w:t>供货配给及缺货保障方案和仓储、设备保障方案；</w:t>
            </w:r>
          </w:p>
          <w:p>
            <w:pPr>
              <w:keepNext w:val="0"/>
              <w:keepLines w:val="0"/>
              <w:numPr>
                <w:ilvl w:val="0"/>
                <w:numId w:val="2"/>
              </w:numPr>
              <w:suppressLineNumbers w:val="0"/>
              <w:tabs>
                <w:tab w:val="left" w:pos="426"/>
                <w:tab w:val="clear" w:pos="312"/>
              </w:tabs>
              <w:snapToGrid w:val="0"/>
              <w:spacing w:before="0" w:beforeAutospacing="0" w:after="0" w:afterAutospacing="0" w:line="460" w:lineRule="exact"/>
              <w:ind w:left="0" w:right="0" w:firstLine="480" w:firstLineChars="200"/>
              <w:jc w:val="left"/>
              <w:rPr>
                <w:rFonts w:hint="default"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kern w:val="2"/>
                <w:sz w:val="24"/>
                <w:szCs w:val="24"/>
                <w:highlight w:val="none"/>
                <w:lang w:val="en-US" w:eastAsia="zh-CN" w:bidi="ar-SA"/>
              </w:rPr>
              <w:t>产品配送服务保障方案和售后服务方案等综合服务，考虑越周全，可执行程度越高，得分值越高。</w:t>
            </w:r>
          </w:p>
          <w:p>
            <w:pPr>
              <w:keepNext w:val="0"/>
              <w:keepLines w:val="0"/>
              <w:numPr>
                <w:ilvl w:val="0"/>
                <w:numId w:val="0"/>
              </w:numPr>
              <w:suppressLineNumbers w:val="0"/>
              <w:tabs>
                <w:tab w:val="left" w:pos="426"/>
              </w:tabs>
              <w:snapToGrid w:val="0"/>
              <w:spacing w:before="0" w:beforeAutospacing="0" w:after="0" w:afterAutospacing="0" w:line="460" w:lineRule="exact"/>
              <w:ind w:leftChars="200" w:right="0" w:rightChars="0"/>
              <w:jc w:val="left"/>
              <w:rPr>
                <w:rFonts w:hint="default"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kern w:val="2"/>
                <w:sz w:val="24"/>
                <w:szCs w:val="24"/>
                <w:highlight w:val="none"/>
                <w:lang w:val="en-US" w:eastAsia="zh-CN" w:bidi="ar-SA"/>
              </w:rPr>
              <w:t>此项目共计40分。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8" w:hRule="atLeast"/>
          <w:jc w:val="center"/>
        </w:trPr>
        <w:tc>
          <w:tcPr>
            <w:tcW w:w="782"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w:t>
            </w:r>
          </w:p>
        </w:tc>
        <w:tc>
          <w:tcPr>
            <w:tcW w:w="1686"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eastAsia" w:ascii="仿宋_GB2312" w:eastAsia="仿宋_GB2312"/>
                <w:b/>
                <w:bCs w:val="0"/>
                <w:color w:val="auto"/>
                <w:sz w:val="32"/>
                <w:szCs w:val="32"/>
                <w:highlight w:val="none"/>
                <w:lang w:eastAsia="zh-CN"/>
              </w:rPr>
            </w:pPr>
            <w:r>
              <w:rPr>
                <w:rFonts w:hint="eastAsia" w:ascii="仿宋_GB2312" w:hAnsi="仿宋_GB2312" w:eastAsia="仿宋_GB2312" w:cs="仿宋_GB2312"/>
                <w:color w:val="auto"/>
                <w:sz w:val="24"/>
                <w:szCs w:val="24"/>
                <w:highlight w:val="none"/>
                <w:lang w:val="en-US" w:eastAsia="zh-CN"/>
              </w:rPr>
              <w:t>诚信管理情况</w:t>
            </w:r>
          </w:p>
        </w:tc>
        <w:tc>
          <w:tcPr>
            <w:tcW w:w="659"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5562" w:type="dxa"/>
            <w:noWrap w:val="0"/>
            <w:vAlign w:val="top"/>
          </w:tcPr>
          <w:p>
            <w:pPr>
              <w:keepNext w:val="0"/>
              <w:keepLines w:val="0"/>
              <w:pageBreakBefore w:val="0"/>
              <w:widowControl w:val="0"/>
              <w:suppressLineNumbers w:val="0"/>
              <w:tabs>
                <w:tab w:val="left" w:pos="426"/>
              </w:tabs>
              <w:kinsoku/>
              <w:wordWrap/>
              <w:overflowPunct/>
              <w:topLinePunct w:val="0"/>
              <w:autoSpaceDE/>
              <w:autoSpaceDN/>
              <w:bidi w:val="0"/>
              <w:adjustRightInd/>
              <w:snapToGrid w:val="0"/>
              <w:spacing w:before="0" w:beforeAutospacing="0" w:after="0" w:afterAutospacing="0" w:line="460" w:lineRule="exact"/>
              <w:ind w:left="0" w:righ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投标单位需提供公告期内信用中国或信用深圳等网站下载的信用报告。</w:t>
            </w:r>
          </w:p>
          <w:p>
            <w:pPr>
              <w:keepNext w:val="0"/>
              <w:keepLines w:val="0"/>
              <w:pageBreakBefore w:val="0"/>
              <w:widowControl w:val="0"/>
              <w:suppressLineNumbers w:val="0"/>
              <w:tabs>
                <w:tab w:val="left" w:pos="426"/>
              </w:tabs>
              <w:kinsoku/>
              <w:wordWrap/>
              <w:overflowPunct/>
              <w:topLinePunct w:val="0"/>
              <w:autoSpaceDE/>
              <w:autoSpaceDN/>
              <w:bidi w:val="0"/>
              <w:adjustRightInd/>
              <w:snapToGrid w:val="0"/>
              <w:spacing w:before="0" w:beforeAutospacing="0" w:after="0" w:afterAutospacing="0" w:line="460" w:lineRule="exact"/>
              <w:ind w:left="0" w:right="0" w:firstLine="480" w:firstLineChars="200"/>
              <w:jc w:val="left"/>
              <w:textAlignment w:val="auto"/>
              <w:rPr>
                <w:rFonts w:hint="default"/>
                <w:color w:val="auto"/>
                <w:highlight w:val="none"/>
                <w:lang w:val="en-US" w:eastAsia="zh-CN"/>
              </w:rPr>
            </w:pPr>
            <w:r>
              <w:rPr>
                <w:rFonts w:hint="eastAsia" w:ascii="仿宋_GB2312" w:hAnsi="仿宋_GB2312" w:eastAsia="仿宋_GB2312" w:cs="仿宋_GB2312"/>
                <w:color w:val="auto"/>
                <w:sz w:val="24"/>
                <w:szCs w:val="24"/>
                <w:highlight w:val="none"/>
              </w:rPr>
              <w:t>投标单位在参与政府采购活动中存在诚信管理相关问题且在主管部门相关处理措施实施期限内的，本项不得分。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8" w:hRule="atLeast"/>
          <w:jc w:val="center"/>
        </w:trPr>
        <w:tc>
          <w:tcPr>
            <w:tcW w:w="782"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w:t>
            </w:r>
          </w:p>
        </w:tc>
        <w:tc>
          <w:tcPr>
            <w:tcW w:w="1686"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履约承诺情况</w:t>
            </w:r>
          </w:p>
        </w:tc>
        <w:tc>
          <w:tcPr>
            <w:tcW w:w="659" w:type="dxa"/>
            <w:noWrap w:val="0"/>
            <w:vAlign w:val="center"/>
          </w:tcPr>
          <w:p>
            <w:pPr>
              <w:keepNext w:val="0"/>
              <w:keepLines w:val="0"/>
              <w:pageBreakBefore w:val="0"/>
              <w:suppressLineNumbers w:val="0"/>
              <w:tabs>
                <w:tab w:val="left" w:pos="426"/>
              </w:tabs>
              <w:kinsoku/>
              <w:wordWrap/>
              <w:overflowPunct/>
              <w:topLinePunct w:val="0"/>
              <w:autoSpaceDE/>
              <w:autoSpaceDN/>
              <w:bidi w:val="0"/>
              <w:snapToGrid w:val="0"/>
              <w:spacing w:before="0" w:beforeAutospacing="0" w:after="0" w:afterAutospacing="0" w:line="560" w:lineRule="exact"/>
              <w:ind w:left="0" w:right="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5562" w:type="dxa"/>
            <w:noWrap w:val="0"/>
            <w:vAlign w:val="center"/>
          </w:tcPr>
          <w:p>
            <w:pPr>
              <w:keepNext w:val="0"/>
              <w:keepLines w:val="0"/>
              <w:pageBreakBefore w:val="0"/>
              <w:widowControl w:val="0"/>
              <w:suppressLineNumbers w:val="0"/>
              <w:tabs>
                <w:tab w:val="left" w:pos="426"/>
              </w:tabs>
              <w:kinsoku/>
              <w:wordWrap/>
              <w:overflowPunct/>
              <w:topLinePunct w:val="0"/>
              <w:autoSpaceDE/>
              <w:autoSpaceDN/>
              <w:bidi w:val="0"/>
              <w:adjustRightInd/>
              <w:snapToGrid w:val="0"/>
              <w:spacing w:before="0" w:beforeAutospacing="0" w:after="0" w:afterAutospacing="0" w:line="460" w:lineRule="exact"/>
              <w:ind w:left="0" w:right="0"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投标单位提供履约承诺函。</w:t>
            </w:r>
          </w:p>
        </w:tc>
      </w:tr>
    </w:tbl>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七、报价文件（以下材料均需加盖公章）</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供应商公司简介、概况及经营范围等资质证明材料；</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营业执照复印件及法定代表人身份证明；</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食品经营许可证或相关食品经营资质证书复印件；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项目报价单；</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本次项目方案，过往同类项目成果展示；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提供近半年依法</w:t>
      </w:r>
      <w:r>
        <w:rPr>
          <w:rFonts w:hint="eastAsia" w:ascii="仿宋_GB2312" w:hAnsi="宋体" w:eastAsia="仿宋_GB2312"/>
          <w:sz w:val="32"/>
          <w:szCs w:val="32"/>
          <w:highlight w:val="none"/>
          <w:lang w:eastAsia="zh-CN"/>
        </w:rPr>
        <w:t>纳税证明及</w:t>
      </w:r>
      <w:r>
        <w:rPr>
          <w:rFonts w:hint="eastAsia" w:ascii="仿宋_GB2312" w:hAnsi="仿宋_GB2312" w:eastAsia="仿宋_GB2312" w:cs="仿宋_GB2312"/>
          <w:b w:val="0"/>
          <w:color w:val="auto"/>
          <w:sz w:val="32"/>
          <w:szCs w:val="32"/>
          <w:highlight w:val="none"/>
          <w:lang w:val="en-US" w:eastAsia="zh-CN"/>
        </w:rPr>
        <w:t>社会保障资金的记录</w:t>
      </w:r>
      <w:r>
        <w:rPr>
          <w:rFonts w:hint="eastAsia" w:ascii="仿宋_GB2312" w:hAnsi="宋体" w:eastAsia="仿宋_GB2312"/>
          <w:sz w:val="32"/>
          <w:szCs w:val="32"/>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其他政府单位出具的相关项目合同关键页、履约评价函复印件；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提供近三年无重大违法记录，未被列入失信被执行人、重大税收违法案件当事人名单、政府采购严重违法失信行为记录名单的证明材料（“信用中国”等相关信息以公告期内查询结果为准）；</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left="0" w:leftChars="0" w:firstLine="42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履约承诺函（详见附件）；</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left="0" w:leftChars="0" w:firstLine="42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其他相关材料，如消费帮扶平台入驻证明、产品检测报告等。</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八、公告期限</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2026年6月22日至2026年6月26日</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九、报价文件递交时间、地点及方式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（一）递交截止时间：2026年6月26日18时00分；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（二）递交地点：深圳市光明区玉塘街道田寮社区科联路科润大厦A座；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8"/>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lang w:val="en-US" w:eastAsia="zh-CN"/>
        </w:rPr>
        <w:t>（三）递交方式：</w:t>
      </w:r>
      <w:r>
        <w:rPr>
          <w:rStyle w:val="8"/>
          <w:rFonts w:hint="eastAsia" w:ascii="仿宋_GB2312" w:hAnsi="仿宋_GB2312" w:eastAsia="仿宋_GB2312" w:cs="仿宋_GB2312"/>
          <w:color w:val="000000"/>
          <w:sz w:val="32"/>
          <w:szCs w:val="32"/>
          <w:highlight w:val="none"/>
        </w:rPr>
        <w:t>通过邮寄方式递交报价文件（报价单及相关资料必须额外使用信封或文件袋封装，文件袋开口处均须粘贴封条，并在接口处加盖公章</w:t>
      </w:r>
      <w:r>
        <w:rPr>
          <w:rStyle w:val="8"/>
          <w:rFonts w:hint="eastAsia" w:ascii="仿宋_GB2312" w:hAnsi="仿宋_GB2312" w:eastAsia="仿宋_GB2312" w:cs="仿宋_GB2312"/>
          <w:color w:val="000000"/>
          <w:sz w:val="32"/>
          <w:szCs w:val="32"/>
          <w:highlight w:val="none"/>
          <w:lang w:eastAsia="zh-CN"/>
        </w:rPr>
        <w:t>，纸质材料一式五份</w:t>
      </w:r>
      <w:r>
        <w:rPr>
          <w:rStyle w:val="8"/>
          <w:rFonts w:hint="eastAsia" w:ascii="仿宋_GB2312" w:hAnsi="仿宋_GB2312" w:eastAsia="仿宋_GB2312" w:cs="仿宋_GB2312"/>
          <w:color w:val="000000"/>
          <w:sz w:val="32"/>
          <w:szCs w:val="32"/>
          <w:highlight w:val="none"/>
        </w:rPr>
        <w:t>）</w:t>
      </w:r>
      <w:r>
        <w:rPr>
          <w:rStyle w:val="8"/>
          <w:rFonts w:hint="eastAsia" w:ascii="仿宋_GB2312" w:hAnsi="仿宋_GB2312" w:eastAsia="仿宋_GB2312" w:cs="仿宋_GB2312"/>
          <w:color w:val="000000"/>
          <w:sz w:val="32"/>
          <w:szCs w:val="32"/>
          <w:highlight w:val="none"/>
          <w:lang w:eastAsia="zh-CN"/>
        </w:rPr>
        <w:t>，</w:t>
      </w:r>
      <w:r>
        <w:rPr>
          <w:rStyle w:val="8"/>
          <w:rFonts w:hint="eastAsia" w:ascii="仿宋_GB2312" w:hAnsi="仿宋_GB2312" w:eastAsia="仿宋_GB2312" w:cs="仿宋_GB2312"/>
          <w:color w:val="auto"/>
          <w:sz w:val="32"/>
          <w:szCs w:val="32"/>
          <w:highlight w:val="none"/>
          <w:lang w:eastAsia="zh-CN"/>
        </w:rPr>
        <w:t>电子版材料一并提交至邮</w:t>
      </w:r>
      <w:r>
        <w:rPr>
          <w:rStyle w:val="8"/>
          <w:rFonts w:hint="eastAsia" w:ascii="仿宋_GB2312" w:hAnsi="仿宋_GB2312" w:eastAsia="仿宋_GB2312" w:cs="仿宋_GB2312"/>
          <w:color w:val="000000"/>
          <w:sz w:val="32"/>
          <w:szCs w:val="32"/>
          <w:highlight w:val="none"/>
          <w:lang w:eastAsia="zh-CN"/>
        </w:rPr>
        <w:t>箱：qtgzbgh</w:t>
      </w:r>
      <w:r>
        <w:rPr>
          <w:rStyle w:val="8"/>
          <w:rFonts w:hint="eastAsia" w:ascii="仿宋_GB2312" w:hAnsi="仿宋_GB2312" w:eastAsia="仿宋_GB2312" w:cs="仿宋_GB2312"/>
          <w:color w:val="000000"/>
          <w:sz w:val="32"/>
          <w:szCs w:val="32"/>
          <w:highlight w:val="none"/>
          <w:lang w:val="en-US" w:eastAsia="zh-CN"/>
        </w:rPr>
        <w:t>@</w:t>
      </w:r>
      <w:r>
        <w:rPr>
          <w:rStyle w:val="8"/>
          <w:rFonts w:hint="eastAsia" w:ascii="仿宋_GB2312" w:hAnsi="仿宋_GB2312" w:eastAsia="仿宋_GB2312" w:cs="仿宋_GB2312"/>
          <w:color w:val="000000"/>
          <w:sz w:val="32"/>
          <w:szCs w:val="32"/>
          <w:highlight w:val="none"/>
          <w:lang w:eastAsia="zh-CN"/>
        </w:rPr>
        <w:t>szgm.gov.cn</w:t>
      </w:r>
      <w:r>
        <w:rPr>
          <w:rStyle w:val="8"/>
          <w:rFonts w:hint="eastAsia" w:ascii="仿宋_GB2312" w:hAnsi="仿宋_GB2312" w:eastAsia="仿宋_GB2312" w:cs="仿宋_GB2312"/>
          <w:color w:val="000000"/>
          <w:sz w:val="32"/>
          <w:szCs w:val="32"/>
          <w:highlight w:val="none"/>
          <w:lang w:val="en-US" w:eastAsia="zh-CN"/>
        </w:rPr>
        <w:t>，</w:t>
      </w:r>
      <w:r>
        <w:rPr>
          <w:rStyle w:val="8"/>
          <w:rFonts w:hint="eastAsia" w:ascii="仿宋_GB2312" w:hAnsi="仿宋_GB2312" w:eastAsia="仿宋_GB2312" w:cs="仿宋_GB2312"/>
          <w:color w:val="000000"/>
          <w:sz w:val="32"/>
          <w:szCs w:val="32"/>
          <w:highlight w:val="none"/>
          <w:lang w:eastAsia="zh-CN"/>
        </w:rPr>
        <w:t>请</w:t>
      </w:r>
      <w:r>
        <w:rPr>
          <w:rStyle w:val="8"/>
          <w:rFonts w:hint="eastAsia" w:ascii="仿宋_GB2312" w:hAnsi="仿宋_GB2312" w:eastAsia="仿宋_GB2312" w:cs="仿宋_GB2312"/>
          <w:color w:val="auto"/>
          <w:sz w:val="32"/>
          <w:szCs w:val="32"/>
          <w:highlight w:val="none"/>
          <w:lang w:eastAsia="zh-CN"/>
        </w:rPr>
        <w:t>务必提交电子版材料，递交时间以纸质材料签收时间为准。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十、答疑事项：</w:t>
      </w:r>
      <w:r>
        <w:rPr>
          <w:rFonts w:hint="eastAsia" w:ascii="仿宋_GB2312" w:hAnsi="仿宋_GB2312" w:eastAsia="仿宋_GB2312" w:cs="仿宋_GB2312"/>
          <w:sz w:val="32"/>
          <w:szCs w:val="32"/>
          <w:lang w:val="en-US" w:eastAsia="zh-CN"/>
        </w:rPr>
        <w:t>凡有疑问的，可于2026年6月26日18时00分前联系我单位咨询，咨询时间为工作日上午：9：00--12:00，下午2:00--6:00,逾期不予受理。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十一、采购人联系方式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联系人：张小姐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联系电话：0755-88212759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地址：深圳市光明区玉塘街道田寮社区科联路科润大厦A座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附件：1.履约承诺函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FF0000"/>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default" w:ascii="仿宋_GB2312" w:hAnsi="仿宋_GB2312" w:eastAsia="仿宋_GB2312" w:cs="仿宋_GB2312"/>
          <w:sz w:val="32"/>
          <w:szCs w:val="32"/>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CE24C"/>
    <w:multiLevelType w:val="singleLevel"/>
    <w:tmpl w:val="AFBCE24C"/>
    <w:lvl w:ilvl="0" w:tentative="0">
      <w:start w:val="1"/>
      <w:numFmt w:val="chineseCounting"/>
      <w:suff w:val="nothing"/>
      <w:lvlText w:val="（%1）"/>
      <w:lvlJc w:val="left"/>
      <w:pPr>
        <w:ind w:left="0" w:firstLine="420"/>
      </w:pPr>
      <w:rPr>
        <w:rFonts w:hint="eastAsia"/>
      </w:rPr>
    </w:lvl>
  </w:abstractNum>
  <w:abstractNum w:abstractNumId="1">
    <w:nsid w:val="F20A5DCA"/>
    <w:multiLevelType w:val="singleLevel"/>
    <w:tmpl w:val="F20A5DCA"/>
    <w:lvl w:ilvl="0" w:tentative="0">
      <w:start w:val="1"/>
      <w:numFmt w:val="chineseCounting"/>
      <w:suff w:val="nothing"/>
      <w:lvlText w:val="%1、"/>
      <w:lvlJc w:val="left"/>
      <w:rPr>
        <w:rFonts w:hint="eastAsia"/>
      </w:rPr>
    </w:lvl>
  </w:abstractNum>
  <w:abstractNum w:abstractNumId="2">
    <w:nsid w:val="03FFDFB1"/>
    <w:multiLevelType w:val="singleLevel"/>
    <w:tmpl w:val="03FFDFB1"/>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BCB56"/>
    <w:rsid w:val="1FDBCB56"/>
    <w:rsid w:val="3EAD423E"/>
    <w:rsid w:val="7D7E8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paragraph" w:styleId="2">
    <w:name w:val="heading 4"/>
    <w:basedOn w:val="1"/>
    <w:next w:val="1"/>
    <w:semiHidden/>
    <w:unhideWhenUsed/>
    <w:qFormat/>
    <w:uiPriority w:val="0"/>
    <w:pPr>
      <w:keepNext/>
      <w:keepLines/>
      <w:spacing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567"/>
    </w:pPr>
  </w:style>
  <w:style w:type="paragraph" w:styleId="4">
    <w:name w:val="Body Text"/>
    <w:basedOn w:val="1"/>
    <w:qFormat/>
    <w:uiPriority w:val="0"/>
    <w:pPr>
      <w:spacing w:after="120" w:line="240" w:lineRule="atLeast"/>
    </w:pPr>
    <w:rPr>
      <w:rFonts w:eastAsia="仿宋_GB2312"/>
      <w:spacing w:val="-6"/>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2026-07-11T02:17:00Z</dcterms:created>
  <dc:creator>Cc</dc:creator>
  <cp:lastModifiedBy>administrator</cp:lastModifiedBy>
  <dcterms:modified xsi:type="dcterms:W3CDTF">2026-07-10T16:37:12Z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BAB5B3260F46A1865156506AAC40B39A</vt:lpwstr>
  </property>
</Properties>
</file>