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B03ACC">
      <w:pPr>
        <w:widowControl/>
        <w:topLinePunct/>
        <w:adjustRightInd w:val="0"/>
        <w:snapToGrid w:val="0"/>
        <w:spacing w:line="560" w:lineRule="exact"/>
        <w:jc w:val="center"/>
        <w:rPr>
          <w:rFonts w:ascii="仿宋_GB2312" w:eastAsia="仿宋_GB2312"/>
          <w:color w:val="000000" w:themeColor="text1"/>
          <w:sz w:val="32"/>
          <w:szCs w:val="32"/>
          <w:highlight w:val="none"/>
          <w:u w:val="none"/>
          <w14:textFill>
            <w14:solidFill>
              <w14:schemeClr w14:val="tx1"/>
            </w14:solidFill>
          </w14:textFill>
        </w:rPr>
      </w:pPr>
    </w:p>
    <w:p w14:paraId="7B0CC7C2">
      <w:pPr>
        <w:widowControl/>
        <w:topLinePunct/>
        <w:adjustRightInd w:val="0"/>
        <w:snapToGrid w:val="0"/>
        <w:spacing w:line="560" w:lineRule="exact"/>
        <w:jc w:val="center"/>
        <w:rPr>
          <w:rFonts w:ascii="仿宋_GB2312" w:eastAsia="仿宋_GB2312"/>
          <w:color w:val="000000" w:themeColor="text1"/>
          <w:sz w:val="32"/>
          <w:szCs w:val="32"/>
          <w:highlight w:val="none"/>
          <w:u w:val="none"/>
          <w14:textFill>
            <w14:solidFill>
              <w14:schemeClr w14:val="tx1"/>
            </w14:solidFill>
          </w14:textFill>
        </w:rPr>
      </w:pPr>
    </w:p>
    <w:p w14:paraId="237DF1BC">
      <w:pPr>
        <w:widowControl/>
        <w:topLinePunct/>
        <w:adjustRightInd w:val="0"/>
        <w:snapToGrid w:val="0"/>
        <w:spacing w:line="560" w:lineRule="exact"/>
        <w:jc w:val="center"/>
        <w:rPr>
          <w:rFonts w:ascii="仿宋_GB2312" w:eastAsia="仿宋_GB2312"/>
          <w:color w:val="000000" w:themeColor="text1"/>
          <w:sz w:val="32"/>
          <w:szCs w:val="32"/>
          <w:highlight w:val="none"/>
          <w:u w:val="none"/>
          <w14:textFill>
            <w14:solidFill>
              <w14:schemeClr w14:val="tx1"/>
            </w14:solidFill>
          </w14:textFill>
        </w:rPr>
      </w:pPr>
    </w:p>
    <w:p w14:paraId="4185928F">
      <w:pPr>
        <w:widowControl/>
        <w:topLinePunct/>
        <w:adjustRightInd w:val="0"/>
        <w:snapToGrid w:val="0"/>
        <w:spacing w:line="560" w:lineRule="exact"/>
        <w:jc w:val="center"/>
        <w:rPr>
          <w:rFonts w:ascii="仿宋_GB2312" w:eastAsia="仿宋_GB2312"/>
          <w:color w:val="000000" w:themeColor="text1"/>
          <w:sz w:val="32"/>
          <w:szCs w:val="32"/>
          <w:highlight w:val="none"/>
          <w:u w:val="none"/>
          <w14:textFill>
            <w14:solidFill>
              <w14:schemeClr w14:val="tx1"/>
            </w14:solidFill>
          </w14:textFill>
        </w:rPr>
      </w:pPr>
    </w:p>
    <w:p w14:paraId="7BE35075">
      <w:pPr>
        <w:widowControl/>
        <w:topLinePunct/>
        <w:adjustRightInd w:val="0"/>
        <w:snapToGrid w:val="0"/>
        <w:spacing w:line="560" w:lineRule="exact"/>
        <w:jc w:val="center"/>
        <w:rPr>
          <w:rFonts w:ascii="仿宋_GB2312" w:eastAsia="仿宋_GB2312"/>
          <w:color w:val="000000" w:themeColor="text1"/>
          <w:sz w:val="32"/>
          <w:szCs w:val="32"/>
          <w:highlight w:val="none"/>
          <w:u w:val="none"/>
          <w14:textFill>
            <w14:solidFill>
              <w14:schemeClr w14:val="tx1"/>
            </w14:solidFill>
          </w14:textFill>
        </w:rPr>
      </w:pPr>
    </w:p>
    <w:p w14:paraId="0189097D">
      <w:pPr>
        <w:widowControl/>
        <w:topLinePunct/>
        <w:adjustRightInd w:val="0"/>
        <w:snapToGrid w:val="0"/>
        <w:spacing w:line="560" w:lineRule="exact"/>
        <w:jc w:val="center"/>
        <w:rPr>
          <w:rFonts w:ascii="仿宋_GB2312" w:eastAsia="仿宋_GB2312"/>
          <w:color w:val="000000" w:themeColor="text1"/>
          <w:sz w:val="32"/>
          <w:szCs w:val="32"/>
          <w:highlight w:val="none"/>
          <w:u w:val="none"/>
          <w14:textFill>
            <w14:solidFill>
              <w14:schemeClr w14:val="tx1"/>
            </w14:solidFill>
          </w14:textFill>
        </w:rPr>
      </w:pPr>
    </w:p>
    <w:p w14:paraId="76374D39">
      <w:pPr>
        <w:widowControl/>
        <w:topLinePunct/>
        <w:adjustRightInd w:val="0"/>
        <w:snapToGrid w:val="0"/>
        <w:spacing w:line="560" w:lineRule="exact"/>
        <w:jc w:val="center"/>
        <w:rPr>
          <w:rFonts w:ascii="黑体" w:hAnsi="黑体" w:eastAsia="黑体"/>
          <w:color w:val="000000" w:themeColor="text1"/>
          <w:sz w:val="48"/>
          <w:szCs w:val="48"/>
          <w:highlight w:val="none"/>
          <w:u w:val="none"/>
          <w14:textFill>
            <w14:solidFill>
              <w14:schemeClr w14:val="tx1"/>
            </w14:solidFill>
          </w14:textFill>
        </w:rPr>
      </w:pPr>
      <w:r>
        <w:rPr>
          <w:rFonts w:hint="eastAsia" w:ascii="黑体" w:hAnsi="黑体" w:eastAsia="黑体"/>
          <w:color w:val="000000" w:themeColor="text1"/>
          <w:sz w:val="48"/>
          <w:szCs w:val="48"/>
          <w:highlight w:val="none"/>
          <w:u w:val="none"/>
          <w14:textFill>
            <w14:solidFill>
              <w14:schemeClr w14:val="tx1"/>
            </w14:solidFill>
          </w14:textFill>
        </w:rPr>
        <w:t>光明区“十四五”战略性新兴产业</w:t>
      </w:r>
    </w:p>
    <w:p w14:paraId="02E10D87">
      <w:pPr>
        <w:widowControl/>
        <w:topLinePunct/>
        <w:adjustRightInd w:val="0"/>
        <w:snapToGrid w:val="0"/>
        <w:spacing w:line="560" w:lineRule="exact"/>
        <w:jc w:val="center"/>
        <w:rPr>
          <w:rFonts w:ascii="黑体" w:hAnsi="黑体" w:eastAsia="黑体"/>
          <w:color w:val="000000" w:themeColor="text1"/>
          <w:sz w:val="48"/>
          <w:szCs w:val="48"/>
          <w:highlight w:val="none"/>
          <w:u w:val="none"/>
          <w14:textFill>
            <w14:solidFill>
              <w14:schemeClr w14:val="tx1"/>
            </w14:solidFill>
          </w14:textFill>
        </w:rPr>
      </w:pPr>
      <w:r>
        <w:rPr>
          <w:rFonts w:hint="eastAsia" w:ascii="黑体" w:hAnsi="黑体" w:eastAsia="黑体"/>
          <w:color w:val="000000" w:themeColor="text1"/>
          <w:sz w:val="48"/>
          <w:szCs w:val="48"/>
          <w:highlight w:val="none"/>
          <w:u w:val="none"/>
          <w14:textFill>
            <w14:solidFill>
              <w14:schemeClr w14:val="tx1"/>
            </w14:solidFill>
          </w14:textFill>
        </w:rPr>
        <w:t>发展规划</w:t>
      </w:r>
    </w:p>
    <w:p w14:paraId="18289E5B">
      <w:pPr>
        <w:spacing w:line="560" w:lineRule="exact"/>
        <w:ind w:firstLine="645"/>
        <w:jc w:val="left"/>
        <w:rPr>
          <w:rFonts w:ascii="仿宋_GB2312" w:hAnsi="黑体" w:eastAsia="仿宋_GB2312"/>
          <w:color w:val="000000" w:themeColor="text1"/>
          <w:sz w:val="32"/>
          <w:szCs w:val="32"/>
          <w:highlight w:val="none"/>
          <w:u w:val="none"/>
          <w14:textFill>
            <w14:solidFill>
              <w14:schemeClr w14:val="tx1"/>
            </w14:solidFill>
          </w14:textFill>
        </w:rPr>
      </w:pPr>
    </w:p>
    <w:p w14:paraId="64C26A1D">
      <w:pPr>
        <w:spacing w:line="560" w:lineRule="exact"/>
        <w:ind w:firstLine="0"/>
        <w:jc w:val="center"/>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hAnsi="黑体" w:eastAsia="仿宋_GB2312"/>
          <w:color w:val="000000" w:themeColor="text1"/>
          <w:sz w:val="32"/>
          <w:szCs w:val="32"/>
          <w:highlight w:val="none"/>
          <w:u w:val="none"/>
          <w14:textFill>
            <w14:solidFill>
              <w14:schemeClr w14:val="tx1"/>
            </w14:solidFill>
          </w14:textFill>
        </w:rPr>
        <w:t>（征求意见稿）</w:t>
      </w:r>
    </w:p>
    <w:p w14:paraId="3DF7946B">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5D2C1E49">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6FF69908">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694AA817">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45B75D3F">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1710B500">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54620423">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1CC7B200">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33FCF641">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00B4967D">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760C0BA8">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4D41624C">
      <w:pPr>
        <w:spacing w:line="560" w:lineRule="exact"/>
        <w:jc w:val="center"/>
        <w:rPr>
          <w:rFonts w:ascii="仿宋_GB2312" w:hAnsi="楷体" w:eastAsia="仿宋_GB2312"/>
          <w:color w:val="000000" w:themeColor="text1"/>
          <w:sz w:val="32"/>
          <w:szCs w:val="32"/>
          <w:highlight w:val="none"/>
          <w:u w:val="none"/>
          <w14:textFill>
            <w14:solidFill>
              <w14:schemeClr w14:val="tx1"/>
            </w14:solidFill>
          </w14:textFill>
        </w:rPr>
      </w:pPr>
    </w:p>
    <w:p w14:paraId="5657F6E6">
      <w:pPr>
        <w:spacing w:line="560" w:lineRule="exact"/>
        <w:jc w:val="center"/>
        <w:rPr>
          <w:rFonts w:ascii="黑体" w:hAnsi="黑体" w:eastAsia="黑体"/>
          <w:color w:val="000000" w:themeColor="text1"/>
          <w:sz w:val="36"/>
          <w:szCs w:val="36"/>
          <w:highlight w:val="none"/>
          <w:u w:val="none"/>
          <w14:textFill>
            <w14:solidFill>
              <w14:schemeClr w14:val="tx1"/>
            </w14:solidFill>
          </w14:textFill>
        </w:rPr>
      </w:pPr>
      <w:r>
        <w:rPr>
          <w:rFonts w:hint="eastAsia" w:ascii="黑体" w:hAnsi="黑体" w:eastAsia="黑体"/>
          <w:color w:val="000000" w:themeColor="text1"/>
          <w:sz w:val="36"/>
          <w:szCs w:val="36"/>
          <w:highlight w:val="none"/>
          <w:u w:val="none"/>
          <w14:textFill>
            <w14:solidFill>
              <w14:schemeClr w14:val="tx1"/>
            </w14:solidFill>
          </w14:textFill>
        </w:rPr>
        <w:t>深圳市光明区工业和信息化局</w:t>
      </w:r>
    </w:p>
    <w:p w14:paraId="3A4F5301">
      <w:pPr>
        <w:spacing w:line="560" w:lineRule="exact"/>
        <w:jc w:val="center"/>
        <w:rPr>
          <w:rFonts w:hint="eastAsia" w:ascii="楷体" w:hAnsi="楷体" w:eastAsia="楷体"/>
          <w:color w:val="000000" w:themeColor="text1"/>
          <w:sz w:val="32"/>
          <w:szCs w:val="32"/>
          <w:highlight w:val="none"/>
          <w:u w:val="none"/>
          <w14:textFill>
            <w14:solidFill>
              <w14:schemeClr w14:val="tx1"/>
            </w14:solidFill>
          </w14:textFill>
        </w:rPr>
        <w:sectPr>
          <w:footerReference r:id="rId3" w:type="default"/>
          <w:pgSz w:w="11906" w:h="16838"/>
          <w:pgMar w:top="1440" w:right="1800" w:bottom="1440" w:left="1800" w:header="851" w:footer="992" w:gutter="0"/>
          <w:pgNumType w:fmt="numberInDash"/>
          <w:cols w:space="720" w:num="1"/>
          <w:docGrid w:type="lines" w:linePitch="312" w:charSpace="0"/>
        </w:sectPr>
      </w:pPr>
      <w:r>
        <w:rPr>
          <w:rFonts w:hint="eastAsia" w:ascii="楷体" w:hAnsi="楷体" w:eastAsia="楷体"/>
          <w:color w:val="000000" w:themeColor="text1"/>
          <w:sz w:val="32"/>
          <w:szCs w:val="32"/>
          <w:highlight w:val="none"/>
          <w:u w:val="none"/>
          <w14:textFill>
            <w14:solidFill>
              <w14:schemeClr w14:val="tx1"/>
            </w14:solidFill>
          </w14:textFill>
        </w:rPr>
        <w:t>二〇二</w:t>
      </w:r>
      <w:r>
        <w:rPr>
          <w:rFonts w:hint="eastAsia" w:ascii="楷体" w:hAnsi="楷体" w:eastAsia="楷体"/>
          <w:color w:val="000000" w:themeColor="text1"/>
          <w:sz w:val="32"/>
          <w:szCs w:val="32"/>
          <w:highlight w:val="none"/>
          <w:u w:val="none"/>
          <w:lang w:eastAsia="zh-CN"/>
          <w14:textFill>
            <w14:solidFill>
              <w14:schemeClr w14:val="tx1"/>
            </w14:solidFill>
          </w14:textFill>
        </w:rPr>
        <w:t>一</w:t>
      </w:r>
      <w:r>
        <w:rPr>
          <w:rFonts w:hint="eastAsia" w:ascii="楷体" w:hAnsi="楷体" w:eastAsia="楷体"/>
          <w:color w:val="000000" w:themeColor="text1"/>
          <w:sz w:val="32"/>
          <w:szCs w:val="32"/>
          <w:highlight w:val="none"/>
          <w:u w:val="none"/>
          <w14:textFill>
            <w14:solidFill>
              <w14:schemeClr w14:val="tx1"/>
            </w14:solidFill>
          </w14:textFill>
        </w:rPr>
        <w:t>年</w:t>
      </w:r>
      <w:r>
        <w:rPr>
          <w:rFonts w:hint="eastAsia" w:ascii="楷体" w:hAnsi="楷体" w:eastAsia="楷体"/>
          <w:color w:val="000000" w:themeColor="text1"/>
          <w:sz w:val="32"/>
          <w:szCs w:val="32"/>
          <w:highlight w:val="none"/>
          <w:u w:val="none"/>
          <w:lang w:eastAsia="zh-CN"/>
          <w14:textFill>
            <w14:solidFill>
              <w14:schemeClr w14:val="tx1"/>
            </w14:solidFill>
          </w14:textFill>
        </w:rPr>
        <w:t>六</w:t>
      </w:r>
      <w:r>
        <w:rPr>
          <w:rFonts w:hint="eastAsia" w:ascii="楷体" w:hAnsi="楷体" w:eastAsia="楷体"/>
          <w:color w:val="000000" w:themeColor="text1"/>
          <w:sz w:val="32"/>
          <w:szCs w:val="32"/>
          <w:highlight w:val="none"/>
          <w:u w:val="none"/>
          <w14:textFill>
            <w14:solidFill>
              <w14:schemeClr w14:val="tx1"/>
            </w14:solidFill>
          </w14:textFill>
        </w:rPr>
        <w:t xml:space="preserve">月 </w:t>
      </w:r>
    </w:p>
    <w:sdt>
      <w:sdtPr>
        <w:rPr>
          <w:rFonts w:ascii="Calibri" w:hAnsi="Calibri"/>
          <w:b w:val="0"/>
          <w:bCs w:val="0"/>
          <w:color w:val="000000" w:themeColor="text1"/>
          <w:kern w:val="2"/>
          <w:sz w:val="44"/>
          <w:szCs w:val="44"/>
          <w:highlight w:val="none"/>
          <w:u w:val="none"/>
          <w:lang w:val="zh-CN"/>
          <w14:textFill>
            <w14:solidFill>
              <w14:schemeClr w14:val="tx1"/>
            </w14:solidFill>
          </w14:textFill>
        </w:rPr>
        <w:id w:val="-1"/>
        <w:docPartObj>
          <w:docPartGallery w:val="Table of Contents"/>
          <w:docPartUnique/>
        </w:docPartObj>
      </w:sdtPr>
      <w:sdtEndPr>
        <w:rPr>
          <w:rFonts w:ascii="Calibri" w:hAnsi="Calibri"/>
          <w:b w:val="0"/>
          <w:bCs w:val="0"/>
          <w:color w:val="000000" w:themeColor="text1"/>
          <w:kern w:val="2"/>
          <w:sz w:val="21"/>
          <w:szCs w:val="22"/>
          <w:highlight w:val="none"/>
          <w:u w:val="none"/>
          <w:lang w:val="zh-CN"/>
          <w14:textFill>
            <w14:solidFill>
              <w14:schemeClr w14:val="tx1"/>
            </w14:solidFill>
          </w14:textFill>
        </w:rPr>
      </w:sdtEndPr>
      <w:sdtContent>
        <w:p w14:paraId="6EC2A9AE">
          <w:pPr>
            <w:pStyle w:val="36"/>
            <w:spacing w:line="560" w:lineRule="exact"/>
            <w:jc w:val="center"/>
            <w:rPr>
              <w:rFonts w:ascii="仿宋_GB2312" w:eastAsia="仿宋_GB2312"/>
              <w:color w:val="000000" w:themeColor="text1"/>
              <w:sz w:val="44"/>
              <w:szCs w:val="44"/>
              <w:highlight w:val="none"/>
              <w:u w:val="none"/>
              <w14:textFill>
                <w14:solidFill>
                  <w14:schemeClr w14:val="tx1"/>
                </w14:solidFill>
              </w14:textFill>
            </w:rPr>
          </w:pPr>
          <w:r>
            <w:rPr>
              <w:rFonts w:hint="eastAsia" w:ascii="仿宋_GB2312" w:eastAsia="仿宋_GB2312"/>
              <w:color w:val="000000" w:themeColor="text1"/>
              <w:sz w:val="44"/>
              <w:szCs w:val="44"/>
              <w:highlight w:val="none"/>
              <w:u w:val="none"/>
              <w:lang w:val="zh-CN"/>
              <w14:textFill>
                <w14:solidFill>
                  <w14:schemeClr w14:val="tx1"/>
                </w14:solidFill>
              </w14:textFill>
            </w:rPr>
            <w:t>目  录</w:t>
          </w:r>
        </w:p>
        <w:p w14:paraId="266BF4A4">
          <w:pPr>
            <w:pStyle w:val="14"/>
            <w:tabs>
              <w:tab w:val="right" w:leader="dot" w:pos="8360"/>
              <w:tab w:val="clear" w:pos="8296"/>
            </w:tabs>
            <w:rPr>
              <w:u w:val="none"/>
            </w:rPr>
          </w:pPr>
          <w:r>
            <w:rPr>
              <w:b/>
              <w:bCs/>
              <w:color w:val="000000" w:themeColor="text1"/>
              <w:highlight w:val="none"/>
              <w:u w:val="none"/>
              <w:lang w:val="zh-CN"/>
              <w14:textFill>
                <w14:solidFill>
                  <w14:schemeClr w14:val="tx1"/>
                </w14:solidFill>
              </w14:textFill>
            </w:rPr>
            <w:fldChar w:fldCharType="begin"/>
          </w:r>
          <w:r>
            <w:rPr>
              <w:b/>
              <w:bCs/>
              <w:color w:val="000000" w:themeColor="text1"/>
              <w:highlight w:val="none"/>
              <w:u w:val="none"/>
              <w:lang w:val="zh-CN"/>
              <w14:textFill>
                <w14:solidFill>
                  <w14:schemeClr w14:val="tx1"/>
                </w14:solidFill>
              </w14:textFill>
            </w:rPr>
            <w:instrText xml:space="preserve"> TOC \o "1-3" \h \z \u </w:instrText>
          </w:r>
          <w:r>
            <w:rPr>
              <w:b/>
              <w:bCs/>
              <w:color w:val="000000" w:themeColor="text1"/>
              <w:highlight w:val="none"/>
              <w:u w:val="none"/>
              <w:lang w:val="zh-CN"/>
              <w14:textFill>
                <w14:solidFill>
                  <w14:schemeClr w14:val="tx1"/>
                </w14:solidFill>
              </w14:textFill>
            </w:rPr>
            <w:fldChar w:fldCharType="separate"/>
          </w: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_Toc21456 </w:instrText>
          </w:r>
          <w:r>
            <w:rPr>
              <w:bCs/>
              <w:highlight w:val="none"/>
              <w:u w:val="none"/>
              <w:lang w:val="zh-CN"/>
            </w:rPr>
            <w:fldChar w:fldCharType="separate"/>
          </w:r>
          <w:r>
            <w:rPr>
              <w:rFonts w:hint="eastAsia" w:ascii="黑体" w:hAnsi="黑体" w:eastAsia="黑体"/>
              <w:highlight w:val="none"/>
              <w:u w:val="none"/>
            </w:rPr>
            <w:t>一、发展基础与环境</w:t>
          </w:r>
          <w:r>
            <w:rPr>
              <w:u w:val="none"/>
            </w:rPr>
            <w:tab/>
          </w:r>
          <w:r>
            <w:rPr>
              <w:u w:val="none"/>
            </w:rPr>
            <w:fldChar w:fldCharType="begin"/>
          </w:r>
          <w:r>
            <w:rPr>
              <w:u w:val="none"/>
            </w:rPr>
            <w:instrText xml:space="preserve"> PAGEREF _Toc21456 \h </w:instrText>
          </w:r>
          <w:r>
            <w:rPr>
              <w:u w:val="none"/>
            </w:rPr>
            <w:fldChar w:fldCharType="separate"/>
          </w:r>
          <w:r>
            <w:rPr>
              <w:u w:val="none"/>
            </w:rPr>
            <w:t>- 1 -</w:t>
          </w:r>
          <w:r>
            <w:rPr>
              <w:u w:val="none"/>
            </w:rPr>
            <w:fldChar w:fldCharType="end"/>
          </w:r>
          <w:r>
            <w:rPr>
              <w:bCs/>
              <w:color w:val="000000" w:themeColor="text1"/>
              <w:highlight w:val="none"/>
              <w:u w:val="none"/>
              <w:lang w:val="zh-CN"/>
              <w14:textFill>
                <w14:solidFill>
                  <w14:schemeClr w14:val="tx1"/>
                </w14:solidFill>
              </w14:textFill>
            </w:rPr>
            <w:fldChar w:fldCharType="end"/>
          </w:r>
        </w:p>
        <w:p w14:paraId="64F7DE25">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_Toc5634 </w:instrText>
          </w:r>
          <w:r>
            <w:rPr>
              <w:bCs/>
              <w:highlight w:val="none"/>
              <w:u w:val="none"/>
              <w:lang w:val="zh-CN"/>
            </w:rPr>
            <w:fldChar w:fldCharType="separate"/>
          </w:r>
          <w:r>
            <w:rPr>
              <w:rFonts w:hint="eastAsia" w:ascii="楷体_GB2312" w:hAnsi="楷体_GB2312" w:eastAsia="楷体_GB2312" w:cs="楷体_GB2312"/>
              <w:highlight w:val="none"/>
              <w:u w:val="none"/>
            </w:rPr>
            <w:t>（一）发展基础</w:t>
          </w:r>
          <w:r>
            <w:rPr>
              <w:u w:val="none"/>
            </w:rPr>
            <w:tab/>
          </w:r>
          <w:r>
            <w:rPr>
              <w:u w:val="none"/>
            </w:rPr>
            <w:fldChar w:fldCharType="begin"/>
          </w:r>
          <w:r>
            <w:rPr>
              <w:u w:val="none"/>
            </w:rPr>
            <w:instrText xml:space="preserve"> PAGEREF _Toc5634 \h </w:instrText>
          </w:r>
          <w:r>
            <w:rPr>
              <w:u w:val="none"/>
            </w:rPr>
            <w:fldChar w:fldCharType="separate"/>
          </w:r>
          <w:r>
            <w:rPr>
              <w:u w:val="none"/>
            </w:rPr>
            <w:t>- 1 -</w:t>
          </w:r>
          <w:r>
            <w:rPr>
              <w:u w:val="none"/>
            </w:rPr>
            <w:fldChar w:fldCharType="end"/>
          </w:r>
          <w:r>
            <w:rPr>
              <w:bCs/>
              <w:color w:val="000000" w:themeColor="text1"/>
              <w:highlight w:val="none"/>
              <w:u w:val="none"/>
              <w:lang w:val="zh-CN"/>
              <w14:textFill>
                <w14:solidFill>
                  <w14:schemeClr w14:val="tx1"/>
                </w14:solidFill>
              </w14:textFill>
            </w:rPr>
            <w:fldChar w:fldCharType="end"/>
          </w:r>
        </w:p>
        <w:p w14:paraId="7D7395EA">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_Toc24758 </w:instrText>
          </w:r>
          <w:r>
            <w:rPr>
              <w:bCs/>
              <w:highlight w:val="none"/>
              <w:u w:val="none"/>
              <w:lang w:val="zh-CN"/>
            </w:rPr>
            <w:fldChar w:fldCharType="separate"/>
          </w:r>
          <w:r>
            <w:rPr>
              <w:rFonts w:hint="eastAsia" w:ascii="楷体_GB2312" w:hAnsi="楷体_GB2312" w:eastAsia="楷体_GB2312" w:cs="楷体_GB2312"/>
              <w:highlight w:val="none"/>
              <w:u w:val="none"/>
            </w:rPr>
            <w:t>（二）发展机遇</w:t>
          </w:r>
          <w:r>
            <w:rPr>
              <w:u w:val="none"/>
            </w:rPr>
            <w:tab/>
          </w:r>
          <w:r>
            <w:rPr>
              <w:u w:val="none"/>
            </w:rPr>
            <w:fldChar w:fldCharType="begin"/>
          </w:r>
          <w:r>
            <w:rPr>
              <w:u w:val="none"/>
            </w:rPr>
            <w:instrText xml:space="preserve"> PAGEREF _Toc24758 \h </w:instrText>
          </w:r>
          <w:r>
            <w:rPr>
              <w:u w:val="none"/>
            </w:rPr>
            <w:fldChar w:fldCharType="separate"/>
          </w:r>
          <w:r>
            <w:rPr>
              <w:u w:val="none"/>
            </w:rPr>
            <w:t>- 3 -</w:t>
          </w:r>
          <w:r>
            <w:rPr>
              <w:u w:val="none"/>
            </w:rPr>
            <w:fldChar w:fldCharType="end"/>
          </w:r>
          <w:r>
            <w:rPr>
              <w:bCs/>
              <w:color w:val="000000" w:themeColor="text1"/>
              <w:highlight w:val="none"/>
              <w:u w:val="none"/>
              <w:lang w:val="zh-CN"/>
              <w14:textFill>
                <w14:solidFill>
                  <w14:schemeClr w14:val="tx1"/>
                </w14:solidFill>
              </w14:textFill>
            </w:rPr>
            <w:fldChar w:fldCharType="end"/>
          </w:r>
        </w:p>
        <w:p w14:paraId="5EAE6EA4">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_Toc5805 </w:instrText>
          </w:r>
          <w:r>
            <w:rPr>
              <w:bCs/>
              <w:highlight w:val="none"/>
              <w:u w:val="none"/>
              <w:lang w:val="zh-CN"/>
            </w:rPr>
            <w:fldChar w:fldCharType="separate"/>
          </w:r>
          <w:r>
            <w:rPr>
              <w:rFonts w:hint="eastAsia" w:ascii="楷体_GB2312" w:hAnsi="楷体_GB2312" w:eastAsia="楷体_GB2312" w:cs="楷体_GB2312"/>
              <w:highlight w:val="none"/>
              <w:u w:val="none"/>
            </w:rPr>
            <w:t>（三）面临挑战</w:t>
          </w:r>
          <w:r>
            <w:rPr>
              <w:u w:val="none"/>
            </w:rPr>
            <w:tab/>
          </w:r>
          <w:r>
            <w:rPr>
              <w:u w:val="none"/>
            </w:rPr>
            <w:fldChar w:fldCharType="begin"/>
          </w:r>
          <w:r>
            <w:rPr>
              <w:u w:val="none"/>
            </w:rPr>
            <w:instrText xml:space="preserve"> PAGEREF _Toc5805 \h </w:instrText>
          </w:r>
          <w:r>
            <w:rPr>
              <w:u w:val="none"/>
            </w:rPr>
            <w:fldChar w:fldCharType="separate"/>
          </w:r>
          <w:r>
            <w:rPr>
              <w:u w:val="none"/>
            </w:rPr>
            <w:t>- 4 -</w:t>
          </w:r>
          <w:r>
            <w:rPr>
              <w:u w:val="none"/>
            </w:rPr>
            <w:fldChar w:fldCharType="end"/>
          </w:r>
          <w:r>
            <w:rPr>
              <w:bCs/>
              <w:color w:val="000000" w:themeColor="text1"/>
              <w:highlight w:val="none"/>
              <w:u w:val="none"/>
              <w:lang w:val="zh-CN"/>
              <w14:textFill>
                <w14:solidFill>
                  <w14:schemeClr w14:val="tx1"/>
                </w14:solidFill>
              </w14:textFill>
            </w:rPr>
            <w:fldChar w:fldCharType="end"/>
          </w:r>
        </w:p>
        <w:p w14:paraId="14B48CC9">
          <w:pPr>
            <w:pStyle w:val="14"/>
            <w:tabs>
              <w:tab w:val="right" w:leader="dot" w:pos="8360"/>
              <w:tab w:val="clear" w:pos="8296"/>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_Toc5312 </w:instrText>
          </w:r>
          <w:r>
            <w:rPr>
              <w:bCs/>
              <w:highlight w:val="none"/>
              <w:u w:val="none"/>
              <w:lang w:val="zh-CN"/>
            </w:rPr>
            <w:fldChar w:fldCharType="separate"/>
          </w:r>
          <w:r>
            <w:rPr>
              <w:rFonts w:hint="eastAsia" w:ascii="黑体" w:hAnsi="黑体" w:eastAsia="黑体"/>
              <w:highlight w:val="none"/>
              <w:u w:val="none"/>
            </w:rPr>
            <w:t>二、总体要求</w:t>
          </w:r>
          <w:r>
            <w:rPr>
              <w:u w:val="none"/>
            </w:rPr>
            <w:tab/>
          </w:r>
          <w:r>
            <w:rPr>
              <w:u w:val="none"/>
            </w:rPr>
            <w:fldChar w:fldCharType="begin"/>
          </w:r>
          <w:r>
            <w:rPr>
              <w:u w:val="none"/>
            </w:rPr>
            <w:instrText xml:space="preserve"> PAGEREF _Toc5312 \h </w:instrText>
          </w:r>
          <w:r>
            <w:rPr>
              <w:u w:val="none"/>
            </w:rPr>
            <w:fldChar w:fldCharType="separate"/>
          </w:r>
          <w:r>
            <w:rPr>
              <w:u w:val="none"/>
            </w:rPr>
            <w:t>- 6 -</w:t>
          </w:r>
          <w:r>
            <w:rPr>
              <w:u w:val="none"/>
            </w:rPr>
            <w:fldChar w:fldCharType="end"/>
          </w:r>
          <w:r>
            <w:rPr>
              <w:bCs/>
              <w:color w:val="000000" w:themeColor="text1"/>
              <w:highlight w:val="none"/>
              <w:u w:val="none"/>
              <w:lang w:val="zh-CN"/>
              <w14:textFill>
                <w14:solidFill>
                  <w14:schemeClr w14:val="tx1"/>
                </w14:solidFill>
              </w14:textFill>
            </w:rPr>
            <w:fldChar w:fldCharType="end"/>
          </w:r>
        </w:p>
        <w:p w14:paraId="6A4A5ED9">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_Toc21521 </w:instrText>
          </w:r>
          <w:r>
            <w:rPr>
              <w:bCs/>
              <w:highlight w:val="none"/>
              <w:u w:val="none"/>
              <w:lang w:val="zh-CN"/>
            </w:rPr>
            <w:fldChar w:fldCharType="separate"/>
          </w:r>
          <w:r>
            <w:rPr>
              <w:rFonts w:hint="eastAsia" w:ascii="楷体_GB2312" w:hAnsi="楷体_GB2312" w:eastAsia="楷体_GB2312" w:cs="楷体_GB2312"/>
              <w:highlight w:val="none"/>
              <w:u w:val="none"/>
            </w:rPr>
            <w:t>（一）指导思想</w:t>
          </w:r>
          <w:r>
            <w:rPr>
              <w:u w:val="none"/>
            </w:rPr>
            <w:tab/>
          </w:r>
          <w:r>
            <w:rPr>
              <w:u w:val="none"/>
            </w:rPr>
            <w:fldChar w:fldCharType="begin"/>
          </w:r>
          <w:r>
            <w:rPr>
              <w:u w:val="none"/>
            </w:rPr>
            <w:instrText xml:space="preserve"> PAGEREF _Toc21521 \h </w:instrText>
          </w:r>
          <w:r>
            <w:rPr>
              <w:u w:val="none"/>
            </w:rPr>
            <w:fldChar w:fldCharType="separate"/>
          </w:r>
          <w:r>
            <w:rPr>
              <w:u w:val="none"/>
            </w:rPr>
            <w:t>- 6 -</w:t>
          </w:r>
          <w:r>
            <w:rPr>
              <w:u w:val="none"/>
            </w:rPr>
            <w:fldChar w:fldCharType="end"/>
          </w:r>
          <w:r>
            <w:rPr>
              <w:bCs/>
              <w:color w:val="000000" w:themeColor="text1"/>
              <w:highlight w:val="none"/>
              <w:u w:val="none"/>
              <w:lang w:val="zh-CN"/>
              <w14:textFill>
                <w14:solidFill>
                  <w14:schemeClr w14:val="tx1"/>
                </w14:solidFill>
              </w14:textFill>
            </w:rPr>
            <w:fldChar w:fldCharType="end"/>
          </w:r>
        </w:p>
        <w:p w14:paraId="035D5E1A">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_Toc23858 </w:instrText>
          </w:r>
          <w:r>
            <w:rPr>
              <w:bCs/>
              <w:highlight w:val="none"/>
              <w:u w:val="none"/>
              <w:lang w:val="zh-CN"/>
            </w:rPr>
            <w:fldChar w:fldCharType="separate"/>
          </w:r>
          <w:r>
            <w:rPr>
              <w:rFonts w:hint="eastAsia" w:ascii="楷体_GB2312" w:hAnsi="楷体_GB2312" w:eastAsia="楷体_GB2312" w:cs="楷体_GB2312"/>
              <w:highlight w:val="none"/>
              <w:u w:val="none"/>
            </w:rPr>
            <w:t>（二）发展目标</w:t>
          </w:r>
          <w:r>
            <w:rPr>
              <w:u w:val="none"/>
            </w:rPr>
            <w:tab/>
          </w:r>
          <w:r>
            <w:rPr>
              <w:u w:val="none"/>
            </w:rPr>
            <w:fldChar w:fldCharType="begin"/>
          </w:r>
          <w:r>
            <w:rPr>
              <w:u w:val="none"/>
            </w:rPr>
            <w:instrText xml:space="preserve"> PAGEREF _Toc23858 \h </w:instrText>
          </w:r>
          <w:r>
            <w:rPr>
              <w:u w:val="none"/>
            </w:rPr>
            <w:fldChar w:fldCharType="separate"/>
          </w:r>
          <w:r>
            <w:rPr>
              <w:u w:val="none"/>
            </w:rPr>
            <w:t>- 6 -</w:t>
          </w:r>
          <w:r>
            <w:rPr>
              <w:u w:val="none"/>
            </w:rPr>
            <w:fldChar w:fldCharType="end"/>
          </w:r>
          <w:r>
            <w:rPr>
              <w:bCs/>
              <w:color w:val="000000" w:themeColor="text1"/>
              <w:highlight w:val="none"/>
              <w:u w:val="none"/>
              <w:lang w:val="zh-CN"/>
              <w14:textFill>
                <w14:solidFill>
                  <w14:schemeClr w14:val="tx1"/>
                </w14:solidFill>
              </w14:textFill>
            </w:rPr>
            <w:fldChar w:fldCharType="end"/>
          </w:r>
        </w:p>
        <w:p w14:paraId="4B26E2E7">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_Toc20867 </w:instrText>
          </w:r>
          <w:r>
            <w:rPr>
              <w:bCs/>
              <w:highlight w:val="none"/>
              <w:u w:val="none"/>
              <w:lang w:val="zh-CN"/>
            </w:rPr>
            <w:fldChar w:fldCharType="separate"/>
          </w:r>
          <w:r>
            <w:rPr>
              <w:rFonts w:hint="eastAsia" w:ascii="楷体_GB2312" w:hAnsi="楷体_GB2312" w:eastAsia="楷体_GB2312" w:cs="楷体_GB2312"/>
              <w:highlight w:val="none"/>
              <w:u w:val="none"/>
            </w:rPr>
            <w:t>（三）实施路径</w:t>
          </w:r>
          <w:r>
            <w:rPr>
              <w:u w:val="none"/>
            </w:rPr>
            <w:tab/>
          </w:r>
          <w:r>
            <w:rPr>
              <w:u w:val="none"/>
            </w:rPr>
            <w:fldChar w:fldCharType="begin"/>
          </w:r>
          <w:r>
            <w:rPr>
              <w:u w:val="none"/>
            </w:rPr>
            <w:instrText xml:space="preserve"> PAGEREF _Toc20867 \h </w:instrText>
          </w:r>
          <w:r>
            <w:rPr>
              <w:u w:val="none"/>
            </w:rPr>
            <w:fldChar w:fldCharType="separate"/>
          </w:r>
          <w:r>
            <w:rPr>
              <w:u w:val="none"/>
            </w:rPr>
            <w:t>- 7 -</w:t>
          </w:r>
          <w:r>
            <w:rPr>
              <w:u w:val="none"/>
            </w:rPr>
            <w:fldChar w:fldCharType="end"/>
          </w:r>
          <w:r>
            <w:rPr>
              <w:bCs/>
              <w:color w:val="000000" w:themeColor="text1"/>
              <w:highlight w:val="none"/>
              <w:u w:val="none"/>
              <w:lang w:val="zh-CN"/>
              <w14:textFill>
                <w14:solidFill>
                  <w14:schemeClr w14:val="tx1"/>
                </w14:solidFill>
              </w14:textFill>
            </w:rPr>
            <w:fldChar w:fldCharType="end"/>
          </w:r>
        </w:p>
        <w:p w14:paraId="7DA97D71">
          <w:pPr>
            <w:pStyle w:val="14"/>
            <w:tabs>
              <w:tab w:val="right" w:leader="dot" w:pos="8360"/>
              <w:tab w:val="clear" w:pos="8296"/>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_Toc22183 </w:instrText>
          </w:r>
          <w:r>
            <w:rPr>
              <w:bCs/>
              <w:highlight w:val="none"/>
              <w:u w:val="none"/>
              <w:lang w:val="zh-CN"/>
            </w:rPr>
            <w:fldChar w:fldCharType="separate"/>
          </w:r>
          <w:r>
            <w:rPr>
              <w:rFonts w:hint="eastAsia" w:ascii="黑体" w:hAnsi="黑体" w:eastAsia="黑体"/>
              <w:highlight w:val="none"/>
              <w:u w:val="none"/>
            </w:rPr>
            <w:t>三、重点产业</w:t>
          </w:r>
          <w:r>
            <w:rPr>
              <w:u w:val="none"/>
            </w:rPr>
            <w:tab/>
          </w:r>
          <w:r>
            <w:rPr>
              <w:u w:val="none"/>
            </w:rPr>
            <w:fldChar w:fldCharType="begin"/>
          </w:r>
          <w:r>
            <w:rPr>
              <w:u w:val="none"/>
            </w:rPr>
            <w:instrText xml:space="preserve"> PAGEREF _Toc22183 \h </w:instrText>
          </w:r>
          <w:r>
            <w:rPr>
              <w:u w:val="none"/>
            </w:rPr>
            <w:fldChar w:fldCharType="separate"/>
          </w:r>
          <w:r>
            <w:rPr>
              <w:u w:val="none"/>
            </w:rPr>
            <w:t>- 8 -</w:t>
          </w:r>
          <w:r>
            <w:rPr>
              <w:u w:val="none"/>
            </w:rPr>
            <w:fldChar w:fldCharType="end"/>
          </w:r>
          <w:r>
            <w:rPr>
              <w:bCs/>
              <w:color w:val="000000" w:themeColor="text1"/>
              <w:highlight w:val="none"/>
              <w:u w:val="none"/>
              <w:lang w:val="zh-CN"/>
              <w14:textFill>
                <w14:solidFill>
                  <w14:schemeClr w14:val="tx1"/>
                </w14:solidFill>
              </w14:textFill>
            </w:rPr>
            <w:fldChar w:fldCharType="end"/>
          </w:r>
        </w:p>
        <w:p w14:paraId="6C9DAF45">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_Toc11619 </w:instrText>
          </w:r>
          <w:r>
            <w:rPr>
              <w:bCs/>
              <w:highlight w:val="none"/>
              <w:u w:val="none"/>
              <w:lang w:val="zh-CN"/>
            </w:rPr>
            <w:fldChar w:fldCharType="separate"/>
          </w:r>
          <w:r>
            <w:rPr>
              <w:rFonts w:hint="eastAsia" w:ascii="楷体_GB2312" w:hAnsi="楷体_GB2312" w:eastAsia="楷体_GB2312" w:cs="楷体_GB2312"/>
              <w:highlight w:val="none"/>
              <w:u w:val="none"/>
            </w:rPr>
            <w:t>（一）新一代信息技术产业</w:t>
          </w:r>
          <w:r>
            <w:rPr>
              <w:u w:val="none"/>
            </w:rPr>
            <w:tab/>
          </w:r>
          <w:r>
            <w:rPr>
              <w:u w:val="none"/>
            </w:rPr>
            <w:fldChar w:fldCharType="begin"/>
          </w:r>
          <w:r>
            <w:rPr>
              <w:u w:val="none"/>
            </w:rPr>
            <w:instrText xml:space="preserve"> PAGEREF _Toc11619 \h </w:instrText>
          </w:r>
          <w:r>
            <w:rPr>
              <w:u w:val="none"/>
            </w:rPr>
            <w:fldChar w:fldCharType="separate"/>
          </w:r>
          <w:r>
            <w:rPr>
              <w:u w:val="none"/>
            </w:rPr>
            <w:t>- 8 -</w:t>
          </w:r>
          <w:r>
            <w:rPr>
              <w:u w:val="none"/>
            </w:rPr>
            <w:fldChar w:fldCharType="end"/>
          </w:r>
          <w:r>
            <w:rPr>
              <w:bCs/>
              <w:color w:val="000000" w:themeColor="text1"/>
              <w:highlight w:val="none"/>
              <w:u w:val="none"/>
              <w:lang w:val="zh-CN"/>
              <w14:textFill>
                <w14:solidFill>
                  <w14:schemeClr w14:val="tx1"/>
                </w14:solidFill>
              </w14:textFill>
            </w:rPr>
            <w:fldChar w:fldCharType="end"/>
          </w:r>
        </w:p>
        <w:p w14:paraId="354F0C7A">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_Toc4458 </w:instrText>
          </w:r>
          <w:r>
            <w:rPr>
              <w:bCs/>
              <w:highlight w:val="none"/>
              <w:u w:val="none"/>
              <w:lang w:val="zh-CN"/>
            </w:rPr>
            <w:fldChar w:fldCharType="separate"/>
          </w:r>
          <w:r>
            <w:rPr>
              <w:rFonts w:hint="eastAsia" w:ascii="楷体_GB2312" w:hAnsi="楷体_GB2312" w:eastAsia="楷体_GB2312" w:cs="楷体_GB2312"/>
              <w:bCs/>
              <w:szCs w:val="32"/>
              <w:highlight w:val="none"/>
              <w:u w:val="none"/>
            </w:rPr>
            <w:t>（二）数字经济产业</w:t>
          </w:r>
          <w:r>
            <w:rPr>
              <w:u w:val="none"/>
            </w:rPr>
            <w:tab/>
          </w:r>
          <w:r>
            <w:rPr>
              <w:u w:val="none"/>
            </w:rPr>
            <w:fldChar w:fldCharType="begin"/>
          </w:r>
          <w:r>
            <w:rPr>
              <w:u w:val="none"/>
            </w:rPr>
            <w:instrText xml:space="preserve"> PAGEREF _Toc4458 \h </w:instrText>
          </w:r>
          <w:r>
            <w:rPr>
              <w:u w:val="none"/>
            </w:rPr>
            <w:fldChar w:fldCharType="separate"/>
          </w:r>
          <w:r>
            <w:rPr>
              <w:u w:val="none"/>
            </w:rPr>
            <w:t>- 11 -</w:t>
          </w:r>
          <w:r>
            <w:rPr>
              <w:u w:val="none"/>
            </w:rPr>
            <w:fldChar w:fldCharType="end"/>
          </w:r>
          <w:r>
            <w:rPr>
              <w:bCs/>
              <w:color w:val="000000" w:themeColor="text1"/>
              <w:highlight w:val="none"/>
              <w:u w:val="none"/>
              <w:lang w:val="zh-CN"/>
              <w14:textFill>
                <w14:solidFill>
                  <w14:schemeClr w14:val="tx1"/>
                </w14:solidFill>
              </w14:textFill>
            </w:rPr>
            <w:fldChar w:fldCharType="end"/>
          </w:r>
        </w:p>
        <w:p w14:paraId="5229634D">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_Toc7315 </w:instrText>
          </w:r>
          <w:r>
            <w:rPr>
              <w:bCs/>
              <w:highlight w:val="none"/>
              <w:u w:val="none"/>
              <w:lang w:val="zh-CN"/>
            </w:rPr>
            <w:fldChar w:fldCharType="separate"/>
          </w:r>
          <w:r>
            <w:rPr>
              <w:rFonts w:hint="eastAsia" w:ascii="楷体_GB2312" w:hAnsi="楷体_GB2312" w:eastAsia="楷体_GB2312" w:cs="楷体_GB2312"/>
              <w:highlight w:val="none"/>
              <w:u w:val="none"/>
            </w:rPr>
            <w:t>（</w:t>
          </w:r>
          <w:r>
            <w:rPr>
              <w:rFonts w:hint="eastAsia" w:ascii="楷体_GB2312" w:hAnsi="楷体_GB2312" w:eastAsia="楷体_GB2312" w:cs="楷体_GB2312"/>
              <w:highlight w:val="none"/>
              <w:u w:val="none"/>
              <w:lang w:eastAsia="zh-CN"/>
            </w:rPr>
            <w:t>三</w:t>
          </w:r>
          <w:r>
            <w:rPr>
              <w:rFonts w:hint="eastAsia" w:ascii="楷体_GB2312" w:hAnsi="楷体_GB2312" w:eastAsia="楷体_GB2312" w:cs="楷体_GB2312"/>
              <w:highlight w:val="none"/>
              <w:u w:val="none"/>
            </w:rPr>
            <w:t>）高端装备产业</w:t>
          </w:r>
          <w:r>
            <w:rPr>
              <w:u w:val="none"/>
            </w:rPr>
            <w:tab/>
          </w:r>
          <w:r>
            <w:rPr>
              <w:u w:val="none"/>
            </w:rPr>
            <w:fldChar w:fldCharType="begin"/>
          </w:r>
          <w:r>
            <w:rPr>
              <w:u w:val="none"/>
            </w:rPr>
            <w:instrText xml:space="preserve"> PAGEREF _Toc7315 \h </w:instrText>
          </w:r>
          <w:r>
            <w:rPr>
              <w:u w:val="none"/>
            </w:rPr>
            <w:fldChar w:fldCharType="separate"/>
          </w:r>
          <w:r>
            <w:rPr>
              <w:u w:val="none"/>
            </w:rPr>
            <w:t>- 13 -</w:t>
          </w:r>
          <w:r>
            <w:rPr>
              <w:u w:val="none"/>
            </w:rPr>
            <w:fldChar w:fldCharType="end"/>
          </w:r>
          <w:r>
            <w:rPr>
              <w:bCs/>
              <w:color w:val="000000" w:themeColor="text1"/>
              <w:highlight w:val="none"/>
              <w:u w:val="none"/>
              <w:lang w:val="zh-CN"/>
              <w14:textFill>
                <w14:solidFill>
                  <w14:schemeClr w14:val="tx1"/>
                </w14:solidFill>
              </w14:textFill>
            </w:rPr>
            <w:fldChar w:fldCharType="end"/>
          </w:r>
        </w:p>
        <w:p w14:paraId="41767213">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_Toc17806 </w:instrText>
          </w:r>
          <w:r>
            <w:rPr>
              <w:bCs/>
              <w:highlight w:val="none"/>
              <w:u w:val="none"/>
              <w:lang w:val="zh-CN"/>
            </w:rPr>
            <w:fldChar w:fldCharType="separate"/>
          </w:r>
          <w:r>
            <w:rPr>
              <w:rFonts w:hint="eastAsia" w:ascii="楷体_GB2312" w:hAnsi="楷体_GB2312" w:eastAsia="楷体_GB2312" w:cs="楷体_GB2312"/>
              <w:highlight w:val="none"/>
              <w:u w:val="none"/>
            </w:rPr>
            <w:t>（</w:t>
          </w:r>
          <w:r>
            <w:rPr>
              <w:rFonts w:hint="eastAsia" w:ascii="楷体_GB2312" w:hAnsi="楷体_GB2312" w:eastAsia="楷体_GB2312" w:cs="楷体_GB2312"/>
              <w:highlight w:val="none"/>
              <w:u w:val="none"/>
              <w:lang w:eastAsia="zh-CN"/>
            </w:rPr>
            <w:t>四</w:t>
          </w:r>
          <w:r>
            <w:rPr>
              <w:rFonts w:hint="eastAsia" w:ascii="楷体_GB2312" w:hAnsi="楷体_GB2312" w:eastAsia="楷体_GB2312" w:cs="楷体_GB2312"/>
              <w:highlight w:val="none"/>
              <w:u w:val="none"/>
            </w:rPr>
            <w:t>）新材料产业</w:t>
          </w:r>
          <w:r>
            <w:rPr>
              <w:u w:val="none"/>
            </w:rPr>
            <w:tab/>
          </w:r>
          <w:r>
            <w:rPr>
              <w:u w:val="none"/>
            </w:rPr>
            <w:fldChar w:fldCharType="begin"/>
          </w:r>
          <w:r>
            <w:rPr>
              <w:u w:val="none"/>
            </w:rPr>
            <w:instrText xml:space="preserve"> PAGEREF _Toc17806 \h </w:instrText>
          </w:r>
          <w:r>
            <w:rPr>
              <w:u w:val="none"/>
            </w:rPr>
            <w:fldChar w:fldCharType="separate"/>
          </w:r>
          <w:r>
            <w:rPr>
              <w:u w:val="none"/>
            </w:rPr>
            <w:t>- 15 -</w:t>
          </w:r>
          <w:r>
            <w:rPr>
              <w:u w:val="none"/>
            </w:rPr>
            <w:fldChar w:fldCharType="end"/>
          </w:r>
          <w:r>
            <w:rPr>
              <w:bCs/>
              <w:color w:val="000000" w:themeColor="text1"/>
              <w:highlight w:val="none"/>
              <w:u w:val="none"/>
              <w:lang w:val="zh-CN"/>
              <w14:textFill>
                <w14:solidFill>
                  <w14:schemeClr w14:val="tx1"/>
                </w14:solidFill>
              </w14:textFill>
            </w:rPr>
            <w:fldChar w:fldCharType="end"/>
          </w:r>
        </w:p>
        <w:p w14:paraId="6BDB9258">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_Toc23212 </w:instrText>
          </w:r>
          <w:r>
            <w:rPr>
              <w:bCs/>
              <w:highlight w:val="none"/>
              <w:u w:val="none"/>
              <w:lang w:val="zh-CN"/>
            </w:rPr>
            <w:fldChar w:fldCharType="separate"/>
          </w:r>
          <w:r>
            <w:rPr>
              <w:rFonts w:hint="eastAsia" w:ascii="楷体_GB2312" w:hAnsi="楷体_GB2312" w:eastAsia="楷体_GB2312" w:cs="楷体_GB2312"/>
              <w:highlight w:val="none"/>
              <w:u w:val="none"/>
            </w:rPr>
            <w:t>（</w:t>
          </w:r>
          <w:r>
            <w:rPr>
              <w:rFonts w:hint="eastAsia" w:ascii="楷体_GB2312" w:hAnsi="楷体_GB2312" w:eastAsia="楷体_GB2312" w:cs="楷体_GB2312"/>
              <w:highlight w:val="none"/>
              <w:u w:val="none"/>
              <w:lang w:eastAsia="zh-CN"/>
            </w:rPr>
            <w:t>五</w:t>
          </w:r>
          <w:r>
            <w:rPr>
              <w:rFonts w:hint="eastAsia" w:ascii="楷体_GB2312" w:hAnsi="楷体_GB2312" w:eastAsia="楷体_GB2312" w:cs="楷体_GB2312"/>
              <w:highlight w:val="none"/>
              <w:u w:val="none"/>
            </w:rPr>
            <w:t>）</w:t>
          </w:r>
          <w:r>
            <w:rPr>
              <w:rFonts w:hint="eastAsia" w:ascii="楷体_GB2312" w:hAnsi="楷体_GB2312" w:eastAsia="楷体_GB2312" w:cs="楷体_GB2312"/>
              <w:highlight w:val="none"/>
              <w:u w:val="none"/>
              <w:lang w:eastAsia="zh-CN"/>
            </w:rPr>
            <w:t>生物医药</w:t>
          </w:r>
          <w:r>
            <w:rPr>
              <w:rFonts w:hint="eastAsia" w:ascii="楷体_GB2312" w:hAnsi="楷体_GB2312" w:eastAsia="楷体_GB2312" w:cs="楷体_GB2312"/>
              <w:highlight w:val="none"/>
              <w:u w:val="none"/>
            </w:rPr>
            <w:t>产业</w:t>
          </w:r>
          <w:r>
            <w:rPr>
              <w:u w:val="none"/>
            </w:rPr>
            <w:tab/>
          </w:r>
          <w:r>
            <w:rPr>
              <w:u w:val="none"/>
            </w:rPr>
            <w:fldChar w:fldCharType="begin"/>
          </w:r>
          <w:r>
            <w:rPr>
              <w:u w:val="none"/>
            </w:rPr>
            <w:instrText xml:space="preserve"> PAGEREF _Toc23212 \h </w:instrText>
          </w:r>
          <w:r>
            <w:rPr>
              <w:u w:val="none"/>
            </w:rPr>
            <w:fldChar w:fldCharType="separate"/>
          </w:r>
          <w:r>
            <w:rPr>
              <w:u w:val="none"/>
            </w:rPr>
            <w:t>- 18 -</w:t>
          </w:r>
          <w:r>
            <w:rPr>
              <w:u w:val="none"/>
            </w:rPr>
            <w:fldChar w:fldCharType="end"/>
          </w:r>
          <w:r>
            <w:rPr>
              <w:bCs/>
              <w:color w:val="000000" w:themeColor="text1"/>
              <w:highlight w:val="none"/>
              <w:u w:val="none"/>
              <w:lang w:val="zh-CN"/>
              <w14:textFill>
                <w14:solidFill>
                  <w14:schemeClr w14:val="tx1"/>
                </w14:solidFill>
              </w14:textFill>
            </w:rPr>
            <w:fldChar w:fldCharType="end"/>
          </w:r>
        </w:p>
        <w:p w14:paraId="10A3C4D4">
          <w:pPr>
            <w:pStyle w:val="14"/>
            <w:tabs>
              <w:tab w:val="right" w:leader="dot" w:pos="8360"/>
              <w:tab w:val="clear" w:pos="8296"/>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_Toc23760 </w:instrText>
          </w:r>
          <w:r>
            <w:rPr>
              <w:bCs/>
              <w:highlight w:val="none"/>
              <w:u w:val="none"/>
              <w:lang w:val="zh-CN"/>
            </w:rPr>
            <w:fldChar w:fldCharType="separate"/>
          </w:r>
          <w:r>
            <w:rPr>
              <w:rFonts w:hint="eastAsia" w:ascii="黑体" w:hAnsi="黑体" w:eastAsia="黑体"/>
              <w:highlight w:val="none"/>
              <w:u w:val="none"/>
            </w:rPr>
            <w:t>四、重</w:t>
          </w:r>
          <w:r>
            <w:rPr>
              <w:rFonts w:ascii="黑体" w:hAnsi="黑体" w:eastAsia="黑体"/>
              <w:highlight w:val="none"/>
              <w:u w:val="none"/>
            </w:rPr>
            <w:t>点任务</w:t>
          </w:r>
          <w:r>
            <w:rPr>
              <w:u w:val="none"/>
            </w:rPr>
            <w:tab/>
          </w:r>
          <w:r>
            <w:rPr>
              <w:u w:val="none"/>
            </w:rPr>
            <w:fldChar w:fldCharType="begin"/>
          </w:r>
          <w:r>
            <w:rPr>
              <w:u w:val="none"/>
            </w:rPr>
            <w:instrText xml:space="preserve"> PAGEREF _Toc23760 \h </w:instrText>
          </w:r>
          <w:r>
            <w:rPr>
              <w:u w:val="none"/>
            </w:rPr>
            <w:fldChar w:fldCharType="separate"/>
          </w:r>
          <w:r>
            <w:rPr>
              <w:u w:val="none"/>
            </w:rPr>
            <w:t>- 20 -</w:t>
          </w:r>
          <w:r>
            <w:rPr>
              <w:u w:val="none"/>
            </w:rPr>
            <w:fldChar w:fldCharType="end"/>
          </w:r>
          <w:r>
            <w:rPr>
              <w:bCs/>
              <w:color w:val="000000" w:themeColor="text1"/>
              <w:highlight w:val="none"/>
              <w:u w:val="none"/>
              <w:lang w:val="zh-CN"/>
              <w14:textFill>
                <w14:solidFill>
                  <w14:schemeClr w14:val="tx1"/>
                </w14:solidFill>
              </w14:textFill>
            </w:rPr>
            <w:fldChar w:fldCharType="end"/>
          </w:r>
        </w:p>
        <w:p w14:paraId="0BA99A2E">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_Toc31962 </w:instrText>
          </w:r>
          <w:r>
            <w:rPr>
              <w:bCs/>
              <w:highlight w:val="none"/>
              <w:u w:val="none"/>
              <w:lang w:val="zh-CN"/>
            </w:rPr>
            <w:fldChar w:fldCharType="separate"/>
          </w:r>
          <w:r>
            <w:rPr>
              <w:rFonts w:hint="eastAsia" w:ascii="楷体_GB2312" w:hAnsi="楷体_GB2312" w:eastAsia="楷体_GB2312" w:cs="楷体_GB2312"/>
              <w:highlight w:val="none"/>
              <w:u w:val="none"/>
            </w:rPr>
            <w:t>（一）增强产业技术创新能力</w:t>
          </w:r>
          <w:r>
            <w:rPr>
              <w:u w:val="none"/>
            </w:rPr>
            <w:tab/>
          </w:r>
          <w:r>
            <w:rPr>
              <w:u w:val="none"/>
            </w:rPr>
            <w:fldChar w:fldCharType="begin"/>
          </w:r>
          <w:r>
            <w:rPr>
              <w:u w:val="none"/>
            </w:rPr>
            <w:instrText xml:space="preserve"> PAGEREF _Toc31962 \h </w:instrText>
          </w:r>
          <w:r>
            <w:rPr>
              <w:u w:val="none"/>
            </w:rPr>
            <w:fldChar w:fldCharType="separate"/>
          </w:r>
          <w:r>
            <w:rPr>
              <w:u w:val="none"/>
            </w:rPr>
            <w:t>- 20 -</w:t>
          </w:r>
          <w:r>
            <w:rPr>
              <w:u w:val="none"/>
            </w:rPr>
            <w:fldChar w:fldCharType="end"/>
          </w:r>
          <w:r>
            <w:rPr>
              <w:bCs/>
              <w:color w:val="000000" w:themeColor="text1"/>
              <w:highlight w:val="none"/>
              <w:u w:val="none"/>
              <w:lang w:val="zh-CN"/>
              <w14:textFill>
                <w14:solidFill>
                  <w14:schemeClr w14:val="tx1"/>
                </w14:solidFill>
              </w14:textFill>
            </w:rPr>
            <w:fldChar w:fldCharType="end"/>
          </w:r>
        </w:p>
        <w:p w14:paraId="34740572">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_Toc10379 </w:instrText>
          </w:r>
          <w:r>
            <w:rPr>
              <w:bCs/>
              <w:highlight w:val="none"/>
              <w:u w:val="none"/>
              <w:lang w:val="zh-CN"/>
            </w:rPr>
            <w:fldChar w:fldCharType="separate"/>
          </w:r>
          <w:r>
            <w:rPr>
              <w:rFonts w:hint="eastAsia" w:ascii="楷体_GB2312" w:hAnsi="楷体_GB2312" w:eastAsia="楷体_GB2312" w:cs="楷体_GB2312"/>
              <w:highlight w:val="none"/>
              <w:u w:val="none"/>
            </w:rPr>
            <w:t>（二）加快产业转型升级</w:t>
          </w:r>
          <w:r>
            <w:rPr>
              <w:u w:val="none"/>
            </w:rPr>
            <w:tab/>
          </w:r>
          <w:r>
            <w:rPr>
              <w:u w:val="none"/>
            </w:rPr>
            <w:fldChar w:fldCharType="begin"/>
          </w:r>
          <w:r>
            <w:rPr>
              <w:u w:val="none"/>
            </w:rPr>
            <w:instrText xml:space="preserve"> PAGEREF _Toc10379 \h </w:instrText>
          </w:r>
          <w:r>
            <w:rPr>
              <w:u w:val="none"/>
            </w:rPr>
            <w:fldChar w:fldCharType="separate"/>
          </w:r>
          <w:r>
            <w:rPr>
              <w:u w:val="none"/>
            </w:rPr>
            <w:t>- 23 -</w:t>
          </w:r>
          <w:r>
            <w:rPr>
              <w:u w:val="none"/>
            </w:rPr>
            <w:fldChar w:fldCharType="end"/>
          </w:r>
          <w:r>
            <w:rPr>
              <w:bCs/>
              <w:color w:val="000000" w:themeColor="text1"/>
              <w:highlight w:val="none"/>
              <w:u w:val="none"/>
              <w:lang w:val="zh-CN"/>
              <w14:textFill>
                <w14:solidFill>
                  <w14:schemeClr w14:val="tx1"/>
                </w14:solidFill>
              </w14:textFill>
            </w:rPr>
            <w:fldChar w:fldCharType="end"/>
          </w:r>
        </w:p>
        <w:p w14:paraId="73644DE9">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_Toc17533 </w:instrText>
          </w:r>
          <w:r>
            <w:rPr>
              <w:bCs/>
              <w:highlight w:val="none"/>
              <w:u w:val="none"/>
              <w:lang w:val="zh-CN"/>
            </w:rPr>
            <w:fldChar w:fldCharType="separate"/>
          </w:r>
          <w:r>
            <w:rPr>
              <w:rFonts w:hint="eastAsia" w:ascii="楷体_GB2312" w:hAnsi="楷体_GB2312" w:eastAsia="楷体_GB2312" w:cs="楷体_GB2312"/>
              <w:highlight w:val="none"/>
              <w:u w:val="none"/>
            </w:rPr>
            <w:t>（三）扶强扶专市场经济主体</w:t>
          </w:r>
          <w:r>
            <w:rPr>
              <w:u w:val="none"/>
            </w:rPr>
            <w:tab/>
          </w:r>
          <w:r>
            <w:rPr>
              <w:u w:val="none"/>
            </w:rPr>
            <w:fldChar w:fldCharType="begin"/>
          </w:r>
          <w:r>
            <w:rPr>
              <w:u w:val="none"/>
            </w:rPr>
            <w:instrText xml:space="preserve"> PAGEREF _Toc17533 \h </w:instrText>
          </w:r>
          <w:r>
            <w:rPr>
              <w:u w:val="none"/>
            </w:rPr>
            <w:fldChar w:fldCharType="separate"/>
          </w:r>
          <w:r>
            <w:rPr>
              <w:u w:val="none"/>
            </w:rPr>
            <w:t>- 26 -</w:t>
          </w:r>
          <w:r>
            <w:rPr>
              <w:u w:val="none"/>
            </w:rPr>
            <w:fldChar w:fldCharType="end"/>
          </w:r>
          <w:r>
            <w:rPr>
              <w:bCs/>
              <w:color w:val="000000" w:themeColor="text1"/>
              <w:highlight w:val="none"/>
              <w:u w:val="none"/>
              <w:lang w:val="zh-CN"/>
              <w14:textFill>
                <w14:solidFill>
                  <w14:schemeClr w14:val="tx1"/>
                </w14:solidFill>
              </w14:textFill>
            </w:rPr>
            <w:fldChar w:fldCharType="end"/>
          </w:r>
        </w:p>
        <w:p w14:paraId="5DC7107B">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_Toc3139 </w:instrText>
          </w:r>
          <w:r>
            <w:rPr>
              <w:bCs/>
              <w:highlight w:val="none"/>
              <w:u w:val="none"/>
              <w:lang w:val="zh-CN"/>
            </w:rPr>
            <w:fldChar w:fldCharType="separate"/>
          </w:r>
          <w:r>
            <w:rPr>
              <w:rFonts w:hint="eastAsia" w:ascii="楷体_GB2312" w:hAnsi="楷体_GB2312" w:eastAsia="楷体_GB2312" w:cs="楷体_GB2312"/>
              <w:highlight w:val="none"/>
              <w:u w:val="none"/>
            </w:rPr>
            <w:t>（四）优化产业空间布局</w:t>
          </w:r>
          <w:r>
            <w:rPr>
              <w:u w:val="none"/>
            </w:rPr>
            <w:tab/>
          </w:r>
          <w:r>
            <w:rPr>
              <w:u w:val="none"/>
            </w:rPr>
            <w:fldChar w:fldCharType="begin"/>
          </w:r>
          <w:r>
            <w:rPr>
              <w:u w:val="none"/>
            </w:rPr>
            <w:instrText xml:space="preserve"> PAGEREF _Toc3139 \h </w:instrText>
          </w:r>
          <w:r>
            <w:rPr>
              <w:u w:val="none"/>
            </w:rPr>
            <w:fldChar w:fldCharType="separate"/>
          </w:r>
          <w:r>
            <w:rPr>
              <w:u w:val="none"/>
            </w:rPr>
            <w:t>- 28 -</w:t>
          </w:r>
          <w:r>
            <w:rPr>
              <w:u w:val="none"/>
            </w:rPr>
            <w:fldChar w:fldCharType="end"/>
          </w:r>
          <w:r>
            <w:rPr>
              <w:bCs/>
              <w:color w:val="000000" w:themeColor="text1"/>
              <w:highlight w:val="none"/>
              <w:u w:val="none"/>
              <w:lang w:val="zh-CN"/>
              <w14:textFill>
                <w14:solidFill>
                  <w14:schemeClr w14:val="tx1"/>
                </w14:solidFill>
              </w14:textFill>
            </w:rPr>
            <w:fldChar w:fldCharType="end"/>
          </w:r>
        </w:p>
        <w:p w14:paraId="6F66EF34">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_Toc14348 </w:instrText>
          </w:r>
          <w:r>
            <w:rPr>
              <w:bCs/>
              <w:highlight w:val="none"/>
              <w:u w:val="none"/>
              <w:lang w:val="zh-CN"/>
            </w:rPr>
            <w:fldChar w:fldCharType="separate"/>
          </w:r>
          <w:r>
            <w:rPr>
              <w:rFonts w:hint="eastAsia" w:ascii="楷体_GB2312" w:hAnsi="楷体_GB2312" w:eastAsia="楷体_GB2312" w:cs="楷体_GB2312"/>
              <w:highlight w:val="none"/>
              <w:u w:val="none"/>
            </w:rPr>
            <w:t>（五）提升产业服务能级</w:t>
          </w:r>
          <w:r>
            <w:rPr>
              <w:u w:val="none"/>
            </w:rPr>
            <w:tab/>
          </w:r>
          <w:r>
            <w:rPr>
              <w:u w:val="none"/>
            </w:rPr>
            <w:fldChar w:fldCharType="begin"/>
          </w:r>
          <w:r>
            <w:rPr>
              <w:u w:val="none"/>
            </w:rPr>
            <w:instrText xml:space="preserve"> PAGEREF _Toc14348 \h </w:instrText>
          </w:r>
          <w:r>
            <w:rPr>
              <w:u w:val="none"/>
            </w:rPr>
            <w:fldChar w:fldCharType="separate"/>
          </w:r>
          <w:r>
            <w:rPr>
              <w:u w:val="none"/>
            </w:rPr>
            <w:t>- 31 -</w:t>
          </w:r>
          <w:r>
            <w:rPr>
              <w:u w:val="none"/>
            </w:rPr>
            <w:fldChar w:fldCharType="end"/>
          </w:r>
          <w:r>
            <w:rPr>
              <w:bCs/>
              <w:color w:val="000000" w:themeColor="text1"/>
              <w:highlight w:val="none"/>
              <w:u w:val="none"/>
              <w:lang w:val="zh-CN"/>
              <w14:textFill>
                <w14:solidFill>
                  <w14:schemeClr w14:val="tx1"/>
                </w14:solidFill>
              </w14:textFill>
            </w:rPr>
            <w:fldChar w:fldCharType="end"/>
          </w:r>
        </w:p>
        <w:p w14:paraId="2FAC6199">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_Toc27027 </w:instrText>
          </w:r>
          <w:r>
            <w:rPr>
              <w:bCs/>
              <w:highlight w:val="none"/>
              <w:u w:val="none"/>
              <w:lang w:val="zh-CN"/>
            </w:rPr>
            <w:fldChar w:fldCharType="separate"/>
          </w:r>
          <w:r>
            <w:rPr>
              <w:rFonts w:hint="eastAsia" w:ascii="楷体_GB2312" w:hAnsi="楷体_GB2312" w:eastAsia="楷体_GB2312" w:cs="楷体_GB2312"/>
              <w:highlight w:val="none"/>
              <w:u w:val="none"/>
            </w:rPr>
            <w:t>（六）深化对外开放合作</w:t>
          </w:r>
          <w:r>
            <w:rPr>
              <w:u w:val="none"/>
            </w:rPr>
            <w:tab/>
          </w:r>
          <w:r>
            <w:rPr>
              <w:u w:val="none"/>
            </w:rPr>
            <w:fldChar w:fldCharType="begin"/>
          </w:r>
          <w:r>
            <w:rPr>
              <w:u w:val="none"/>
            </w:rPr>
            <w:instrText xml:space="preserve"> PAGEREF _Toc27027 \h </w:instrText>
          </w:r>
          <w:r>
            <w:rPr>
              <w:u w:val="none"/>
            </w:rPr>
            <w:fldChar w:fldCharType="separate"/>
          </w:r>
          <w:r>
            <w:rPr>
              <w:u w:val="none"/>
            </w:rPr>
            <w:t>- 34 -</w:t>
          </w:r>
          <w:r>
            <w:rPr>
              <w:u w:val="none"/>
            </w:rPr>
            <w:fldChar w:fldCharType="end"/>
          </w:r>
          <w:r>
            <w:rPr>
              <w:bCs/>
              <w:color w:val="000000" w:themeColor="text1"/>
              <w:highlight w:val="none"/>
              <w:u w:val="none"/>
              <w:lang w:val="zh-CN"/>
              <w14:textFill>
                <w14:solidFill>
                  <w14:schemeClr w14:val="tx1"/>
                </w14:solidFill>
              </w14:textFill>
            </w:rPr>
            <w:fldChar w:fldCharType="end"/>
          </w:r>
        </w:p>
        <w:p w14:paraId="5612E0E9">
          <w:pPr>
            <w:pStyle w:val="14"/>
            <w:tabs>
              <w:tab w:val="right" w:leader="dot" w:pos="8360"/>
              <w:tab w:val="clear" w:pos="8296"/>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_Toc15303 </w:instrText>
          </w:r>
          <w:r>
            <w:rPr>
              <w:bCs/>
              <w:highlight w:val="none"/>
              <w:u w:val="none"/>
              <w:lang w:val="zh-CN"/>
            </w:rPr>
            <w:fldChar w:fldCharType="separate"/>
          </w:r>
          <w:r>
            <w:rPr>
              <w:rFonts w:hint="eastAsia" w:ascii="黑体" w:hAnsi="黑体" w:eastAsia="黑体"/>
              <w:highlight w:val="none"/>
              <w:u w:val="none"/>
            </w:rPr>
            <w:t>五、保障措施</w:t>
          </w:r>
          <w:r>
            <w:rPr>
              <w:u w:val="none"/>
            </w:rPr>
            <w:tab/>
          </w:r>
          <w:r>
            <w:rPr>
              <w:u w:val="none"/>
            </w:rPr>
            <w:fldChar w:fldCharType="begin"/>
          </w:r>
          <w:r>
            <w:rPr>
              <w:u w:val="none"/>
            </w:rPr>
            <w:instrText xml:space="preserve"> PAGEREF _Toc15303 \h </w:instrText>
          </w:r>
          <w:r>
            <w:rPr>
              <w:u w:val="none"/>
            </w:rPr>
            <w:fldChar w:fldCharType="separate"/>
          </w:r>
          <w:r>
            <w:rPr>
              <w:u w:val="none"/>
            </w:rPr>
            <w:t>- 37 -</w:t>
          </w:r>
          <w:r>
            <w:rPr>
              <w:u w:val="none"/>
            </w:rPr>
            <w:fldChar w:fldCharType="end"/>
          </w:r>
          <w:r>
            <w:rPr>
              <w:bCs/>
              <w:color w:val="000000" w:themeColor="text1"/>
              <w:highlight w:val="none"/>
              <w:u w:val="none"/>
              <w:lang w:val="zh-CN"/>
              <w14:textFill>
                <w14:solidFill>
                  <w14:schemeClr w14:val="tx1"/>
                </w14:solidFill>
              </w14:textFill>
            </w:rPr>
            <w:fldChar w:fldCharType="end"/>
          </w:r>
        </w:p>
        <w:p w14:paraId="311CF7C6">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_Toc16515 </w:instrText>
          </w:r>
          <w:r>
            <w:rPr>
              <w:bCs/>
              <w:highlight w:val="none"/>
              <w:u w:val="none"/>
              <w:lang w:val="zh-CN"/>
            </w:rPr>
            <w:fldChar w:fldCharType="separate"/>
          </w:r>
          <w:r>
            <w:rPr>
              <w:rFonts w:hint="eastAsia" w:ascii="楷体_GB2312" w:hAnsi="楷体_GB2312" w:eastAsia="楷体_GB2312" w:cs="楷体_GB2312"/>
              <w:highlight w:val="none"/>
              <w:u w:val="none"/>
            </w:rPr>
            <w:t>（一）健全规划实施组织机制</w:t>
          </w:r>
          <w:r>
            <w:rPr>
              <w:u w:val="none"/>
            </w:rPr>
            <w:tab/>
          </w:r>
          <w:r>
            <w:rPr>
              <w:u w:val="none"/>
            </w:rPr>
            <w:fldChar w:fldCharType="begin"/>
          </w:r>
          <w:r>
            <w:rPr>
              <w:u w:val="none"/>
            </w:rPr>
            <w:instrText xml:space="preserve"> PAGEREF _Toc16515 \h </w:instrText>
          </w:r>
          <w:r>
            <w:rPr>
              <w:u w:val="none"/>
            </w:rPr>
            <w:fldChar w:fldCharType="separate"/>
          </w:r>
          <w:r>
            <w:rPr>
              <w:u w:val="none"/>
            </w:rPr>
            <w:t>- 37 -</w:t>
          </w:r>
          <w:r>
            <w:rPr>
              <w:u w:val="none"/>
            </w:rPr>
            <w:fldChar w:fldCharType="end"/>
          </w:r>
          <w:r>
            <w:rPr>
              <w:bCs/>
              <w:color w:val="000000" w:themeColor="text1"/>
              <w:highlight w:val="none"/>
              <w:u w:val="none"/>
              <w:lang w:val="zh-CN"/>
              <w14:textFill>
                <w14:solidFill>
                  <w14:schemeClr w14:val="tx1"/>
                </w14:solidFill>
              </w14:textFill>
            </w:rPr>
            <w:fldChar w:fldCharType="end"/>
          </w:r>
        </w:p>
        <w:p w14:paraId="1EE79494">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_Toc28983 </w:instrText>
          </w:r>
          <w:r>
            <w:rPr>
              <w:bCs/>
              <w:highlight w:val="none"/>
              <w:u w:val="none"/>
              <w:lang w:val="zh-CN"/>
            </w:rPr>
            <w:fldChar w:fldCharType="separate"/>
          </w:r>
          <w:r>
            <w:rPr>
              <w:rFonts w:hint="eastAsia" w:ascii="楷体_GB2312" w:hAnsi="楷体_GB2312" w:eastAsia="楷体_GB2312" w:cs="楷体_GB2312"/>
              <w:highlight w:val="none"/>
              <w:u w:val="none"/>
            </w:rPr>
            <w:t>（二）强化财政资金引导作用</w:t>
          </w:r>
          <w:r>
            <w:rPr>
              <w:u w:val="none"/>
            </w:rPr>
            <w:tab/>
          </w:r>
          <w:r>
            <w:rPr>
              <w:u w:val="none"/>
            </w:rPr>
            <w:fldChar w:fldCharType="begin"/>
          </w:r>
          <w:r>
            <w:rPr>
              <w:u w:val="none"/>
            </w:rPr>
            <w:instrText xml:space="preserve"> PAGEREF _Toc28983 \h </w:instrText>
          </w:r>
          <w:r>
            <w:rPr>
              <w:u w:val="none"/>
            </w:rPr>
            <w:fldChar w:fldCharType="separate"/>
          </w:r>
          <w:r>
            <w:rPr>
              <w:u w:val="none"/>
            </w:rPr>
            <w:t>- 37 -</w:t>
          </w:r>
          <w:r>
            <w:rPr>
              <w:u w:val="none"/>
            </w:rPr>
            <w:fldChar w:fldCharType="end"/>
          </w:r>
          <w:r>
            <w:rPr>
              <w:bCs/>
              <w:color w:val="000000" w:themeColor="text1"/>
              <w:highlight w:val="none"/>
              <w:u w:val="none"/>
              <w:lang w:val="zh-CN"/>
              <w14:textFill>
                <w14:solidFill>
                  <w14:schemeClr w14:val="tx1"/>
                </w14:solidFill>
              </w14:textFill>
            </w:rPr>
            <w:fldChar w:fldCharType="end"/>
          </w:r>
        </w:p>
        <w:p w14:paraId="6B95A32D">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_Toc20368 </w:instrText>
          </w:r>
          <w:r>
            <w:rPr>
              <w:bCs/>
              <w:highlight w:val="none"/>
              <w:u w:val="none"/>
              <w:lang w:val="zh-CN"/>
            </w:rPr>
            <w:fldChar w:fldCharType="separate"/>
          </w:r>
          <w:r>
            <w:rPr>
              <w:rFonts w:hint="eastAsia" w:ascii="楷体_GB2312" w:hAnsi="楷体_GB2312" w:eastAsia="楷体_GB2312" w:cs="楷体_GB2312"/>
              <w:highlight w:val="none"/>
              <w:u w:val="none"/>
            </w:rPr>
            <w:t>（三）加强规划实施的监测评估</w:t>
          </w:r>
          <w:r>
            <w:rPr>
              <w:u w:val="none"/>
            </w:rPr>
            <w:tab/>
          </w:r>
          <w:r>
            <w:rPr>
              <w:u w:val="none"/>
            </w:rPr>
            <w:fldChar w:fldCharType="begin"/>
          </w:r>
          <w:r>
            <w:rPr>
              <w:u w:val="none"/>
            </w:rPr>
            <w:instrText xml:space="preserve"> PAGEREF _Toc20368 \h </w:instrText>
          </w:r>
          <w:r>
            <w:rPr>
              <w:u w:val="none"/>
            </w:rPr>
            <w:fldChar w:fldCharType="separate"/>
          </w:r>
          <w:r>
            <w:rPr>
              <w:u w:val="none"/>
            </w:rPr>
            <w:t>- 38 -</w:t>
          </w:r>
          <w:r>
            <w:rPr>
              <w:u w:val="none"/>
            </w:rPr>
            <w:fldChar w:fldCharType="end"/>
          </w:r>
          <w:r>
            <w:rPr>
              <w:bCs/>
              <w:color w:val="000000" w:themeColor="text1"/>
              <w:highlight w:val="none"/>
              <w:u w:val="none"/>
              <w:lang w:val="zh-CN"/>
              <w14:textFill>
                <w14:solidFill>
                  <w14:schemeClr w14:val="tx1"/>
                </w14:solidFill>
              </w14:textFill>
            </w:rPr>
            <w:fldChar w:fldCharType="end"/>
          </w:r>
        </w:p>
        <w:p w14:paraId="422EB823">
          <w:pPr>
            <w:pStyle w:val="9"/>
            <w:tabs>
              <w:tab w:val="right" w:leader="dot" w:pos="8360"/>
            </w:tabs>
            <w:rPr>
              <w:u w:val="none"/>
            </w:rPr>
          </w:pPr>
          <w:r>
            <w:rPr>
              <w:bCs/>
              <w:color w:val="000000" w:themeColor="text1"/>
              <w:highlight w:val="none"/>
              <w:u w:val="none"/>
              <w:lang w:val="zh-CN"/>
              <w14:textFill>
                <w14:solidFill>
                  <w14:schemeClr w14:val="tx1"/>
                </w14:solidFill>
              </w14:textFill>
            </w:rPr>
            <w:fldChar w:fldCharType="begin"/>
          </w:r>
          <w:r>
            <w:rPr>
              <w:bCs/>
              <w:highlight w:val="none"/>
              <w:u w:val="none"/>
              <w:lang w:val="zh-CN"/>
            </w:rPr>
            <w:instrText xml:space="preserve"> HYPERLINK \l _Toc7067 </w:instrText>
          </w:r>
          <w:r>
            <w:rPr>
              <w:bCs/>
              <w:highlight w:val="none"/>
              <w:u w:val="none"/>
              <w:lang w:val="zh-CN"/>
            </w:rPr>
            <w:fldChar w:fldCharType="separate"/>
          </w:r>
          <w:r>
            <w:rPr>
              <w:rFonts w:hint="eastAsia" w:ascii="楷体_GB2312" w:hAnsi="楷体_GB2312" w:eastAsia="楷体_GB2312" w:cs="楷体_GB2312"/>
              <w:highlight w:val="none"/>
              <w:u w:val="none"/>
            </w:rPr>
            <w:t>（四）营造规划实施的良好氛围</w:t>
          </w:r>
          <w:r>
            <w:rPr>
              <w:u w:val="none"/>
            </w:rPr>
            <w:tab/>
          </w:r>
          <w:r>
            <w:rPr>
              <w:u w:val="none"/>
            </w:rPr>
            <w:fldChar w:fldCharType="begin"/>
          </w:r>
          <w:r>
            <w:rPr>
              <w:u w:val="none"/>
            </w:rPr>
            <w:instrText xml:space="preserve"> PAGEREF _Toc7067 \h </w:instrText>
          </w:r>
          <w:r>
            <w:rPr>
              <w:u w:val="none"/>
            </w:rPr>
            <w:fldChar w:fldCharType="separate"/>
          </w:r>
          <w:r>
            <w:rPr>
              <w:u w:val="none"/>
            </w:rPr>
            <w:t>- 38 -</w:t>
          </w:r>
          <w:r>
            <w:rPr>
              <w:u w:val="none"/>
            </w:rPr>
            <w:fldChar w:fldCharType="end"/>
          </w:r>
          <w:r>
            <w:rPr>
              <w:bCs/>
              <w:color w:val="000000" w:themeColor="text1"/>
              <w:highlight w:val="none"/>
              <w:u w:val="none"/>
              <w:lang w:val="zh-CN"/>
              <w14:textFill>
                <w14:solidFill>
                  <w14:schemeClr w14:val="tx1"/>
                </w14:solidFill>
              </w14:textFill>
            </w:rPr>
            <w:fldChar w:fldCharType="end"/>
          </w:r>
        </w:p>
        <w:p w14:paraId="4981F6C9">
          <w:pPr>
            <w:spacing w:line="560" w:lineRule="exact"/>
            <w:rPr>
              <w:color w:val="000000" w:themeColor="text1"/>
              <w:highlight w:val="none"/>
              <w:u w:val="none"/>
              <w14:textFill>
                <w14:solidFill>
                  <w14:schemeClr w14:val="tx1"/>
                </w14:solidFill>
              </w14:textFill>
            </w:rPr>
          </w:pPr>
          <w:r>
            <w:rPr>
              <w:b/>
              <w:bCs/>
              <w:color w:val="000000" w:themeColor="text1"/>
              <w:highlight w:val="none"/>
              <w:u w:val="none"/>
              <w:lang w:val="zh-CN"/>
              <w14:textFill>
                <w14:solidFill>
                  <w14:schemeClr w14:val="tx1"/>
                </w14:solidFill>
              </w14:textFill>
            </w:rPr>
            <w:fldChar w:fldCharType="end"/>
          </w:r>
        </w:p>
      </w:sdtContent>
    </w:sdt>
    <w:p w14:paraId="2035683A">
      <w:pPr>
        <w:spacing w:line="560" w:lineRule="exact"/>
        <w:jc w:val="center"/>
        <w:rPr>
          <w:rFonts w:ascii="楷体" w:hAnsi="楷体" w:eastAsia="楷体"/>
          <w:color w:val="000000" w:themeColor="text1"/>
          <w:sz w:val="32"/>
          <w:szCs w:val="32"/>
          <w:highlight w:val="none"/>
          <w:u w:val="none"/>
          <w14:textFill>
            <w14:solidFill>
              <w14:schemeClr w14:val="tx1"/>
            </w14:solidFill>
          </w14:textFill>
        </w:rPr>
      </w:pPr>
    </w:p>
    <w:p w14:paraId="60E89F94">
      <w:pPr>
        <w:spacing w:line="560" w:lineRule="exact"/>
        <w:jc w:val="left"/>
        <w:rPr>
          <w:rFonts w:ascii="仿宋_GB2312" w:hAnsi="黑体" w:eastAsia="仿宋_GB2312"/>
          <w:color w:val="000000" w:themeColor="text1"/>
          <w:sz w:val="32"/>
          <w:szCs w:val="32"/>
          <w:highlight w:val="none"/>
          <w:u w:val="none"/>
          <w14:textFill>
            <w14:solidFill>
              <w14:schemeClr w14:val="tx1"/>
            </w14:solidFill>
          </w14:textFill>
        </w:rPr>
        <w:sectPr>
          <w:footerReference r:id="rId4" w:type="default"/>
          <w:pgSz w:w="11906" w:h="16838"/>
          <w:pgMar w:top="1440" w:right="1746" w:bottom="1440" w:left="1800" w:header="851" w:footer="992" w:gutter="0"/>
          <w:pgNumType w:fmt="numberInDash" w:start="1"/>
          <w:cols w:space="720" w:num="1"/>
          <w:docGrid w:type="lines" w:linePitch="312" w:charSpace="0"/>
        </w:sectPr>
      </w:pPr>
    </w:p>
    <w:p w14:paraId="39374DDA">
      <w:pPr>
        <w:pStyle w:val="2"/>
        <w:rPr>
          <w:color w:val="000000" w:themeColor="text1"/>
          <w:highlight w:val="none"/>
          <w:u w:val="none"/>
          <w14:textFill>
            <w14:solidFill>
              <w14:schemeClr w14:val="tx1"/>
            </w14:solidFill>
          </w14:textFill>
        </w:rPr>
      </w:pPr>
    </w:p>
    <w:p w14:paraId="16917069">
      <w:pPr>
        <w:spacing w:line="560" w:lineRule="exact"/>
        <w:ind w:firstLine="645"/>
        <w:jc w:val="both"/>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hAnsi="黑体" w:eastAsia="仿宋_GB2312"/>
          <w:color w:val="000000" w:themeColor="text1"/>
          <w:sz w:val="32"/>
          <w:szCs w:val="32"/>
          <w:highlight w:val="none"/>
          <w:u w:val="none"/>
          <w14:textFill>
            <w14:solidFill>
              <w14:schemeClr w14:val="tx1"/>
            </w14:solidFill>
          </w14:textFill>
        </w:rPr>
        <w:t>“十四五”时期，是光明区打造大湾区综合性国家科学中心先行启动区、世界一流科学城和深圳北部中心的攻坚期。战略性新兴产业代表新一轮科技革命和产业变革的方向，是培育发展新动能，获取未来竞争新优势的关键领域。光明区必须把战略性新兴产业摆在更加突出的位置，在新起点上实现经济社会高质量发展。根据《深圳市光明区国民经济和社会发展第十四个五年规划和二〇三五年远景目标纲要》、《</w:t>
      </w:r>
      <w:r>
        <w:rPr>
          <w:rFonts w:hint="eastAsia" w:ascii="仿宋_GB2312" w:hAnsi="黑体" w:eastAsia="仿宋_GB2312"/>
          <w:b w:val="0"/>
          <w:bCs w:val="0"/>
          <w:color w:val="000000" w:themeColor="text1"/>
          <w:sz w:val="32"/>
          <w:szCs w:val="32"/>
          <w:highlight w:val="none"/>
          <w:u w:val="none"/>
          <w:lang w:eastAsia="zh-CN"/>
          <w14:textFill>
            <w14:solidFill>
              <w14:schemeClr w14:val="tx1"/>
            </w14:solidFill>
          </w14:textFill>
        </w:rPr>
        <w:t>深圳市</w:t>
      </w:r>
      <w:r>
        <w:rPr>
          <w:rFonts w:ascii="仿宋_GB2312" w:hAnsi="黑体" w:eastAsia="仿宋_GB2312"/>
          <w:color w:val="000000" w:themeColor="text1"/>
          <w:sz w:val="32"/>
          <w:szCs w:val="32"/>
          <w:highlight w:val="none"/>
          <w:u w:val="none"/>
          <w14:textFill>
            <w14:solidFill>
              <w14:schemeClr w14:val="tx1"/>
            </w14:solidFill>
          </w14:textFill>
        </w:rPr>
        <w:t>光明区</w:t>
      </w:r>
      <w:r>
        <w:rPr>
          <w:rFonts w:hint="eastAsia" w:ascii="仿宋_GB2312" w:hAnsi="黑体" w:eastAsia="仿宋_GB2312"/>
          <w:color w:val="000000" w:themeColor="text1"/>
          <w:sz w:val="32"/>
          <w:szCs w:val="32"/>
          <w:highlight w:val="none"/>
          <w:u w:val="none"/>
          <w14:textFill>
            <w14:solidFill>
              <w14:schemeClr w14:val="tx1"/>
            </w14:solidFill>
          </w14:textFill>
        </w:rPr>
        <w:t>现代产业体系中长期发展规划</w:t>
      </w:r>
      <w:r>
        <w:rPr>
          <w:rFonts w:ascii="仿宋_GB2312" w:hAnsi="黑体" w:eastAsia="仿宋_GB2312"/>
          <w:color w:val="000000" w:themeColor="text1"/>
          <w:sz w:val="32"/>
          <w:szCs w:val="32"/>
          <w:highlight w:val="none"/>
          <w:u w:val="none"/>
          <w14:textFill>
            <w14:solidFill>
              <w14:schemeClr w14:val="tx1"/>
            </w14:solidFill>
          </w14:textFill>
        </w:rPr>
        <w:t>（2020—2035年）</w:t>
      </w:r>
      <w:r>
        <w:rPr>
          <w:rFonts w:hint="eastAsia" w:ascii="仿宋_GB2312" w:hAnsi="黑体" w:eastAsia="仿宋_GB2312"/>
          <w:color w:val="000000" w:themeColor="text1"/>
          <w:sz w:val="32"/>
          <w:szCs w:val="32"/>
          <w:highlight w:val="none"/>
          <w:u w:val="none"/>
          <w14:textFill>
            <w14:solidFill>
              <w14:schemeClr w14:val="tx1"/>
            </w14:solidFill>
          </w14:textFill>
        </w:rPr>
        <w:t>》</w:t>
      </w:r>
      <w:r>
        <w:rPr>
          <w:rFonts w:hint="eastAsia" w:ascii="仿宋_GB2312" w:hAnsi="黑体" w:eastAsia="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深光府〔2020〕33号</w:t>
      </w:r>
      <w:r>
        <w:rPr>
          <w:rFonts w:hint="eastAsia" w:ascii="仿宋_GB2312" w:hAnsi="黑体" w:eastAsia="仿宋_GB2312"/>
          <w:color w:val="000000" w:themeColor="text1"/>
          <w:sz w:val="32"/>
          <w:szCs w:val="32"/>
          <w:highlight w:val="none"/>
          <w:u w:val="none"/>
          <w:lang w:eastAsia="zh-CN"/>
          <w14:textFill>
            <w14:solidFill>
              <w14:schemeClr w14:val="tx1"/>
            </w14:solidFill>
          </w14:textFill>
        </w:rPr>
        <w:t>）</w:t>
      </w:r>
      <w:r>
        <w:rPr>
          <w:rFonts w:hint="eastAsia" w:ascii="仿宋_GB2312" w:hAnsi="黑体" w:eastAsia="仿宋_GB2312"/>
          <w:color w:val="000000" w:themeColor="text1"/>
          <w:sz w:val="32"/>
          <w:szCs w:val="32"/>
          <w:highlight w:val="none"/>
          <w:u w:val="none"/>
          <w14:textFill>
            <w14:solidFill>
              <w14:schemeClr w14:val="tx1"/>
            </w14:solidFill>
          </w14:textFill>
        </w:rPr>
        <w:t>,特编制本规划。</w:t>
      </w:r>
      <w:bookmarkStart w:id="0" w:name="_Toc36286607"/>
      <w:bookmarkStart w:id="1" w:name="_Toc10959_WPSOffice_Level2"/>
      <w:bookmarkStart w:id="2" w:name="_Toc42762148"/>
      <w:bookmarkStart w:id="3" w:name="_Toc53583299"/>
    </w:p>
    <w:p w14:paraId="0C292EE9">
      <w:pPr>
        <w:pStyle w:val="4"/>
        <w:spacing w:before="0" w:after="0" w:line="560" w:lineRule="exact"/>
        <w:ind w:firstLine="643" w:firstLineChars="200"/>
        <w:rPr>
          <w:rFonts w:ascii="黑体" w:hAnsi="黑体" w:eastAsia="黑体"/>
          <w:color w:val="000000" w:themeColor="text1"/>
          <w:highlight w:val="none"/>
          <w:u w:val="none"/>
          <w14:textFill>
            <w14:solidFill>
              <w14:schemeClr w14:val="tx1"/>
            </w14:solidFill>
          </w14:textFill>
        </w:rPr>
      </w:pPr>
      <w:bookmarkStart w:id="4" w:name="_Toc56442295"/>
      <w:bookmarkStart w:id="5" w:name="_Toc21456"/>
      <w:bookmarkStart w:id="6" w:name="_Toc17421"/>
      <w:bookmarkStart w:id="7" w:name="_Toc32077"/>
      <w:bookmarkStart w:id="8" w:name="_Toc2410"/>
      <w:r>
        <w:rPr>
          <w:rFonts w:hint="eastAsia" w:ascii="黑体" w:hAnsi="黑体" w:eastAsia="黑体"/>
          <w:color w:val="000000" w:themeColor="text1"/>
          <w:highlight w:val="none"/>
          <w:u w:val="none"/>
          <w14:textFill>
            <w14:solidFill>
              <w14:schemeClr w14:val="tx1"/>
            </w14:solidFill>
          </w14:textFill>
        </w:rPr>
        <w:t>一、发展基础</w:t>
      </w:r>
      <w:bookmarkEnd w:id="0"/>
      <w:bookmarkEnd w:id="1"/>
      <w:bookmarkEnd w:id="2"/>
      <w:r>
        <w:rPr>
          <w:rFonts w:hint="eastAsia" w:ascii="黑体" w:hAnsi="黑体" w:eastAsia="黑体"/>
          <w:color w:val="000000" w:themeColor="text1"/>
          <w:highlight w:val="none"/>
          <w:u w:val="none"/>
          <w14:textFill>
            <w14:solidFill>
              <w14:schemeClr w14:val="tx1"/>
            </w14:solidFill>
          </w14:textFill>
        </w:rPr>
        <w:t>与环境</w:t>
      </w:r>
      <w:bookmarkEnd w:id="3"/>
      <w:bookmarkEnd w:id="4"/>
      <w:bookmarkEnd w:id="5"/>
      <w:bookmarkEnd w:id="6"/>
      <w:bookmarkEnd w:id="7"/>
      <w:bookmarkEnd w:id="8"/>
      <w:bookmarkStart w:id="9" w:name="_Toc53583300"/>
    </w:p>
    <w:p w14:paraId="21EB6096">
      <w:pPr>
        <w:pStyle w:val="5"/>
        <w:spacing w:before="0" w:after="0" w:line="560" w:lineRule="exact"/>
        <w:ind w:firstLine="643" w:firstLineChars="200"/>
        <w:rPr>
          <w:rFonts w:hint="eastAsia" w:ascii="楷体_GB2312" w:hAnsi="楷体_GB2312" w:eastAsia="楷体_GB2312" w:cs="楷体_GB2312"/>
          <w:b w:val="0"/>
          <w:color w:val="000000" w:themeColor="text1"/>
          <w:highlight w:val="none"/>
          <w:u w:val="none"/>
          <w14:textFill>
            <w14:solidFill>
              <w14:schemeClr w14:val="tx1"/>
            </w14:solidFill>
          </w14:textFill>
        </w:rPr>
      </w:pPr>
      <w:bookmarkStart w:id="10" w:name="_Toc56442296"/>
      <w:bookmarkStart w:id="11" w:name="_Toc3427"/>
      <w:bookmarkStart w:id="12" w:name="_Toc29443"/>
      <w:bookmarkStart w:id="13" w:name="_Toc12951"/>
      <w:bookmarkStart w:id="14" w:name="_Toc5634"/>
      <w:r>
        <w:rPr>
          <w:rFonts w:hint="eastAsia" w:ascii="楷体_GB2312" w:hAnsi="楷体_GB2312" w:eastAsia="楷体_GB2312" w:cs="楷体_GB2312"/>
          <w:color w:val="000000" w:themeColor="text1"/>
          <w:highlight w:val="none"/>
          <w:u w:val="none"/>
          <w14:textFill>
            <w14:solidFill>
              <w14:schemeClr w14:val="tx1"/>
            </w14:solidFill>
          </w14:textFill>
        </w:rPr>
        <w:t>（一）发展基础</w:t>
      </w:r>
      <w:bookmarkEnd w:id="9"/>
      <w:bookmarkEnd w:id="10"/>
      <w:bookmarkEnd w:id="11"/>
      <w:bookmarkEnd w:id="12"/>
      <w:bookmarkEnd w:id="13"/>
      <w:bookmarkEnd w:id="14"/>
    </w:p>
    <w:p w14:paraId="3C1742BD">
      <w:pPr>
        <w:spacing w:line="560" w:lineRule="exact"/>
        <w:ind w:firstLine="640" w:firstLineChars="200"/>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hAnsi="黑体" w:eastAsia="仿宋_GB2312"/>
          <w:color w:val="000000" w:themeColor="text1"/>
          <w:sz w:val="32"/>
          <w:szCs w:val="32"/>
          <w:highlight w:val="none"/>
          <w:u w:val="none"/>
          <w14:textFill>
            <w14:solidFill>
              <w14:schemeClr w14:val="tx1"/>
            </w14:solidFill>
          </w14:textFill>
        </w:rPr>
        <w:t>“十三五”时期，光明区全面落实深圳市战略部署，围绕打造产业新城的目标，大力培育发展战略性新兴产业，抢占科技和产业发展的制高点，成为全市战略性新兴产业发展新的增长点。</w:t>
      </w:r>
    </w:p>
    <w:p w14:paraId="087F0E68">
      <w:pPr>
        <w:spacing w:line="560" w:lineRule="exact"/>
        <w:ind w:firstLine="643" w:firstLineChars="200"/>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hAnsi="仿宋" w:eastAsia="仿宋_GB2312"/>
          <w:b/>
          <w:color w:val="000000" w:themeColor="text1"/>
          <w:sz w:val="32"/>
          <w:szCs w:val="32"/>
          <w:highlight w:val="none"/>
          <w:u w:val="none"/>
          <w14:textFill>
            <w14:solidFill>
              <w14:schemeClr w14:val="tx1"/>
            </w14:solidFill>
          </w14:textFill>
        </w:rPr>
        <w:t>新兴产业支柱主导地位基本形成。</w:t>
      </w:r>
      <w:r>
        <w:rPr>
          <w:rFonts w:hint="eastAsia" w:ascii="仿宋_GB2312" w:hAnsi="黑体" w:eastAsia="仿宋_GB2312"/>
          <w:color w:val="000000" w:themeColor="text1"/>
          <w:sz w:val="32"/>
          <w:szCs w:val="32"/>
          <w:highlight w:val="none"/>
          <w:u w:val="none"/>
          <w14:textFill>
            <w14:solidFill>
              <w14:schemeClr w14:val="tx1"/>
            </w14:solidFill>
          </w14:textFill>
        </w:rPr>
        <w:t>20</w:t>
      </w:r>
      <w:r>
        <w:rPr>
          <w:rFonts w:hint="eastAsia" w:ascii="仿宋_GB2312" w:hAnsi="黑体" w:eastAsia="仿宋_GB2312"/>
          <w:color w:val="000000" w:themeColor="text1"/>
          <w:sz w:val="32"/>
          <w:szCs w:val="32"/>
          <w:highlight w:val="none"/>
          <w:u w:val="none"/>
          <w:lang w:val="en-US" w:eastAsia="zh-CN"/>
          <w14:textFill>
            <w14:solidFill>
              <w14:schemeClr w14:val="tx1"/>
            </w14:solidFill>
          </w14:textFill>
        </w:rPr>
        <w:t>20</w:t>
      </w:r>
      <w:r>
        <w:rPr>
          <w:rFonts w:hint="eastAsia" w:ascii="仿宋_GB2312" w:hAnsi="黑体" w:eastAsia="仿宋_GB2312"/>
          <w:color w:val="000000" w:themeColor="text1"/>
          <w:sz w:val="32"/>
          <w:szCs w:val="32"/>
          <w:highlight w:val="none"/>
          <w:u w:val="none"/>
          <w14:textFill>
            <w14:solidFill>
              <w14:schemeClr w14:val="tx1"/>
            </w14:solidFill>
          </w14:textFill>
        </w:rPr>
        <w:t>年，全区战略性新兴产业增加值</w:t>
      </w:r>
      <w:r>
        <w:rPr>
          <w:rFonts w:hint="eastAsia" w:ascii="仿宋_GB2312" w:hAnsi="黑体" w:eastAsia="仿宋_GB2312"/>
          <w:color w:val="000000" w:themeColor="text1"/>
          <w:sz w:val="32"/>
          <w:szCs w:val="32"/>
          <w:highlight w:val="none"/>
          <w:u w:val="none"/>
          <w:lang w:val="en-US" w:eastAsia="zh-CN"/>
          <w14:textFill>
            <w14:solidFill>
              <w14:schemeClr w14:val="tx1"/>
            </w14:solidFill>
          </w14:textFill>
        </w:rPr>
        <w:t>500.97</w:t>
      </w:r>
      <w:r>
        <w:rPr>
          <w:rFonts w:hint="eastAsia" w:ascii="仿宋_GB2312" w:hAnsi="黑体" w:eastAsia="仿宋_GB2312"/>
          <w:color w:val="000000" w:themeColor="text1"/>
          <w:sz w:val="32"/>
          <w:szCs w:val="32"/>
          <w:highlight w:val="none"/>
          <w:u w:val="none"/>
          <w14:textFill>
            <w14:solidFill>
              <w14:schemeClr w14:val="tx1"/>
            </w14:solidFill>
          </w14:textFill>
        </w:rPr>
        <w:t>亿元，占全区生产总值的</w:t>
      </w:r>
      <w:r>
        <w:rPr>
          <w:rFonts w:hint="eastAsia" w:ascii="仿宋_GB2312" w:hAnsi="黑体" w:eastAsia="仿宋_GB2312"/>
          <w:color w:val="000000" w:themeColor="text1"/>
          <w:sz w:val="32"/>
          <w:szCs w:val="32"/>
          <w:highlight w:val="none"/>
          <w:u w:val="none"/>
          <w:lang w:val="en-US" w:eastAsia="zh-CN"/>
          <w14:textFill>
            <w14:solidFill>
              <w14:schemeClr w14:val="tx1"/>
            </w14:solidFill>
          </w14:textFill>
        </w:rPr>
        <w:t>45.5%</w:t>
      </w:r>
      <w:r>
        <w:rPr>
          <w:rFonts w:hint="eastAsia" w:ascii="仿宋_GB2312" w:hAnsi="黑体" w:eastAsia="仿宋_GB2312"/>
          <w:color w:val="000000" w:themeColor="text1"/>
          <w:sz w:val="32"/>
          <w:szCs w:val="32"/>
          <w:highlight w:val="none"/>
          <w:u w:val="none"/>
          <w14:textFill>
            <w14:solidFill>
              <w14:schemeClr w14:val="tx1"/>
            </w14:solidFill>
          </w14:textFill>
        </w:rPr>
        <w:t>，年均增长8.7%，远高于同期经济增长速度；战略性新兴制造业产值近1500亿元，占工业总产值比重达61%。战略性新兴产业呈链式发展态势，形成了千亿级新一代信息技术产业集群，</w:t>
      </w:r>
      <w:r>
        <w:rPr>
          <w:rFonts w:hint="eastAsia" w:ascii="仿宋_GB2312" w:hAnsi="宋体" w:eastAsia="仿宋_GB2312"/>
          <w:color w:val="000000" w:themeColor="text1"/>
          <w:sz w:val="32"/>
          <w:szCs w:val="32"/>
          <w:highlight w:val="none"/>
          <w:u w:val="none"/>
          <w14:textFill>
            <w14:solidFill>
              <w14:schemeClr w14:val="tx1"/>
            </w14:solidFill>
          </w14:textFill>
        </w:rPr>
        <w:t>500亿级的生物医药</w:t>
      </w:r>
      <w:r>
        <w:rPr>
          <w:rFonts w:hint="eastAsia" w:ascii="仿宋_GB2312" w:hAnsi="黑体" w:eastAsia="仿宋_GB2312"/>
          <w:color w:val="000000" w:themeColor="text1"/>
          <w:sz w:val="32"/>
          <w:szCs w:val="32"/>
          <w:highlight w:val="none"/>
          <w:u w:val="none"/>
          <w14:textFill>
            <w14:solidFill>
              <w14:schemeClr w14:val="tx1"/>
            </w14:solidFill>
          </w14:textFill>
        </w:rPr>
        <w:t>产业集群和百亿级的新材料产业集群，战略性新兴产业已成为全区经济发展和产业升级的主引擎。</w:t>
      </w:r>
    </w:p>
    <w:p w14:paraId="7E2C3EC8">
      <w:pPr>
        <w:spacing w:line="560" w:lineRule="exact"/>
        <w:ind w:firstLine="643" w:firstLineChars="200"/>
        <w:jc w:val="both"/>
        <w:rPr>
          <w:rFonts w:ascii="仿宋_GB2312" w:hAnsi="华文楷体" w:eastAsia="仿宋_GB2312"/>
          <w:b/>
          <w:color w:val="000000" w:themeColor="text1"/>
          <w:sz w:val="32"/>
          <w:szCs w:val="32"/>
          <w:highlight w:val="none"/>
          <w:u w:val="none"/>
          <w14:textFill>
            <w14:solidFill>
              <w14:schemeClr w14:val="tx1"/>
            </w14:solidFill>
          </w14:textFill>
        </w:rPr>
      </w:pPr>
      <w:r>
        <w:rPr>
          <w:rFonts w:hint="eastAsia" w:ascii="仿宋_GB2312" w:hAnsi="仿宋" w:eastAsia="仿宋_GB2312"/>
          <w:b/>
          <w:color w:val="000000" w:themeColor="text1"/>
          <w:sz w:val="32"/>
          <w:szCs w:val="32"/>
          <w:highlight w:val="none"/>
          <w:u w:val="none"/>
          <w14:textFill>
            <w14:solidFill>
              <w14:schemeClr w14:val="tx1"/>
            </w14:solidFill>
          </w14:textFill>
        </w:rPr>
        <w:t>产</w:t>
      </w:r>
      <w:r>
        <w:rPr>
          <w:rFonts w:ascii="仿宋_GB2312" w:hAnsi="仿宋" w:eastAsia="仿宋_GB2312"/>
          <w:b/>
          <w:color w:val="000000" w:themeColor="text1"/>
          <w:sz w:val="32"/>
          <w:szCs w:val="32"/>
          <w:highlight w:val="none"/>
          <w:u w:val="none"/>
          <w14:textFill>
            <w14:solidFill>
              <w14:schemeClr w14:val="tx1"/>
            </w14:solidFill>
          </w14:textFill>
        </w:rPr>
        <w:t>业</w:t>
      </w:r>
      <w:r>
        <w:rPr>
          <w:rFonts w:hint="eastAsia" w:ascii="仿宋_GB2312" w:hAnsi="仿宋" w:eastAsia="仿宋_GB2312"/>
          <w:b/>
          <w:color w:val="000000" w:themeColor="text1"/>
          <w:sz w:val="32"/>
          <w:szCs w:val="32"/>
          <w:highlight w:val="none"/>
          <w:u w:val="none"/>
          <w14:textFill>
            <w14:solidFill>
              <w14:schemeClr w14:val="tx1"/>
            </w14:solidFill>
          </w14:textFill>
        </w:rPr>
        <w:t>创新发展动能持续增强。</w:t>
      </w:r>
      <w:r>
        <w:rPr>
          <w:rFonts w:hint="eastAsia" w:ascii="仿宋_GB2312" w:hAnsi="黑体" w:eastAsia="仿宋_GB2312"/>
          <w:color w:val="000000" w:themeColor="text1"/>
          <w:sz w:val="32"/>
          <w:szCs w:val="32"/>
          <w:highlight w:val="none"/>
          <w:u w:val="none"/>
          <w14:textFill>
            <w14:solidFill>
              <w14:schemeClr w14:val="tx1"/>
            </w14:solidFill>
          </w14:textFill>
        </w:rPr>
        <w:t>“十三五”时期，</w:t>
      </w:r>
      <w:r>
        <w:rPr>
          <w:rFonts w:hint="default" w:ascii="仿宋_GB2312" w:hAnsi="Calibri" w:eastAsia="仿宋_GB2312" w:cs="仿宋_GB2312"/>
          <w:color w:val="000000" w:themeColor="text1"/>
          <w:kern w:val="2"/>
          <w:sz w:val="32"/>
          <w:szCs w:val="32"/>
          <w:highlight w:val="none"/>
          <w:u w:val="none"/>
          <w:lang w:val="en-US" w:eastAsia="zh-CN" w:bidi="ar"/>
          <w14:textFill>
            <w14:solidFill>
              <w14:schemeClr w14:val="tx1"/>
            </w14:solidFill>
          </w14:textFill>
        </w:rPr>
        <w:t>全社会R&amp;D投入占GDP比重由2015年底的3.1%上升到</w:t>
      </w:r>
      <w:r>
        <w:rPr>
          <w:rFonts w:hint="eastAsia" w:ascii="仿宋_GB2312" w:eastAsia="仿宋_GB2312" w:cs="仿宋_GB2312"/>
          <w:color w:val="000000" w:themeColor="text1"/>
          <w:kern w:val="2"/>
          <w:sz w:val="32"/>
          <w:szCs w:val="32"/>
          <w:highlight w:val="none"/>
          <w:u w:val="none"/>
          <w:lang w:val="en-US" w:eastAsia="zh-CN" w:bidi="ar"/>
          <w14:textFill>
            <w14:solidFill>
              <w14:schemeClr w14:val="tx1"/>
            </w14:solidFill>
          </w14:textFill>
        </w:rPr>
        <w:t>2020</w:t>
      </w:r>
      <w:r>
        <w:rPr>
          <w:rFonts w:hint="default" w:ascii="仿宋_GB2312" w:hAnsi="Calibri" w:eastAsia="仿宋_GB2312" w:cs="仿宋_GB2312"/>
          <w:color w:val="000000" w:themeColor="text1"/>
          <w:kern w:val="2"/>
          <w:sz w:val="32"/>
          <w:szCs w:val="32"/>
          <w:highlight w:val="none"/>
          <w:u w:val="none"/>
          <w:lang w:val="en-US" w:eastAsia="zh-CN" w:bidi="ar"/>
          <w14:textFill>
            <w14:solidFill>
              <w14:schemeClr w14:val="tx1"/>
            </w14:solidFill>
          </w14:textFill>
        </w:rPr>
        <w:t>年底的7.9%</w:t>
      </w:r>
      <w:r>
        <w:rPr>
          <w:rFonts w:hint="eastAsia" w:ascii="仿宋_GB2312" w:hAnsi="黑体" w:eastAsia="仿宋_GB2312"/>
          <w:color w:val="000000" w:themeColor="text1"/>
          <w:sz w:val="32"/>
          <w:szCs w:val="32"/>
          <w:highlight w:val="none"/>
          <w:u w:val="none"/>
          <w14:textFill>
            <w14:solidFill>
              <w14:schemeClr w14:val="tx1"/>
            </w14:solidFill>
          </w14:textFill>
        </w:rPr>
        <w:t>；5亿元以上</w:t>
      </w:r>
      <w:r>
        <w:rPr>
          <w:rFonts w:hint="eastAsia" w:ascii="仿宋_GB2312" w:hAnsi="黑体" w:eastAsia="仿宋_GB2312"/>
          <w:color w:val="000000" w:themeColor="text1"/>
          <w:sz w:val="32"/>
          <w:szCs w:val="32"/>
          <w:highlight w:val="none"/>
          <w:u w:val="none"/>
          <w:lang w:val="en-US" w:eastAsia="zh-CN"/>
          <w14:textFill>
            <w14:solidFill>
              <w14:schemeClr w14:val="tx1"/>
            </w14:solidFill>
          </w14:textFill>
        </w:rPr>
        <w:t>,</w:t>
      </w:r>
      <w:r>
        <w:rPr>
          <w:rFonts w:hint="eastAsia" w:ascii="仿宋_GB2312" w:hAnsi="黑体" w:eastAsia="仿宋_GB2312"/>
          <w:color w:val="000000" w:themeColor="text1"/>
          <w:sz w:val="32"/>
          <w:szCs w:val="32"/>
          <w:highlight w:val="none"/>
          <w:u w:val="none"/>
          <w14:textFill>
            <w14:solidFill>
              <w14:schemeClr w14:val="tx1"/>
            </w14:solidFill>
          </w14:textFill>
        </w:rPr>
        <w:t>战略性新兴产业工业企业研发机构实现了全覆盖，</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创建国家级企业创新平台5个、省级创新平台55个、市级创新平台40个</w:t>
      </w:r>
      <w:r>
        <w:rPr>
          <w:rFonts w:hint="eastAsia" w:ascii="仿宋_GB2312" w:hAnsi="黑体" w:eastAsia="仿宋_GB2312"/>
          <w:color w:val="000000" w:themeColor="text1"/>
          <w:sz w:val="32"/>
          <w:szCs w:val="32"/>
          <w:highlight w:val="none"/>
          <w:u w:val="none"/>
          <w14:textFill>
            <w14:solidFill>
              <w14:schemeClr w14:val="tx1"/>
            </w14:solidFill>
          </w14:textFill>
        </w:rPr>
        <w:t>。</w:t>
      </w:r>
      <w:r>
        <w:rPr>
          <w:rFonts w:hint="eastAsia" w:ascii="仿宋_GB2312" w:eastAsia="仿宋_GB2312"/>
          <w:color w:val="000000" w:themeColor="text1"/>
          <w:sz w:val="32"/>
          <w:szCs w:val="32"/>
          <w:highlight w:val="none"/>
          <w:u w:val="none"/>
          <w14:textFill>
            <w14:solidFill>
              <w14:schemeClr w14:val="tx1"/>
            </w14:solidFill>
          </w14:textFill>
        </w:rPr>
        <w:t>合成生物研究、脑解析与脑模拟、材料基因组、综合粒子设施等一批重大科技基础设施落户光明科学城，中科院深圳理工大学、深圳湾实验室、超算E级机平台、国际科技信息中心等高校院所、重大科技平台纷至沓来。</w:t>
      </w:r>
    </w:p>
    <w:p w14:paraId="6AE90C23">
      <w:pPr>
        <w:spacing w:line="560" w:lineRule="exact"/>
        <w:ind w:firstLine="643" w:firstLineChars="200"/>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eastAsia="仿宋_GB2312"/>
          <w:b/>
          <w:color w:val="000000" w:themeColor="text1"/>
          <w:sz w:val="32"/>
          <w:szCs w:val="32"/>
          <w:highlight w:val="none"/>
          <w:u w:val="none"/>
          <w14:textFill>
            <w14:solidFill>
              <w14:schemeClr w14:val="tx1"/>
            </w14:solidFill>
          </w14:textFill>
        </w:rPr>
        <w:t>大商优商好商加速集聚。</w:t>
      </w:r>
      <w:r>
        <w:rPr>
          <w:rFonts w:hint="eastAsia" w:ascii="仿宋_GB2312" w:hAnsi="黑体" w:eastAsia="仿宋_GB2312"/>
          <w:color w:val="000000" w:themeColor="text1"/>
          <w:sz w:val="32"/>
          <w:szCs w:val="32"/>
          <w:highlight w:val="none"/>
          <w:u w:val="none"/>
          <w14:textFill>
            <w14:solidFill>
              <w14:schemeClr w14:val="tx1"/>
            </w14:solidFill>
          </w14:textFill>
        </w:rPr>
        <w:t>涌现了</w:t>
      </w:r>
      <w:r>
        <w:rPr>
          <w:rFonts w:hint="eastAsia" w:ascii="仿宋_GB2312" w:eastAsia="仿宋_GB2312"/>
          <w:color w:val="000000" w:themeColor="text1"/>
          <w:sz w:val="32"/>
          <w:szCs w:val="32"/>
          <w:highlight w:val="none"/>
          <w:u w:val="none"/>
          <w14:textFill>
            <w14:solidFill>
              <w14:schemeClr w14:val="tx1"/>
            </w14:solidFill>
          </w14:textFill>
        </w:rPr>
        <w:t>华星光电、</w:t>
      </w:r>
      <w:r>
        <w:rPr>
          <w:rFonts w:hint="eastAsia" w:ascii="仿宋_GB2312" w:hAnsi="黑体" w:eastAsia="仿宋_GB2312"/>
          <w:color w:val="000000" w:themeColor="text1"/>
          <w:sz w:val="32"/>
          <w:szCs w:val="32"/>
          <w:highlight w:val="none"/>
          <w:u w:val="none"/>
          <w14:textFill>
            <w14:solidFill>
              <w14:schemeClr w14:val="tx1"/>
            </w14:solidFill>
          </w14:textFill>
        </w:rPr>
        <w:t>普联技术等新一代信息技术产业龙头企业，</w:t>
      </w:r>
      <w:r>
        <w:rPr>
          <w:rFonts w:hint="eastAsia" w:ascii="仿宋_GB2312" w:hAnsi="宋体" w:eastAsia="仿宋_GB2312"/>
          <w:color w:val="000000" w:themeColor="text1"/>
          <w:sz w:val="32"/>
          <w:szCs w:val="32"/>
          <w:highlight w:val="none"/>
          <w:u w:val="none"/>
          <w14:textFill>
            <w14:solidFill>
              <w14:schemeClr w14:val="tx1"/>
            </w14:solidFill>
          </w14:textFill>
        </w:rPr>
        <w:t>迈瑞、卫光生物、康泰等生物医药领域领军企业，</w:t>
      </w:r>
      <w:r>
        <w:rPr>
          <w:rFonts w:hint="eastAsia" w:ascii="仿宋_GB2312" w:hAnsi="仿宋_GB2312" w:eastAsia="仿宋_GB2312"/>
          <w:color w:val="000000" w:themeColor="text1"/>
          <w:sz w:val="32"/>
          <w:szCs w:val="32"/>
          <w:highlight w:val="none"/>
          <w:u w:val="none"/>
          <w14:textFill>
            <w14:solidFill>
              <w14:schemeClr w14:val="tx1"/>
            </w14:solidFill>
          </w14:textFill>
        </w:rPr>
        <w:t>贝特瑞、星源材质、新星轻合金</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olor w:val="000000" w:themeColor="text1"/>
          <w:sz w:val="32"/>
          <w:szCs w:val="32"/>
          <w:highlight w:val="none"/>
          <w:u w:val="none"/>
          <w14:textFill>
            <w14:solidFill>
              <w14:schemeClr w14:val="tx1"/>
            </w14:solidFill>
          </w14:textFill>
        </w:rPr>
        <w:t>旭硝子等新材料产业骨干企业。贝特瑞稳居全球锂电负极材料行业产销量冠军，星源材质获得省政府质量奖</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olor w:val="000000" w:themeColor="text1"/>
          <w:sz w:val="32"/>
          <w:szCs w:val="32"/>
          <w:highlight w:val="none"/>
          <w:u w:val="none"/>
          <w14:textFill>
            <w14:solidFill>
              <w14:schemeClr w14:val="tx1"/>
            </w14:solidFill>
          </w14:textFill>
        </w:rPr>
        <w:t>新星轻合金获评第四批制造业单项冠军示范企业。中集低轨、艾维普思、华星光电等145个重点工业</w:t>
      </w:r>
      <w:r>
        <w:rPr>
          <w:rFonts w:hint="eastAsia" w:ascii="仿宋_GB2312" w:hAnsi="黑体" w:eastAsia="仿宋_GB2312"/>
          <w:color w:val="000000" w:themeColor="text1"/>
          <w:sz w:val="32"/>
          <w:szCs w:val="32"/>
          <w:highlight w:val="none"/>
          <w:u w:val="none"/>
          <w14:textFill>
            <w14:solidFill>
              <w14:schemeClr w14:val="tx1"/>
            </w14:solidFill>
          </w14:textFill>
        </w:rPr>
        <w:t>投资项目、技术改造项目加快推进。</w:t>
      </w:r>
    </w:p>
    <w:p w14:paraId="710D7AF6">
      <w:pPr>
        <w:spacing w:line="560" w:lineRule="exact"/>
        <w:ind w:firstLine="643" w:firstLineChars="200"/>
        <w:rPr>
          <w:rFonts w:hint="eastAsia"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eastAsia="仿宋_GB2312"/>
          <w:b/>
          <w:color w:val="000000" w:themeColor="text1"/>
          <w:sz w:val="32"/>
          <w:szCs w:val="32"/>
          <w:highlight w:val="none"/>
          <w:u w:val="none"/>
          <w14:textFill>
            <w14:solidFill>
              <w14:schemeClr w14:val="tx1"/>
            </w14:solidFill>
          </w14:textFill>
        </w:rPr>
        <w:t>产业发展环境持续优化。</w:t>
      </w:r>
      <w:r>
        <w:rPr>
          <w:rFonts w:hint="eastAsia" w:ascii="仿宋_GB2312" w:hAnsi="黑体" w:eastAsia="仿宋_GB2312"/>
          <w:color w:val="000000" w:themeColor="text1"/>
          <w:sz w:val="32"/>
          <w:szCs w:val="32"/>
          <w:highlight w:val="none"/>
          <w:u w:val="none"/>
          <w14:textFill>
            <w14:solidFill>
              <w14:schemeClr w14:val="tx1"/>
            </w14:solidFill>
          </w14:textFill>
        </w:rPr>
        <w:t>在全市率先出台优化营商环境57条，落实知识产权保护36条等一批政策措施。</w:t>
      </w:r>
      <w:r>
        <w:rPr>
          <w:rFonts w:hint="eastAsia" w:ascii="仿宋_GB2312" w:hAnsi="黑体" w:eastAsia="仿宋_GB2312"/>
          <w:color w:val="000000" w:themeColor="text1"/>
          <w:sz w:val="32"/>
          <w:szCs w:val="32"/>
          <w:highlight w:val="none"/>
          <w:u w:val="none"/>
          <w:lang w:val="en-US" w:eastAsia="zh-CN"/>
          <w14:textFill>
            <w14:solidFill>
              <w14:schemeClr w14:val="tx1"/>
            </w14:solidFill>
          </w14:textFill>
        </w:rPr>
        <w:t>2020年，</w:t>
      </w:r>
      <w:r>
        <w:rPr>
          <w:rFonts w:hint="eastAsia" w:ascii="仿宋_GB2312" w:hAnsi="黑体" w:eastAsia="仿宋_GB2312"/>
          <w:color w:val="000000" w:themeColor="text1"/>
          <w:sz w:val="32"/>
          <w:szCs w:val="32"/>
          <w:highlight w:val="none"/>
          <w:u w:val="none"/>
          <w14:textFill>
            <w14:solidFill>
              <w14:schemeClr w14:val="tx1"/>
            </w14:solidFill>
          </w14:textFill>
        </w:rPr>
        <w:t>区领导班子带头挂点服务企业，实现规模</w:t>
      </w:r>
      <w:r>
        <w:rPr>
          <w:rFonts w:ascii="仿宋_GB2312" w:hAnsi="黑体" w:eastAsia="仿宋_GB2312"/>
          <w:color w:val="000000" w:themeColor="text1"/>
          <w:sz w:val="32"/>
          <w:szCs w:val="32"/>
          <w:highlight w:val="none"/>
          <w:u w:val="none"/>
          <w14:textFill>
            <w14:solidFill>
              <w14:schemeClr w14:val="tx1"/>
            </w14:solidFill>
          </w14:textFill>
        </w:rPr>
        <w:t>以</w:t>
      </w:r>
      <w:r>
        <w:rPr>
          <w:rFonts w:hint="eastAsia" w:ascii="仿宋_GB2312" w:hAnsi="黑体" w:eastAsia="仿宋_GB2312"/>
          <w:color w:val="000000" w:themeColor="text1"/>
          <w:sz w:val="32"/>
          <w:szCs w:val="32"/>
          <w:highlight w:val="none"/>
          <w:u w:val="none"/>
          <w14:textFill>
            <w14:solidFill>
              <w14:schemeClr w14:val="tx1"/>
            </w14:solidFill>
          </w14:textFill>
        </w:rPr>
        <w:t>上企业挂点服务全覆盖，协调解决企业困难501项。加大金融扶持实体经济力度，及时化解区内重点企业股权质押风险。发出全国第一张企业“秒批”营业执照，率先在全市推出42项业务“秒批”，300项政务服务事项实现全城通办、5</w:t>
      </w:r>
      <w:r>
        <w:rPr>
          <w:rFonts w:hint="eastAsia" w:ascii="仿宋_GB2312" w:hAnsi="黑体" w:eastAsia="仿宋_GB2312"/>
          <w:color w:val="000000" w:themeColor="text1"/>
          <w:sz w:val="32"/>
          <w:szCs w:val="32"/>
          <w:highlight w:val="none"/>
          <w:u w:val="none"/>
          <w:lang w:val="en-US" w:eastAsia="zh-CN"/>
          <w14:textFill>
            <w14:solidFill>
              <w14:schemeClr w14:val="tx1"/>
            </w14:solidFill>
          </w14:textFill>
        </w:rPr>
        <w:t>00</w:t>
      </w:r>
      <w:r>
        <w:rPr>
          <w:rFonts w:hint="eastAsia" w:ascii="仿宋_GB2312" w:hAnsi="黑体" w:eastAsia="仿宋_GB2312"/>
          <w:color w:val="000000" w:themeColor="text1"/>
          <w:sz w:val="32"/>
          <w:szCs w:val="32"/>
          <w:highlight w:val="none"/>
          <w:u w:val="none"/>
          <w14:textFill>
            <w14:solidFill>
              <w14:schemeClr w14:val="tx1"/>
            </w14:solidFill>
          </w14:textFill>
        </w:rPr>
        <w:t>项实现零跑腿，涉企政务服务相关经验在国办信息上刊发交流。</w:t>
      </w:r>
      <w:bookmarkStart w:id="15" w:name="_Toc391_WPSOffice_Level2"/>
      <w:bookmarkStart w:id="16" w:name="_Toc42762150"/>
      <w:bookmarkStart w:id="17" w:name="_Toc36286609"/>
      <w:bookmarkStart w:id="18" w:name="_Toc53583301"/>
    </w:p>
    <w:p w14:paraId="5E372CBF">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9" w:name="_Toc24758"/>
      <w:bookmarkStart w:id="20" w:name="_Toc19282"/>
      <w:bookmarkStart w:id="21" w:name="_Toc14561"/>
      <w:bookmarkStart w:id="22" w:name="_Toc10171"/>
      <w:bookmarkStart w:id="23" w:name="_Toc56442297"/>
      <w:r>
        <w:rPr>
          <w:rFonts w:hint="eastAsia" w:ascii="楷体_GB2312" w:hAnsi="楷体_GB2312" w:eastAsia="楷体_GB2312" w:cs="楷体_GB2312"/>
          <w:color w:val="000000" w:themeColor="text1"/>
          <w:highlight w:val="none"/>
          <w:u w:val="none"/>
          <w14:textFill>
            <w14:solidFill>
              <w14:schemeClr w14:val="tx1"/>
            </w14:solidFill>
          </w14:textFill>
        </w:rPr>
        <w:t>（二）发展</w:t>
      </w:r>
      <w:bookmarkEnd w:id="15"/>
      <w:bookmarkEnd w:id="16"/>
      <w:bookmarkEnd w:id="17"/>
      <w:r>
        <w:rPr>
          <w:rFonts w:hint="eastAsia" w:ascii="楷体_GB2312" w:hAnsi="楷体_GB2312" w:eastAsia="楷体_GB2312" w:cs="楷体_GB2312"/>
          <w:color w:val="000000" w:themeColor="text1"/>
          <w:highlight w:val="none"/>
          <w:u w:val="none"/>
          <w14:textFill>
            <w14:solidFill>
              <w14:schemeClr w14:val="tx1"/>
            </w14:solidFill>
          </w14:textFill>
        </w:rPr>
        <w:t>机遇</w:t>
      </w:r>
      <w:bookmarkEnd w:id="18"/>
      <w:bookmarkEnd w:id="19"/>
      <w:bookmarkEnd w:id="20"/>
      <w:bookmarkEnd w:id="21"/>
      <w:bookmarkEnd w:id="22"/>
      <w:bookmarkEnd w:id="23"/>
    </w:p>
    <w:p w14:paraId="410830E3">
      <w:pPr>
        <w:spacing w:line="560" w:lineRule="exact"/>
        <w:ind w:firstLine="640" w:firstLineChars="200"/>
        <w:jc w:val="left"/>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hAnsi="黑体" w:eastAsia="仿宋_GB2312"/>
          <w:color w:val="000000" w:themeColor="text1"/>
          <w:sz w:val="32"/>
          <w:szCs w:val="32"/>
          <w:highlight w:val="none"/>
          <w:u w:val="none"/>
          <w14:textFill>
            <w14:solidFill>
              <w14:schemeClr w14:val="tx1"/>
            </w14:solidFill>
          </w14:textFill>
        </w:rPr>
        <w:t xml:space="preserve">“十四五”期间，在先行示范区和粤港澳大湾区“双区”驱动机遇下，依托光明科学城等一系列重大科技项目，光明战略性新兴产业发展在百年未有之大变局的历史节点上，总体上处于大有可为的战略机遇期。 </w:t>
      </w:r>
    </w:p>
    <w:p w14:paraId="52BEDDEE">
      <w:pPr>
        <w:spacing w:line="560" w:lineRule="exact"/>
        <w:ind w:firstLine="643" w:firstLineChars="200"/>
        <w:rPr>
          <w:rFonts w:ascii="仿宋_GB2312" w:hAnsi="仿宋" w:eastAsia="仿宋_GB2312"/>
          <w:color w:val="000000" w:themeColor="text1"/>
          <w:sz w:val="32"/>
          <w:szCs w:val="32"/>
          <w:highlight w:val="none"/>
          <w:u w:val="none"/>
          <w14:textFill>
            <w14:solidFill>
              <w14:schemeClr w14:val="tx1"/>
            </w14:solidFill>
          </w14:textFill>
        </w:rPr>
      </w:pPr>
      <w:r>
        <w:rPr>
          <w:rFonts w:hint="eastAsia" w:ascii="仿宋_GB2312" w:hAnsi="黑体" w:eastAsia="仿宋_GB2312"/>
          <w:b/>
          <w:color w:val="000000" w:themeColor="text1"/>
          <w:sz w:val="32"/>
          <w:szCs w:val="32"/>
          <w:highlight w:val="none"/>
          <w:u w:val="none"/>
          <w14:textFill>
            <w14:solidFill>
              <w14:schemeClr w14:val="tx1"/>
            </w14:solidFill>
          </w14:textFill>
        </w:rPr>
        <w:t>新一轮科技产业革命蓄势待发。</w:t>
      </w:r>
      <w:r>
        <w:rPr>
          <w:rFonts w:hint="eastAsia" w:ascii="仿宋_GB2312" w:hAnsi="黑体" w:eastAsia="仿宋_GB2312"/>
          <w:color w:val="000000" w:themeColor="text1"/>
          <w:sz w:val="32"/>
          <w:szCs w:val="32"/>
          <w:highlight w:val="none"/>
          <w:u w:val="none"/>
          <w14:textFill>
            <w14:solidFill>
              <w14:schemeClr w14:val="tx1"/>
            </w14:solidFill>
          </w14:textFill>
        </w:rPr>
        <w:t>第四次工业革命已经到来，</w:t>
      </w:r>
      <w:r>
        <w:rPr>
          <w:rFonts w:hint="eastAsia" w:ascii="仿宋_GB2312" w:hAnsi="仿宋" w:eastAsia="仿宋_GB2312"/>
          <w:color w:val="000000" w:themeColor="text1"/>
          <w:sz w:val="32"/>
          <w:szCs w:val="32"/>
          <w:highlight w:val="none"/>
          <w:u w:val="none"/>
          <w14:textFill>
            <w14:solidFill>
              <w14:schemeClr w14:val="tx1"/>
            </w14:solidFill>
          </w14:textFill>
        </w:rPr>
        <w:t>人工智能、新材料、</w:t>
      </w:r>
      <w:r>
        <w:rPr>
          <w:rFonts w:hint="eastAsia" w:ascii="仿宋_GB2312" w:hAnsi="仿宋" w:eastAsia="仿宋_GB2312"/>
          <w:color w:val="000000" w:themeColor="text1"/>
          <w:sz w:val="32"/>
          <w:szCs w:val="32"/>
          <w:highlight w:val="none"/>
          <w:u w:val="none"/>
          <w:lang w:eastAsia="zh-CN"/>
          <w14:textFill>
            <w14:solidFill>
              <w14:schemeClr w14:val="tx1"/>
            </w14:solidFill>
          </w14:textFill>
        </w:rPr>
        <w:t>生物医药</w:t>
      </w:r>
      <w:r>
        <w:rPr>
          <w:rFonts w:hint="eastAsia" w:ascii="仿宋_GB2312" w:hAnsi="仿宋" w:eastAsia="仿宋_GB2312"/>
          <w:color w:val="000000" w:themeColor="text1"/>
          <w:sz w:val="32"/>
          <w:szCs w:val="32"/>
          <w:highlight w:val="none"/>
          <w:u w:val="none"/>
          <w14:textFill>
            <w14:solidFill>
              <w14:schemeClr w14:val="tx1"/>
            </w14:solidFill>
          </w14:textFill>
        </w:rPr>
        <w:t>、数字经济等产业领域多点突破、交叉融合趋势明显，不断催生新技术、新产业、新业态、新模式。世界各国纷纷抢占科技创新制高点，高科技领域国际贸易摩擦日趋频繁，科技创新引发国际分工和国际贸易格局正在深度调整，为光明区依托源头创新实现弯道超车提供了有利时机。</w:t>
      </w:r>
    </w:p>
    <w:p w14:paraId="29088702">
      <w:pPr>
        <w:spacing w:line="560" w:lineRule="exact"/>
        <w:ind w:firstLine="643" w:firstLineChars="200"/>
        <w:rPr>
          <w:rFonts w:ascii="仿宋_GB2312" w:hAnsi="仿宋" w:eastAsia="仿宋_GB2312"/>
          <w:color w:val="000000" w:themeColor="text1"/>
          <w:sz w:val="32"/>
          <w:szCs w:val="32"/>
          <w:highlight w:val="none"/>
          <w:u w:val="none"/>
          <w14:textFill>
            <w14:solidFill>
              <w14:schemeClr w14:val="tx1"/>
            </w14:solidFill>
          </w14:textFill>
        </w:rPr>
      </w:pPr>
      <w:r>
        <w:rPr>
          <w:rFonts w:hint="eastAsia" w:ascii="仿宋_GB2312" w:hAnsi="黑体" w:eastAsia="仿宋_GB2312"/>
          <w:b/>
          <w:color w:val="000000" w:themeColor="text1"/>
          <w:sz w:val="32"/>
          <w:szCs w:val="32"/>
          <w:highlight w:val="none"/>
          <w:u w:val="none"/>
          <w14:textFill>
            <w14:solidFill>
              <w14:schemeClr w14:val="tx1"/>
            </w14:solidFill>
          </w14:textFill>
        </w:rPr>
        <w:t>大湾区和先行示范区“双区叠加”。</w:t>
      </w:r>
      <w:r>
        <w:rPr>
          <w:rFonts w:hint="eastAsia" w:ascii="仿宋_GB2312" w:hAnsi="仿宋" w:eastAsia="仿宋_GB2312"/>
          <w:color w:val="000000" w:themeColor="text1"/>
          <w:sz w:val="32"/>
          <w:szCs w:val="32"/>
          <w:highlight w:val="none"/>
          <w:u w:val="none"/>
          <w14:textFill>
            <w14:solidFill>
              <w14:schemeClr w14:val="tx1"/>
            </w14:solidFill>
          </w14:textFill>
        </w:rPr>
        <w:t>粤</w:t>
      </w:r>
      <w:r>
        <w:rPr>
          <w:rFonts w:hint="eastAsia" w:ascii="仿宋_GB2312" w:hAnsi="黑体" w:eastAsia="仿宋_GB2312"/>
          <w:color w:val="000000" w:themeColor="text1"/>
          <w:sz w:val="32"/>
          <w:szCs w:val="32"/>
          <w:highlight w:val="none"/>
          <w:u w:val="none"/>
          <w14:textFill>
            <w14:solidFill>
              <w14:schemeClr w14:val="tx1"/>
            </w14:solidFill>
          </w14:textFill>
        </w:rPr>
        <w:t>港澳大湾区和先行示范区赋予了深圳具有世界影响力的创新创意之都</w:t>
      </w:r>
      <w:r>
        <w:rPr>
          <w:rFonts w:hint="eastAsia" w:ascii="仿宋_GB2312" w:hAnsi="仿宋" w:eastAsia="仿宋_GB2312"/>
          <w:color w:val="000000" w:themeColor="text1"/>
          <w:sz w:val="32"/>
          <w:szCs w:val="32"/>
          <w:highlight w:val="none"/>
          <w:u w:val="none"/>
          <w14:textFill>
            <w14:solidFill>
              <w14:schemeClr w14:val="tx1"/>
            </w14:solidFill>
          </w14:textFill>
        </w:rPr>
        <w:t>、综合性国家科学中心</w:t>
      </w:r>
      <w:r>
        <w:rPr>
          <w:rFonts w:hint="eastAsia" w:ascii="仿宋_GB2312" w:hAnsi="黑体" w:eastAsia="仿宋_GB2312"/>
          <w:color w:val="000000" w:themeColor="text1"/>
          <w:sz w:val="32"/>
          <w:szCs w:val="32"/>
          <w:highlight w:val="none"/>
          <w:u w:val="none"/>
          <w14:textFill>
            <w14:solidFill>
              <w14:schemeClr w14:val="tx1"/>
            </w14:solidFill>
          </w14:textFill>
        </w:rPr>
        <w:t>的定位，光明区肩负着</w:t>
      </w:r>
      <w:r>
        <w:rPr>
          <w:rFonts w:hint="eastAsia" w:ascii="仿宋_GB2312" w:hAnsi="仿宋" w:eastAsia="仿宋_GB2312"/>
          <w:color w:val="000000" w:themeColor="text1"/>
          <w:sz w:val="32"/>
          <w:szCs w:val="32"/>
          <w:highlight w:val="none"/>
          <w:u w:val="none"/>
          <w14:textFill>
            <w14:solidFill>
              <w14:schemeClr w14:val="tx1"/>
            </w14:solidFill>
          </w14:textFill>
        </w:rPr>
        <w:t>建设综合性国家科学中心的核心承载区</w:t>
      </w:r>
      <w:r>
        <w:rPr>
          <w:rFonts w:hint="eastAsia" w:ascii="仿宋_GB2312" w:hAnsi="黑体" w:eastAsia="仿宋_GB2312"/>
          <w:color w:val="000000" w:themeColor="text1"/>
          <w:sz w:val="32"/>
          <w:szCs w:val="32"/>
          <w:highlight w:val="none"/>
          <w:u w:val="none"/>
          <w14:textFill>
            <w14:solidFill>
              <w14:schemeClr w14:val="tx1"/>
            </w14:solidFill>
          </w14:textFill>
        </w:rPr>
        <w:t>和深圳北部中心的重任，</w:t>
      </w:r>
      <w:r>
        <w:rPr>
          <w:rFonts w:hint="eastAsia" w:ascii="仿宋_GB2312" w:hAnsi="仿宋" w:eastAsia="仿宋_GB2312"/>
          <w:color w:val="000000" w:themeColor="text1"/>
          <w:sz w:val="32"/>
          <w:szCs w:val="32"/>
          <w:highlight w:val="none"/>
          <w:u w:val="none"/>
          <w14:textFill>
            <w14:solidFill>
              <w14:schemeClr w14:val="tx1"/>
            </w14:solidFill>
          </w14:textFill>
        </w:rPr>
        <w:t>将汇聚一批国际一流重大科技基础设施、世界知名高校院所、跨学科前沿交叉研究平台和顶尖科技创新人才，必将引领带动</w:t>
      </w:r>
      <w:r>
        <w:rPr>
          <w:rFonts w:hint="eastAsia" w:ascii="仿宋_GB2312" w:hAnsi="黑体" w:eastAsia="仿宋_GB2312"/>
          <w:color w:val="000000" w:themeColor="text1"/>
          <w:sz w:val="32"/>
          <w:szCs w:val="32"/>
          <w:highlight w:val="none"/>
          <w:u w:val="none"/>
          <w14:textFill>
            <w14:solidFill>
              <w14:schemeClr w14:val="tx1"/>
            </w14:solidFill>
          </w14:textFill>
        </w:rPr>
        <w:t>光明战略性新兴产业跨越式大发展</w:t>
      </w:r>
      <w:r>
        <w:rPr>
          <w:rFonts w:hint="eastAsia" w:ascii="仿宋_GB2312" w:hAnsi="仿宋_GB2312" w:eastAsia="仿宋_GB2312"/>
          <w:color w:val="000000" w:themeColor="text1"/>
          <w:sz w:val="32"/>
          <w:szCs w:val="32"/>
          <w:highlight w:val="none"/>
          <w:u w:val="none"/>
          <w14:textFill>
            <w14:solidFill>
              <w14:schemeClr w14:val="tx1"/>
            </w14:solidFill>
          </w14:textFill>
        </w:rPr>
        <w:t>。</w:t>
      </w:r>
    </w:p>
    <w:p w14:paraId="4FBFB389">
      <w:pPr>
        <w:spacing w:line="560" w:lineRule="exact"/>
        <w:ind w:firstLine="643" w:firstLineChars="200"/>
        <w:jc w:val="left"/>
        <w:rPr>
          <w:rFonts w:ascii="仿宋_GB2312" w:eastAsia="仿宋_GB2312" w:cs="宋体"/>
          <w:bCs/>
          <w:color w:val="000000" w:themeColor="text1"/>
          <w:kern w:val="0"/>
          <w:sz w:val="32"/>
          <w:szCs w:val="32"/>
          <w:highlight w:val="none"/>
          <w:u w:val="none"/>
          <w14:textFill>
            <w14:solidFill>
              <w14:schemeClr w14:val="tx1"/>
            </w14:solidFill>
          </w14:textFill>
        </w:rPr>
      </w:pPr>
      <w:r>
        <w:rPr>
          <w:rFonts w:ascii="仿宋_GB2312" w:hAnsi="仿宋" w:eastAsia="仿宋_GB2312"/>
          <w:b/>
          <w:color w:val="000000" w:themeColor="text1"/>
          <w:sz w:val="32"/>
          <w:szCs w:val="32"/>
          <w:highlight w:val="none"/>
          <w:u w:val="none"/>
          <w14:textFill>
            <w14:solidFill>
              <w14:schemeClr w14:val="tx1"/>
            </w14:solidFill>
          </w14:textFill>
        </w:rPr>
        <w:t>国内国际双循环战略</w:t>
      </w:r>
      <w:r>
        <w:rPr>
          <w:rFonts w:hint="eastAsia" w:ascii="仿宋_GB2312" w:hAnsi="仿宋" w:eastAsia="仿宋_GB2312"/>
          <w:b/>
          <w:color w:val="000000" w:themeColor="text1"/>
          <w:sz w:val="32"/>
          <w:szCs w:val="32"/>
          <w:highlight w:val="none"/>
          <w:u w:val="none"/>
          <w14:textFill>
            <w14:solidFill>
              <w14:schemeClr w14:val="tx1"/>
            </w14:solidFill>
          </w14:textFill>
        </w:rPr>
        <w:t>全面实</w:t>
      </w:r>
      <w:r>
        <w:rPr>
          <w:rFonts w:ascii="仿宋_GB2312" w:hAnsi="仿宋" w:eastAsia="仿宋_GB2312"/>
          <w:b/>
          <w:color w:val="000000" w:themeColor="text1"/>
          <w:sz w:val="32"/>
          <w:szCs w:val="32"/>
          <w:highlight w:val="none"/>
          <w:u w:val="none"/>
          <w14:textFill>
            <w14:solidFill>
              <w14:schemeClr w14:val="tx1"/>
            </w14:solidFill>
          </w14:textFill>
        </w:rPr>
        <w:t>施</w:t>
      </w:r>
      <w:r>
        <w:rPr>
          <w:rFonts w:ascii="仿宋_GB2312" w:hAnsi="仿宋" w:eastAsia="仿宋_GB2312"/>
          <w:color w:val="000000" w:themeColor="text1"/>
          <w:sz w:val="32"/>
          <w:szCs w:val="32"/>
          <w:highlight w:val="none"/>
          <w:u w:val="none"/>
          <w14:textFill>
            <w14:solidFill>
              <w14:schemeClr w14:val="tx1"/>
            </w14:solidFill>
          </w14:textFill>
        </w:rPr>
        <w:t>。</w:t>
      </w:r>
      <w:r>
        <w:rPr>
          <w:rFonts w:hint="eastAsia" w:ascii="仿宋_GB2312" w:hAnsi="微软雅黑" w:eastAsia="仿宋_GB2312" w:cs="宋体"/>
          <w:color w:val="000000" w:themeColor="text1"/>
          <w:kern w:val="0"/>
          <w:sz w:val="32"/>
          <w:szCs w:val="32"/>
          <w:highlight w:val="none"/>
          <w:u w:val="none"/>
          <w14:textFill>
            <w14:solidFill>
              <w14:schemeClr w14:val="tx1"/>
            </w14:solidFill>
          </w14:textFill>
        </w:rPr>
        <w:t>党中央</w:t>
      </w:r>
      <w:r>
        <w:rPr>
          <w:rFonts w:hint="eastAsia" w:ascii="仿宋_GB2312" w:eastAsia="仿宋_GB2312" w:cs="宋体"/>
          <w:bCs/>
          <w:color w:val="000000" w:themeColor="text1"/>
          <w:kern w:val="0"/>
          <w:sz w:val="32"/>
          <w:szCs w:val="32"/>
          <w:highlight w:val="none"/>
          <w:u w:val="none"/>
          <w14:textFill>
            <w14:solidFill>
              <w14:schemeClr w14:val="tx1"/>
            </w14:solidFill>
          </w14:textFill>
        </w:rPr>
        <w:t>基于国内国际发展形势，</w:t>
      </w:r>
      <w:r>
        <w:rPr>
          <w:rFonts w:hint="eastAsia" w:ascii="仿宋_GB2312" w:hAnsi="微软雅黑" w:eastAsia="仿宋_GB2312" w:cs="宋体"/>
          <w:color w:val="000000" w:themeColor="text1"/>
          <w:kern w:val="0"/>
          <w:sz w:val="32"/>
          <w:szCs w:val="32"/>
          <w:highlight w:val="none"/>
          <w:u w:val="none"/>
          <w14:textFill>
            <w14:solidFill>
              <w14:schemeClr w14:val="tx1"/>
            </w14:solidFill>
          </w14:textFill>
        </w:rPr>
        <w:t>提出了以构建</w:t>
      </w:r>
      <w:r>
        <w:rPr>
          <w:rFonts w:hint="eastAsia" w:ascii="仿宋_GB2312" w:eastAsia="仿宋_GB2312" w:cs="宋体"/>
          <w:bCs/>
          <w:color w:val="000000" w:themeColor="text1"/>
          <w:kern w:val="0"/>
          <w:sz w:val="32"/>
          <w:szCs w:val="32"/>
          <w:highlight w:val="none"/>
          <w:u w:val="none"/>
          <w14:textFill>
            <w14:solidFill>
              <w14:schemeClr w14:val="tx1"/>
            </w14:solidFill>
          </w14:textFill>
        </w:rPr>
        <w:t>国内大循环为主体、国内国际双循环相互促进的新发展格局，将有助于我区利用好国内国际两个市场，通过国内大循环释放的国内需求，化解</w:t>
      </w:r>
      <w:r>
        <w:rPr>
          <w:rFonts w:hint="eastAsia" w:ascii="仿宋_GB2312" w:hAnsi="黑体" w:eastAsia="仿宋_GB2312"/>
          <w:color w:val="000000" w:themeColor="text1"/>
          <w:sz w:val="32"/>
          <w:szCs w:val="32"/>
          <w:highlight w:val="none"/>
          <w:u w:val="none"/>
          <w14:textFill>
            <w14:solidFill>
              <w14:schemeClr w14:val="tx1"/>
            </w14:solidFill>
          </w14:textFill>
        </w:rPr>
        <w:t>新冠肺炎疫情冲击和</w:t>
      </w:r>
      <w:r>
        <w:rPr>
          <w:rFonts w:hint="eastAsia" w:ascii="仿宋_GB2312" w:eastAsia="仿宋_GB2312" w:cs="宋体"/>
          <w:bCs/>
          <w:color w:val="000000" w:themeColor="text1"/>
          <w:kern w:val="0"/>
          <w:sz w:val="32"/>
          <w:szCs w:val="32"/>
          <w:highlight w:val="none"/>
          <w:u w:val="none"/>
          <w14:textFill>
            <w14:solidFill>
              <w14:schemeClr w14:val="tx1"/>
            </w14:solidFill>
          </w14:textFill>
        </w:rPr>
        <w:t>全球经济发展趋势的不确定性风险，保持全区经济社会稳定健康发展，为光明专注科技创新、发展战略性新兴产业提供了相对宽松的经济环境。</w:t>
      </w:r>
    </w:p>
    <w:p w14:paraId="1FAF7B0F">
      <w:pPr>
        <w:spacing w:line="560" w:lineRule="exact"/>
        <w:ind w:firstLine="643" w:firstLineChars="200"/>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hAnsi="黑体" w:eastAsia="仿宋_GB2312"/>
          <w:b/>
          <w:color w:val="000000" w:themeColor="text1"/>
          <w:sz w:val="32"/>
          <w:szCs w:val="32"/>
          <w:highlight w:val="none"/>
          <w:u w:val="none"/>
          <w14:textFill>
            <w14:solidFill>
              <w14:schemeClr w14:val="tx1"/>
            </w14:solidFill>
          </w14:textFill>
        </w:rPr>
        <w:t>新型基础设施投资建设</w:t>
      </w:r>
      <w:r>
        <w:rPr>
          <w:rFonts w:hint="eastAsia" w:ascii="仿宋_GB2312" w:hAnsi="黑体" w:eastAsia="仿宋_GB2312"/>
          <w:b/>
          <w:color w:val="000000" w:themeColor="text1"/>
          <w:sz w:val="32"/>
          <w:szCs w:val="32"/>
          <w:highlight w:val="none"/>
          <w:u w:val="none"/>
          <w:lang w:eastAsia="zh-CN"/>
          <w14:textFill>
            <w14:solidFill>
              <w14:schemeClr w14:val="tx1"/>
            </w14:solidFill>
          </w14:textFill>
        </w:rPr>
        <w:t>不断加快</w:t>
      </w:r>
      <w:r>
        <w:rPr>
          <w:rFonts w:hint="eastAsia" w:ascii="仿宋_GB2312" w:hAnsi="黑体" w:eastAsia="仿宋_GB2312"/>
          <w:b/>
          <w:color w:val="000000" w:themeColor="text1"/>
          <w:sz w:val="32"/>
          <w:szCs w:val="32"/>
          <w:highlight w:val="none"/>
          <w:u w:val="none"/>
          <w14:textFill>
            <w14:solidFill>
              <w14:schemeClr w14:val="tx1"/>
            </w14:solidFill>
          </w14:textFill>
        </w:rPr>
        <w:t>。</w:t>
      </w:r>
      <w:r>
        <w:rPr>
          <w:rFonts w:hint="eastAsia" w:ascii="仿宋_GB2312" w:hAnsi="仿宋" w:eastAsia="仿宋_GB2312"/>
          <w:color w:val="000000" w:themeColor="text1"/>
          <w:sz w:val="32"/>
          <w:szCs w:val="32"/>
          <w:highlight w:val="none"/>
          <w:u w:val="none"/>
          <w14:textFill>
            <w14:solidFill>
              <w14:schemeClr w14:val="tx1"/>
            </w14:solidFill>
          </w14:textFill>
        </w:rPr>
        <w:t>以5G、人工智能、工业互联网、物联网等为代表的“新基建”，</w:t>
      </w:r>
      <w:r>
        <w:rPr>
          <w:rFonts w:hint="eastAsia" w:ascii="仿宋_GB2312" w:hAnsi="黑体" w:eastAsia="仿宋_GB2312"/>
          <w:color w:val="000000" w:themeColor="text1"/>
          <w:sz w:val="32"/>
          <w:szCs w:val="32"/>
          <w:highlight w:val="none"/>
          <w:u w:val="none"/>
          <w14:textFill>
            <w14:solidFill>
              <w14:schemeClr w14:val="tx1"/>
            </w14:solidFill>
          </w14:textFill>
        </w:rPr>
        <w:t>已成为“十四五”时期投资热点，将带来百万亿级的巨大市场需求，深圳凭借新一代信息技术的产业优势，将迎来新一轮产业增长，</w:t>
      </w:r>
      <w:r>
        <w:rPr>
          <w:rFonts w:hint="eastAsia" w:ascii="仿宋_GB2312" w:hAnsi="仿宋_GB2312" w:eastAsia="仿宋_GB2312"/>
          <w:color w:val="000000" w:themeColor="text1"/>
          <w:sz w:val="32"/>
          <w:szCs w:val="32"/>
          <w:highlight w:val="none"/>
          <w:u w:val="none"/>
          <w14:textFill>
            <w14:solidFill>
              <w14:schemeClr w14:val="tx1"/>
            </w14:solidFill>
          </w14:textFill>
        </w:rPr>
        <w:t>光明</w:t>
      </w:r>
      <w:r>
        <w:rPr>
          <w:rFonts w:hint="eastAsia" w:ascii="仿宋_GB2312" w:hAnsi="黑体" w:eastAsia="仿宋_GB2312"/>
          <w:color w:val="000000" w:themeColor="text1"/>
          <w:sz w:val="32"/>
          <w:szCs w:val="32"/>
          <w:highlight w:val="none"/>
          <w:u w:val="none"/>
          <w14:textFill>
            <w14:solidFill>
              <w14:schemeClr w14:val="tx1"/>
            </w14:solidFill>
          </w14:textFill>
        </w:rPr>
        <w:t>土地储备相对丰富、</w:t>
      </w:r>
      <w:r>
        <w:rPr>
          <w:rFonts w:hint="eastAsia" w:ascii="仿宋_GB2312" w:hAnsi="仿宋" w:eastAsia="仿宋_GB2312"/>
          <w:color w:val="000000" w:themeColor="text1"/>
          <w:sz w:val="32"/>
          <w:szCs w:val="32"/>
          <w:highlight w:val="none"/>
          <w:u w:val="none"/>
          <w14:textFill>
            <w14:solidFill>
              <w14:schemeClr w14:val="tx1"/>
            </w14:solidFill>
          </w14:textFill>
        </w:rPr>
        <w:t>重大科技基础设施密集布局，</w:t>
      </w:r>
      <w:r>
        <w:rPr>
          <w:rFonts w:hint="eastAsia" w:ascii="仿宋_GB2312" w:hAnsi="黑体" w:eastAsia="仿宋_GB2312"/>
          <w:color w:val="000000" w:themeColor="text1"/>
          <w:sz w:val="32"/>
          <w:szCs w:val="32"/>
          <w:highlight w:val="none"/>
          <w:u w:val="none"/>
          <w14:textFill>
            <w14:solidFill>
              <w14:schemeClr w14:val="tx1"/>
            </w14:solidFill>
          </w14:textFill>
        </w:rPr>
        <w:t>具有明显的后发优势，为光明区相关战略性新兴产业发展，创造了良好的外部条件和内在动力。</w:t>
      </w:r>
    </w:p>
    <w:p w14:paraId="2ABF1EF7">
      <w:pPr>
        <w:spacing w:line="560" w:lineRule="exact"/>
        <w:ind w:firstLine="643" w:firstLineChars="200"/>
        <w:rPr>
          <w:rFonts w:ascii="仿宋_GB2312" w:hAnsi="仿宋" w:eastAsia="仿宋_GB2312"/>
          <w:color w:val="000000" w:themeColor="text1"/>
          <w:sz w:val="32"/>
          <w:szCs w:val="32"/>
          <w:highlight w:val="none"/>
          <w:u w:val="none"/>
          <w14:textFill>
            <w14:solidFill>
              <w14:schemeClr w14:val="tx1"/>
            </w14:solidFill>
          </w14:textFill>
        </w:rPr>
      </w:pPr>
      <w:r>
        <w:rPr>
          <w:rFonts w:hint="eastAsia" w:ascii="仿宋_GB2312" w:hAnsi="仿宋" w:eastAsia="仿宋_GB2312"/>
          <w:b/>
          <w:color w:val="000000" w:themeColor="text1"/>
          <w:sz w:val="32"/>
          <w:szCs w:val="32"/>
          <w:highlight w:val="none"/>
          <w:u w:val="none"/>
          <w14:textFill>
            <w14:solidFill>
              <w14:schemeClr w14:val="tx1"/>
            </w14:solidFill>
          </w14:textFill>
        </w:rPr>
        <w:t>光明区成立提升区域发展能级。</w:t>
      </w:r>
      <w:r>
        <w:rPr>
          <w:rFonts w:hint="eastAsia" w:ascii="仿宋_GB2312" w:hAnsi="仿宋" w:eastAsia="仿宋_GB2312"/>
          <w:color w:val="000000" w:themeColor="text1"/>
          <w:sz w:val="32"/>
          <w:szCs w:val="32"/>
          <w:highlight w:val="none"/>
          <w:u w:val="none"/>
          <w14:textFill>
            <w14:solidFill>
              <w14:schemeClr w14:val="tx1"/>
            </w14:solidFill>
          </w14:textFill>
        </w:rPr>
        <w:t>光明区从功能区转变为行政区，光明区一届一次党代会确定了“四城两区”战略目标，开启了建设新光明、开创新未来的历史新征程，使得光明区具有完善的政治功能、完备的行政架构、更多的自主权利，为光明区破除体制机制障碍、推进特区高质量一体化发展、开辟更大的发展空间增添了强劲动力，可以更好地助力深圳市建设中国特色社会主义先行示范区。</w:t>
      </w:r>
      <w:bookmarkStart w:id="24" w:name="_Toc53583302"/>
    </w:p>
    <w:p w14:paraId="53E7FB49">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25" w:name="_Toc10293"/>
      <w:bookmarkStart w:id="26" w:name="_Toc56442298"/>
      <w:bookmarkStart w:id="27" w:name="_Toc27043"/>
      <w:bookmarkStart w:id="28" w:name="_Toc5805"/>
      <w:bookmarkStart w:id="29" w:name="_Toc4674"/>
      <w:r>
        <w:rPr>
          <w:rFonts w:hint="eastAsia" w:ascii="楷体_GB2312" w:hAnsi="楷体_GB2312" w:eastAsia="楷体_GB2312" w:cs="楷体_GB2312"/>
          <w:color w:val="000000" w:themeColor="text1"/>
          <w:highlight w:val="none"/>
          <w:u w:val="none"/>
          <w14:textFill>
            <w14:solidFill>
              <w14:schemeClr w14:val="tx1"/>
            </w14:solidFill>
          </w14:textFill>
        </w:rPr>
        <w:t>（三）面临挑战</w:t>
      </w:r>
      <w:bookmarkEnd w:id="24"/>
      <w:bookmarkEnd w:id="25"/>
      <w:bookmarkEnd w:id="26"/>
      <w:bookmarkEnd w:id="27"/>
      <w:bookmarkEnd w:id="28"/>
      <w:bookmarkEnd w:id="29"/>
    </w:p>
    <w:p w14:paraId="38C78575">
      <w:pPr>
        <w:spacing w:line="560" w:lineRule="exact"/>
        <w:ind w:firstLine="640" w:firstLineChars="200"/>
        <w:rPr>
          <w:rFonts w:ascii="仿宋_GB2312" w:hAnsi="仿宋" w:eastAsia="仿宋_GB2312" w:cs="仿宋_GB2312"/>
          <w:color w:val="000000" w:themeColor="text1"/>
          <w:sz w:val="32"/>
          <w:szCs w:val="32"/>
          <w:highlight w:val="none"/>
          <w:u w:val="none"/>
          <w14:textFill>
            <w14:solidFill>
              <w14:schemeClr w14:val="tx1"/>
            </w14:solidFill>
          </w14:textFill>
        </w:rPr>
      </w:pPr>
      <w:r>
        <w:rPr>
          <w:rFonts w:hint="eastAsia" w:ascii="仿宋_GB2312" w:hAnsi="黑体" w:eastAsia="仿宋_GB2312"/>
          <w:color w:val="000000" w:themeColor="text1"/>
          <w:sz w:val="32"/>
          <w:szCs w:val="32"/>
          <w:highlight w:val="none"/>
          <w:u w:val="none"/>
          <w14:textFill>
            <w14:solidFill>
              <w14:schemeClr w14:val="tx1"/>
            </w14:solidFill>
          </w14:textFill>
        </w:rPr>
        <w:t>光明区在处于大有可为的战略机遇期的同时，也面临着前所未有的重大挑战。</w:t>
      </w:r>
    </w:p>
    <w:p w14:paraId="351CB15D">
      <w:pPr>
        <w:spacing w:line="560" w:lineRule="exact"/>
        <w:ind w:firstLine="643" w:firstLineChars="200"/>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hAnsi="仿宋" w:eastAsia="仿宋_GB2312" w:cs="Mongolian Baiti"/>
          <w:b/>
          <w:color w:val="000000" w:themeColor="text1"/>
          <w:kern w:val="0"/>
          <w:sz w:val="32"/>
          <w:szCs w:val="32"/>
          <w:highlight w:val="none"/>
          <w:u w:val="none"/>
          <w14:textFill>
            <w14:solidFill>
              <w14:schemeClr w14:val="tx1"/>
            </w14:solidFill>
          </w14:textFill>
        </w:rPr>
        <w:t>全球经济不确定性增加</w:t>
      </w:r>
      <w:r>
        <w:rPr>
          <w:rFonts w:hint="eastAsia" w:ascii="仿宋_GB2312" w:hAnsi="Mongolian Baiti" w:eastAsia="仿宋_GB2312" w:cs="Mongolian Baiti"/>
          <w:b/>
          <w:color w:val="000000" w:themeColor="text1"/>
          <w:kern w:val="0"/>
          <w:sz w:val="32"/>
          <w:szCs w:val="32"/>
          <w:highlight w:val="none"/>
          <w:u w:val="none"/>
          <w14:textFill>
            <w14:solidFill>
              <w14:schemeClr w14:val="tx1"/>
            </w14:solidFill>
          </w14:textFill>
        </w:rPr>
        <w:t>。</w:t>
      </w:r>
      <w:r>
        <w:rPr>
          <w:rFonts w:hint="eastAsia" w:ascii="仿宋_GB2312" w:hAnsi="仿宋" w:eastAsia="仿宋_GB2312" w:cs="仿宋_GB2312"/>
          <w:color w:val="000000" w:themeColor="text1"/>
          <w:sz w:val="32"/>
          <w:szCs w:val="32"/>
          <w:highlight w:val="none"/>
          <w:u w:val="none"/>
          <w14:textFill>
            <w14:solidFill>
              <w14:schemeClr w14:val="tx1"/>
            </w14:solidFill>
          </w14:textFill>
        </w:rPr>
        <w:t>新冠肺炎疫情肆虐全球，从需求和供给两端冲击各国经济，形成史无前例的全球性危机，深刻影响全球产业链、供应链。同时，中美间的政经博弈愈加激烈，</w:t>
      </w:r>
      <w:r>
        <w:rPr>
          <w:rFonts w:hint="eastAsia" w:ascii="仿宋_GB2312" w:hAnsi="黑体" w:eastAsia="仿宋_GB2312"/>
          <w:color w:val="000000" w:themeColor="text1"/>
          <w:sz w:val="32"/>
          <w:szCs w:val="32"/>
          <w:highlight w:val="none"/>
          <w:u w:val="none"/>
          <w14:textFill>
            <w14:solidFill>
              <w14:schemeClr w14:val="tx1"/>
            </w14:solidFill>
          </w14:textFill>
        </w:rPr>
        <w:t>中美贸易摩擦转入长期竞争态势，关键核心技术设备面</w:t>
      </w:r>
      <w:r>
        <w:rPr>
          <w:rFonts w:ascii="仿宋_GB2312" w:hAnsi="黑体" w:eastAsia="仿宋_GB2312"/>
          <w:color w:val="000000" w:themeColor="text1"/>
          <w:sz w:val="32"/>
          <w:szCs w:val="32"/>
          <w:highlight w:val="none"/>
          <w:u w:val="none"/>
          <w14:textFill>
            <w14:solidFill>
              <w14:schemeClr w14:val="tx1"/>
            </w14:solidFill>
          </w14:textFill>
        </w:rPr>
        <w:t>临</w:t>
      </w:r>
      <w:r>
        <w:rPr>
          <w:rFonts w:hint="eastAsia" w:ascii="仿宋_GB2312" w:hAnsi="黑体" w:eastAsia="仿宋_GB2312"/>
          <w:color w:val="000000" w:themeColor="text1"/>
          <w:sz w:val="32"/>
          <w:szCs w:val="32"/>
          <w:highlight w:val="none"/>
          <w:u w:val="none"/>
          <w14:textFill>
            <w14:solidFill>
              <w14:schemeClr w14:val="tx1"/>
            </w14:solidFill>
          </w14:textFill>
        </w:rPr>
        <w:t>断供风险，欧日等发达经济体经济增速持续放缓、外需不振的局面中长期存在，</w:t>
      </w:r>
      <w:r>
        <w:rPr>
          <w:rFonts w:hint="eastAsia" w:ascii="仿宋_GB2312" w:hAnsi="黑体" w:eastAsia="仿宋_GB2312"/>
          <w:color w:val="000000" w:themeColor="text1"/>
          <w:sz w:val="32"/>
          <w:szCs w:val="32"/>
          <w:highlight w:val="none"/>
          <w:u w:val="none"/>
          <w:lang w:eastAsia="zh-CN"/>
          <w14:textFill>
            <w14:solidFill>
              <w14:schemeClr w14:val="tx1"/>
            </w14:solidFill>
          </w14:textFill>
        </w:rPr>
        <w:t>上述因素</w:t>
      </w:r>
      <w:r>
        <w:rPr>
          <w:rFonts w:hint="eastAsia" w:ascii="仿宋_GB2312" w:hAnsi="黑体" w:eastAsia="仿宋_GB2312"/>
          <w:color w:val="000000" w:themeColor="text1"/>
          <w:sz w:val="32"/>
          <w:szCs w:val="32"/>
          <w:highlight w:val="none"/>
          <w:u w:val="none"/>
          <w14:textFill>
            <w14:solidFill>
              <w14:schemeClr w14:val="tx1"/>
            </w14:solidFill>
          </w14:textFill>
        </w:rPr>
        <w:t>给全球经贸形势、产业发展和国际技术合作带来负面影响，不仅对光明区产业和科技创新发展不利，也会放大区内目前产业规模和基础还较为薄弱等问题，</w:t>
      </w:r>
      <w:r>
        <w:rPr>
          <w:rFonts w:hint="eastAsia" w:ascii="仿宋_GB2312" w:hAnsi="黑体" w:eastAsia="仿宋_GB2312"/>
          <w:color w:val="000000" w:themeColor="text1"/>
          <w:sz w:val="32"/>
          <w:szCs w:val="32"/>
          <w:highlight w:val="none"/>
          <w:u w:val="none"/>
          <w:lang w:eastAsia="zh-CN"/>
          <w14:textFill>
            <w14:solidFill>
              <w14:schemeClr w14:val="tx1"/>
            </w14:solidFill>
          </w14:textFill>
        </w:rPr>
        <w:t>对</w:t>
      </w:r>
      <w:r>
        <w:rPr>
          <w:rFonts w:hint="eastAsia" w:ascii="仿宋_GB2312" w:hAnsi="黑体" w:eastAsia="仿宋_GB2312"/>
          <w:color w:val="000000" w:themeColor="text1"/>
          <w:sz w:val="32"/>
          <w:szCs w:val="32"/>
          <w:highlight w:val="none"/>
          <w:u w:val="none"/>
          <w14:textFill>
            <w14:solidFill>
              <w14:schemeClr w14:val="tx1"/>
            </w14:solidFill>
          </w14:textFill>
        </w:rPr>
        <w:t>“十四五”战略性新兴产业可持续健康发展形成较大冲击。</w:t>
      </w:r>
    </w:p>
    <w:p w14:paraId="481BFE5C">
      <w:pPr>
        <w:spacing w:line="560" w:lineRule="exact"/>
        <w:ind w:firstLine="643" w:firstLineChars="200"/>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hAnsi="黑体" w:eastAsia="仿宋_GB2312"/>
          <w:b/>
          <w:color w:val="000000" w:themeColor="text1"/>
          <w:sz w:val="32"/>
          <w:szCs w:val="32"/>
          <w:highlight w:val="none"/>
          <w:u w:val="none"/>
          <w14:textFill>
            <w14:solidFill>
              <w14:schemeClr w14:val="tx1"/>
            </w14:solidFill>
          </w14:textFill>
        </w:rPr>
        <w:t>区域间产业竞争日趋激烈。</w:t>
      </w:r>
      <w:r>
        <w:rPr>
          <w:rFonts w:hint="eastAsia" w:ascii="仿宋_GB2312" w:hAnsi="黑体" w:eastAsia="仿宋_GB2312"/>
          <w:color w:val="000000" w:themeColor="text1"/>
          <w:sz w:val="32"/>
          <w:szCs w:val="32"/>
          <w:highlight w:val="none"/>
          <w:u w:val="none"/>
          <w14:textFill>
            <w14:solidFill>
              <w14:schemeClr w14:val="tx1"/>
            </w14:solidFill>
          </w14:textFill>
        </w:rPr>
        <w:t>江西、湖南、湖北以及周边城市都在大力发展战略性新兴产业，政策优惠力度之大远超过光明区，加之土地、劳动力成本较低，削弱了光明区的制造业比较优势。同时，深圳各区、周边城市不断加大科技创新载体布局。广州南沙正在建设40平方公里的科学城；东莞松山湖科学园自华为入驻后，已渐成气候，滨海湾新区也蓄势待发；惠州潼湖科学园在高校科技成果转化方面独树一帜，已得到教育部的大力支持和众多高校响应。这些标志大湾区在制造业之后的新一轮科技创新资源竞争即将来临。</w:t>
      </w:r>
    </w:p>
    <w:p w14:paraId="5980E973">
      <w:pPr>
        <w:spacing w:line="560" w:lineRule="exact"/>
        <w:ind w:firstLine="643" w:firstLineChars="200"/>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hAnsi="黑体" w:eastAsia="仿宋_GB2312"/>
          <w:b/>
          <w:color w:val="000000" w:themeColor="text1"/>
          <w:sz w:val="32"/>
          <w:szCs w:val="32"/>
          <w:highlight w:val="none"/>
          <w:u w:val="none"/>
          <w14:textFill>
            <w14:solidFill>
              <w14:schemeClr w14:val="tx1"/>
            </w14:solidFill>
          </w14:textFill>
        </w:rPr>
        <w:t>自身发展还存在诸多问题。</w:t>
      </w:r>
      <w:r>
        <w:rPr>
          <w:rFonts w:hint="eastAsia" w:ascii="仿宋_GB2312" w:hAnsi="黑体" w:eastAsia="仿宋_GB2312"/>
          <w:color w:val="000000" w:themeColor="text1"/>
          <w:sz w:val="32"/>
          <w:szCs w:val="32"/>
          <w:highlight w:val="none"/>
          <w:u w:val="none"/>
          <w14:textFill>
            <w14:solidFill>
              <w14:schemeClr w14:val="tx1"/>
            </w14:solidFill>
          </w14:textFill>
        </w:rPr>
        <w:t>尽管“十三五”时期产业发展取得了巨大成就，但还有许多不足和短板，主要表现在现有产业体系与赋予光明区的新使命新定位不匹配，创新生态体系与世界一流科学城建设不匹配，产</w:t>
      </w:r>
      <w:r>
        <w:rPr>
          <w:rFonts w:ascii="仿宋_GB2312" w:hAnsi="黑体" w:eastAsia="仿宋_GB2312"/>
          <w:color w:val="000000" w:themeColor="text1"/>
          <w:sz w:val="32"/>
          <w:szCs w:val="32"/>
          <w:highlight w:val="none"/>
          <w:u w:val="none"/>
          <w14:textFill>
            <w14:solidFill>
              <w14:schemeClr w14:val="tx1"/>
            </w14:solidFill>
          </w14:textFill>
        </w:rPr>
        <w:t>业用地成本</w:t>
      </w:r>
      <w:r>
        <w:rPr>
          <w:rFonts w:hint="eastAsia" w:ascii="仿宋_GB2312" w:hAnsi="黑体" w:eastAsia="仿宋_GB2312"/>
          <w:color w:val="000000" w:themeColor="text1"/>
          <w:sz w:val="32"/>
          <w:szCs w:val="32"/>
          <w:highlight w:val="none"/>
          <w:u w:val="none"/>
          <w14:textFill>
            <w14:solidFill>
              <w14:schemeClr w14:val="tx1"/>
            </w14:solidFill>
          </w14:textFill>
        </w:rPr>
        <w:t>不</w:t>
      </w:r>
      <w:r>
        <w:rPr>
          <w:rFonts w:ascii="仿宋_GB2312" w:hAnsi="黑体" w:eastAsia="仿宋_GB2312"/>
          <w:color w:val="000000" w:themeColor="text1"/>
          <w:sz w:val="32"/>
          <w:szCs w:val="32"/>
          <w:highlight w:val="none"/>
          <w:u w:val="none"/>
          <w14:textFill>
            <w14:solidFill>
              <w14:schemeClr w14:val="tx1"/>
            </w14:solidFill>
          </w14:textFill>
        </w:rPr>
        <w:t>断</w:t>
      </w:r>
      <w:r>
        <w:rPr>
          <w:rFonts w:hint="eastAsia" w:ascii="仿宋_GB2312" w:hAnsi="黑体" w:eastAsia="仿宋_GB2312"/>
          <w:color w:val="000000" w:themeColor="text1"/>
          <w:sz w:val="32"/>
          <w:szCs w:val="32"/>
          <w:highlight w:val="none"/>
          <w:u w:val="none"/>
          <w14:textFill>
            <w14:solidFill>
              <w14:schemeClr w14:val="tx1"/>
            </w14:solidFill>
          </w14:textFill>
        </w:rPr>
        <w:t>攀</w:t>
      </w:r>
      <w:r>
        <w:rPr>
          <w:rFonts w:ascii="仿宋_GB2312" w:hAnsi="黑体" w:eastAsia="仿宋_GB2312"/>
          <w:color w:val="000000" w:themeColor="text1"/>
          <w:sz w:val="32"/>
          <w:szCs w:val="32"/>
          <w:highlight w:val="none"/>
          <w:u w:val="none"/>
          <w14:textFill>
            <w14:solidFill>
              <w14:schemeClr w14:val="tx1"/>
            </w14:solidFill>
          </w14:textFill>
        </w:rPr>
        <w:t>升</w:t>
      </w:r>
      <w:r>
        <w:rPr>
          <w:rFonts w:hint="default" w:ascii="仿宋_GB2312" w:hAnsi="黑体" w:eastAsia="仿宋_GB2312"/>
          <w:color w:val="000000" w:themeColor="text1"/>
          <w:sz w:val="32"/>
          <w:szCs w:val="32"/>
          <w:highlight w:val="none"/>
          <w:u w:val="none"/>
          <w:lang w:val="en-US"/>
          <w14:textFill>
            <w14:solidFill>
              <w14:schemeClr w14:val="tx1"/>
            </w14:solidFill>
          </w14:textFill>
        </w:rPr>
        <w:t>,投入产出效率有待进一步提升</w:t>
      </w:r>
      <w:r>
        <w:rPr>
          <w:rFonts w:ascii="仿宋_GB2312" w:hAnsi="黑体" w:eastAsia="仿宋_GB2312"/>
          <w:color w:val="000000" w:themeColor="text1"/>
          <w:sz w:val="32"/>
          <w:szCs w:val="32"/>
          <w:highlight w:val="none"/>
          <w:u w:val="none"/>
          <w14:textFill>
            <w14:solidFill>
              <w14:schemeClr w14:val="tx1"/>
            </w14:solidFill>
          </w14:textFill>
        </w:rPr>
        <w:t>等</w:t>
      </w:r>
      <w:r>
        <w:rPr>
          <w:rFonts w:hint="eastAsia" w:ascii="仿宋_GB2312" w:hAnsi="黑体" w:eastAsia="仿宋_GB2312"/>
          <w:color w:val="000000" w:themeColor="text1"/>
          <w:sz w:val="32"/>
          <w:szCs w:val="32"/>
          <w:highlight w:val="none"/>
          <w:u w:val="none"/>
          <w14:textFill>
            <w14:solidFill>
              <w14:schemeClr w14:val="tx1"/>
            </w14:solidFill>
          </w14:textFill>
        </w:rPr>
        <w:t>，</w:t>
      </w:r>
      <w:r>
        <w:rPr>
          <w:rFonts w:ascii="仿宋_GB2312" w:hAnsi="黑体" w:eastAsia="仿宋_GB2312"/>
          <w:color w:val="000000" w:themeColor="text1"/>
          <w:sz w:val="32"/>
          <w:szCs w:val="32"/>
          <w:highlight w:val="none"/>
          <w:u w:val="none"/>
          <w14:textFill>
            <w14:solidFill>
              <w14:schemeClr w14:val="tx1"/>
            </w14:solidFill>
          </w14:textFill>
        </w:rPr>
        <w:t>这些为</w:t>
      </w:r>
      <w:r>
        <w:rPr>
          <w:rFonts w:hint="eastAsia" w:ascii="仿宋_GB2312" w:hAnsi="黑体" w:eastAsia="仿宋_GB2312"/>
          <w:color w:val="000000" w:themeColor="text1"/>
          <w:sz w:val="32"/>
          <w:szCs w:val="32"/>
          <w:highlight w:val="none"/>
          <w:u w:val="none"/>
          <w14:textFill>
            <w14:solidFill>
              <w14:schemeClr w14:val="tx1"/>
            </w14:solidFill>
          </w14:textFill>
        </w:rPr>
        <w:t>“十</w:t>
      </w:r>
      <w:r>
        <w:rPr>
          <w:rFonts w:ascii="仿宋_GB2312" w:hAnsi="黑体" w:eastAsia="仿宋_GB2312"/>
          <w:color w:val="000000" w:themeColor="text1"/>
          <w:sz w:val="32"/>
          <w:szCs w:val="32"/>
          <w:highlight w:val="none"/>
          <w:u w:val="none"/>
          <w14:textFill>
            <w14:solidFill>
              <w14:schemeClr w14:val="tx1"/>
            </w14:solidFill>
          </w14:textFill>
        </w:rPr>
        <w:t>四五”</w:t>
      </w:r>
      <w:r>
        <w:rPr>
          <w:rFonts w:hint="eastAsia" w:ascii="仿宋_GB2312" w:hAnsi="黑体" w:eastAsia="仿宋_GB2312"/>
          <w:color w:val="000000" w:themeColor="text1"/>
          <w:sz w:val="32"/>
          <w:szCs w:val="32"/>
          <w:highlight w:val="none"/>
          <w:u w:val="none"/>
          <w14:textFill>
            <w14:solidFill>
              <w14:schemeClr w14:val="tx1"/>
            </w14:solidFill>
          </w14:textFill>
        </w:rPr>
        <w:t>时</w:t>
      </w:r>
      <w:r>
        <w:rPr>
          <w:rFonts w:ascii="仿宋_GB2312" w:hAnsi="黑体" w:eastAsia="仿宋_GB2312"/>
          <w:color w:val="000000" w:themeColor="text1"/>
          <w:sz w:val="32"/>
          <w:szCs w:val="32"/>
          <w:highlight w:val="none"/>
          <w:u w:val="none"/>
          <w14:textFill>
            <w14:solidFill>
              <w14:schemeClr w14:val="tx1"/>
            </w14:solidFill>
          </w14:textFill>
        </w:rPr>
        <w:t>期</w:t>
      </w:r>
      <w:r>
        <w:rPr>
          <w:rFonts w:hint="eastAsia" w:ascii="仿宋_GB2312" w:hAnsi="黑体" w:eastAsia="仿宋_GB2312"/>
          <w:color w:val="000000" w:themeColor="text1"/>
          <w:sz w:val="32"/>
          <w:szCs w:val="32"/>
          <w:highlight w:val="none"/>
          <w:u w:val="none"/>
          <w14:textFill>
            <w14:solidFill>
              <w14:schemeClr w14:val="tx1"/>
            </w14:solidFill>
          </w14:textFill>
        </w:rPr>
        <w:t>进</w:t>
      </w:r>
      <w:r>
        <w:rPr>
          <w:rFonts w:ascii="仿宋_GB2312" w:hAnsi="黑体" w:eastAsia="仿宋_GB2312"/>
          <w:color w:val="000000" w:themeColor="text1"/>
          <w:sz w:val="32"/>
          <w:szCs w:val="32"/>
          <w:highlight w:val="none"/>
          <w:u w:val="none"/>
          <w14:textFill>
            <w14:solidFill>
              <w14:schemeClr w14:val="tx1"/>
            </w14:solidFill>
          </w14:textFill>
        </w:rPr>
        <w:t>一步</w:t>
      </w:r>
      <w:r>
        <w:rPr>
          <w:rFonts w:hint="eastAsia" w:ascii="仿宋_GB2312" w:hAnsi="黑体" w:eastAsia="仿宋_GB2312"/>
          <w:color w:val="000000" w:themeColor="text1"/>
          <w:sz w:val="32"/>
          <w:szCs w:val="32"/>
          <w:highlight w:val="none"/>
          <w:u w:val="none"/>
          <w14:textFill>
            <w14:solidFill>
              <w14:schemeClr w14:val="tx1"/>
            </w14:solidFill>
          </w14:textFill>
        </w:rPr>
        <w:t>推</w:t>
      </w:r>
      <w:r>
        <w:rPr>
          <w:rFonts w:ascii="仿宋_GB2312" w:hAnsi="黑体" w:eastAsia="仿宋_GB2312"/>
          <w:color w:val="000000" w:themeColor="text1"/>
          <w:sz w:val="32"/>
          <w:szCs w:val="32"/>
          <w:highlight w:val="none"/>
          <w:u w:val="none"/>
          <w14:textFill>
            <w14:solidFill>
              <w14:schemeClr w14:val="tx1"/>
            </w14:solidFill>
          </w14:textFill>
        </w:rPr>
        <w:t>动</w:t>
      </w:r>
      <w:r>
        <w:rPr>
          <w:rFonts w:hint="eastAsia" w:ascii="仿宋_GB2312" w:hAnsi="黑体" w:eastAsia="仿宋_GB2312"/>
          <w:color w:val="000000" w:themeColor="text1"/>
          <w:sz w:val="32"/>
          <w:szCs w:val="32"/>
          <w:highlight w:val="none"/>
          <w:u w:val="none"/>
          <w14:textFill>
            <w14:solidFill>
              <w14:schemeClr w14:val="tx1"/>
            </w14:solidFill>
          </w14:textFill>
        </w:rPr>
        <w:t>战略</w:t>
      </w:r>
      <w:r>
        <w:rPr>
          <w:rFonts w:ascii="仿宋_GB2312" w:hAnsi="黑体" w:eastAsia="仿宋_GB2312"/>
          <w:color w:val="000000" w:themeColor="text1"/>
          <w:sz w:val="32"/>
          <w:szCs w:val="32"/>
          <w:highlight w:val="none"/>
          <w:u w:val="none"/>
          <w14:textFill>
            <w14:solidFill>
              <w14:schemeClr w14:val="tx1"/>
            </w14:solidFill>
          </w14:textFill>
        </w:rPr>
        <w:t>性新兴产业高质量、高标准发展提</w:t>
      </w:r>
      <w:r>
        <w:rPr>
          <w:rFonts w:hint="eastAsia" w:ascii="仿宋_GB2312" w:hAnsi="黑体" w:eastAsia="仿宋_GB2312"/>
          <w:color w:val="000000" w:themeColor="text1"/>
          <w:sz w:val="32"/>
          <w:szCs w:val="32"/>
          <w:highlight w:val="none"/>
          <w:u w:val="none"/>
          <w14:textFill>
            <w14:solidFill>
              <w14:schemeClr w14:val="tx1"/>
            </w14:solidFill>
          </w14:textFill>
        </w:rPr>
        <w:t>出</w:t>
      </w:r>
      <w:r>
        <w:rPr>
          <w:rFonts w:ascii="仿宋_GB2312" w:hAnsi="黑体" w:eastAsia="仿宋_GB2312"/>
          <w:color w:val="000000" w:themeColor="text1"/>
          <w:sz w:val="32"/>
          <w:szCs w:val="32"/>
          <w:highlight w:val="none"/>
          <w:u w:val="none"/>
          <w14:textFill>
            <w14:solidFill>
              <w14:schemeClr w14:val="tx1"/>
            </w14:solidFill>
          </w14:textFill>
        </w:rPr>
        <w:t>了挑战</w:t>
      </w:r>
      <w:r>
        <w:rPr>
          <w:rFonts w:hint="eastAsia" w:ascii="仿宋_GB2312" w:hAnsi="黑体" w:eastAsia="仿宋_GB2312"/>
          <w:color w:val="000000" w:themeColor="text1"/>
          <w:sz w:val="32"/>
          <w:szCs w:val="32"/>
          <w:highlight w:val="none"/>
          <w:u w:val="none"/>
          <w14:textFill>
            <w14:solidFill>
              <w14:schemeClr w14:val="tx1"/>
            </w14:solidFill>
          </w14:textFill>
        </w:rPr>
        <w:t>。同时</w:t>
      </w:r>
      <w:r>
        <w:rPr>
          <w:rFonts w:ascii="仿宋_GB2312" w:hAnsi="黑体" w:eastAsia="仿宋_GB2312"/>
          <w:color w:val="000000" w:themeColor="text1"/>
          <w:sz w:val="32"/>
          <w:szCs w:val="32"/>
          <w:highlight w:val="none"/>
          <w:u w:val="none"/>
          <w14:textFill>
            <w14:solidFill>
              <w14:schemeClr w14:val="tx1"/>
            </w14:solidFill>
          </w14:textFill>
        </w:rPr>
        <w:t>，</w:t>
      </w:r>
      <w:r>
        <w:rPr>
          <w:rFonts w:hint="eastAsia" w:ascii="仿宋_GB2312" w:hAnsi="黑体" w:eastAsia="仿宋_GB2312"/>
          <w:color w:val="000000" w:themeColor="text1"/>
          <w:sz w:val="32"/>
          <w:szCs w:val="32"/>
          <w:highlight w:val="none"/>
          <w:u w:val="none"/>
          <w14:textFill>
            <w14:solidFill>
              <w14:schemeClr w14:val="tx1"/>
            </w14:solidFill>
          </w14:textFill>
        </w:rPr>
        <w:t>与南山、宝安、龙岗等</w:t>
      </w:r>
      <w:r>
        <w:rPr>
          <w:rFonts w:ascii="仿宋_GB2312" w:hAnsi="黑体" w:eastAsia="仿宋_GB2312"/>
          <w:color w:val="000000" w:themeColor="text1"/>
          <w:sz w:val="32"/>
          <w:szCs w:val="32"/>
          <w:highlight w:val="none"/>
          <w:u w:val="none"/>
          <w14:textFill>
            <w14:solidFill>
              <w14:schemeClr w14:val="tx1"/>
            </w14:solidFill>
          </w14:textFill>
        </w:rPr>
        <w:t>战略性新兴产业集聚区相较，</w:t>
      </w:r>
      <w:r>
        <w:rPr>
          <w:rFonts w:hint="eastAsia" w:ascii="仿宋_GB2312" w:hAnsi="黑体" w:eastAsia="仿宋_GB2312"/>
          <w:color w:val="000000" w:themeColor="text1"/>
          <w:sz w:val="32"/>
          <w:szCs w:val="32"/>
          <w:highlight w:val="none"/>
          <w:u w:val="none"/>
          <w14:textFill>
            <w14:solidFill>
              <w14:schemeClr w14:val="tx1"/>
            </w14:solidFill>
          </w14:textFill>
        </w:rPr>
        <w:t>光明区战略性新兴产业整体规模较</w:t>
      </w:r>
      <w:r>
        <w:rPr>
          <w:rFonts w:ascii="仿宋_GB2312" w:hAnsi="黑体" w:eastAsia="仿宋_GB2312"/>
          <w:color w:val="000000" w:themeColor="text1"/>
          <w:sz w:val="32"/>
          <w:szCs w:val="32"/>
          <w:highlight w:val="none"/>
          <w:u w:val="none"/>
          <w14:textFill>
            <w14:solidFill>
              <w14:schemeClr w14:val="tx1"/>
            </w14:solidFill>
          </w14:textFill>
        </w:rPr>
        <w:t>小</w:t>
      </w:r>
      <w:r>
        <w:rPr>
          <w:rFonts w:hint="eastAsia" w:ascii="仿宋_GB2312" w:hAnsi="黑体" w:eastAsia="仿宋_GB2312"/>
          <w:color w:val="000000" w:themeColor="text1"/>
          <w:sz w:val="32"/>
          <w:szCs w:val="32"/>
          <w:highlight w:val="none"/>
          <w:u w:val="none"/>
          <w14:textFill>
            <w14:solidFill>
              <w14:schemeClr w14:val="tx1"/>
            </w14:solidFill>
          </w14:textFill>
        </w:rPr>
        <w:t>，在核心技术、关键零部件等方面竞争力不强，平台主导型和骨干企业较少，对科技型中小企业、创新创业团队和人才的吸引力不强，生产生活生态配套服务还不够完善，在一定程度上制约了光明区战略性新兴产业的跨越式发展。这些问题都需要在“十四五”期间加以解决。</w:t>
      </w:r>
      <w:bookmarkStart w:id="30" w:name="_Toc6277_WPSOffice_Level2"/>
      <w:bookmarkStart w:id="31" w:name="_Toc22305522"/>
      <w:bookmarkStart w:id="32" w:name="_Toc42762152"/>
      <w:bookmarkStart w:id="33" w:name="_Toc36286611"/>
      <w:bookmarkStart w:id="34" w:name="_Toc53583303"/>
    </w:p>
    <w:p w14:paraId="31FCC947">
      <w:pPr>
        <w:pStyle w:val="4"/>
        <w:spacing w:before="0" w:after="0" w:line="560" w:lineRule="exact"/>
        <w:ind w:firstLine="643" w:firstLineChars="200"/>
        <w:rPr>
          <w:rFonts w:ascii="黑体" w:hAnsi="黑体" w:eastAsia="黑体"/>
          <w:color w:val="000000" w:themeColor="text1"/>
          <w:highlight w:val="none"/>
          <w:u w:val="none"/>
          <w14:textFill>
            <w14:solidFill>
              <w14:schemeClr w14:val="tx1"/>
            </w14:solidFill>
          </w14:textFill>
        </w:rPr>
      </w:pPr>
      <w:bookmarkStart w:id="35" w:name="_Toc5312"/>
      <w:bookmarkStart w:id="36" w:name="_Toc56442299"/>
      <w:bookmarkStart w:id="37" w:name="_Toc21639"/>
      <w:bookmarkStart w:id="38" w:name="_Toc11349"/>
      <w:bookmarkStart w:id="39" w:name="_Toc27219"/>
      <w:r>
        <w:rPr>
          <w:rFonts w:hint="eastAsia" w:ascii="黑体" w:hAnsi="黑体" w:eastAsia="黑体"/>
          <w:color w:val="000000" w:themeColor="text1"/>
          <w:highlight w:val="none"/>
          <w:u w:val="none"/>
          <w14:textFill>
            <w14:solidFill>
              <w14:schemeClr w14:val="tx1"/>
            </w14:solidFill>
          </w14:textFill>
        </w:rPr>
        <w:t>二、</w:t>
      </w:r>
      <w:bookmarkEnd w:id="30"/>
      <w:bookmarkEnd w:id="31"/>
      <w:bookmarkEnd w:id="32"/>
      <w:bookmarkEnd w:id="33"/>
      <w:r>
        <w:rPr>
          <w:rFonts w:hint="eastAsia" w:ascii="黑体" w:hAnsi="黑体" w:eastAsia="黑体"/>
          <w:color w:val="000000" w:themeColor="text1"/>
          <w:highlight w:val="none"/>
          <w:u w:val="none"/>
          <w14:textFill>
            <w14:solidFill>
              <w14:schemeClr w14:val="tx1"/>
            </w14:solidFill>
          </w14:textFill>
        </w:rPr>
        <w:t>总体要求</w:t>
      </w:r>
      <w:bookmarkEnd w:id="34"/>
      <w:bookmarkEnd w:id="35"/>
      <w:bookmarkEnd w:id="36"/>
      <w:bookmarkEnd w:id="37"/>
      <w:bookmarkEnd w:id="38"/>
      <w:bookmarkEnd w:id="39"/>
      <w:bookmarkStart w:id="40" w:name="_Toc53583304"/>
    </w:p>
    <w:p w14:paraId="578F80F3">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41" w:name="_Toc27306"/>
      <w:bookmarkStart w:id="42" w:name="_Toc56442300"/>
      <w:bookmarkStart w:id="43" w:name="_Toc15108"/>
      <w:bookmarkStart w:id="44" w:name="_Toc6087"/>
      <w:bookmarkStart w:id="45" w:name="_Toc21521"/>
      <w:r>
        <w:rPr>
          <w:rFonts w:hint="eastAsia" w:ascii="楷体_GB2312" w:hAnsi="楷体_GB2312" w:eastAsia="楷体_GB2312" w:cs="楷体_GB2312"/>
          <w:color w:val="000000" w:themeColor="text1"/>
          <w:highlight w:val="none"/>
          <w:u w:val="none"/>
          <w14:textFill>
            <w14:solidFill>
              <w14:schemeClr w14:val="tx1"/>
            </w14:solidFill>
          </w14:textFill>
        </w:rPr>
        <w:t>（一）指导思想</w:t>
      </w:r>
      <w:bookmarkEnd w:id="40"/>
      <w:bookmarkEnd w:id="41"/>
      <w:bookmarkEnd w:id="42"/>
      <w:bookmarkEnd w:id="43"/>
      <w:bookmarkEnd w:id="44"/>
      <w:bookmarkEnd w:id="45"/>
    </w:p>
    <w:p w14:paraId="77643374">
      <w:pPr>
        <w:pStyle w:val="2"/>
        <w:spacing w:line="560" w:lineRule="exact"/>
        <w:ind w:firstLine="640" w:firstLineChars="200"/>
        <w:jc w:val="both"/>
        <w:rPr>
          <w:rFonts w:ascii="仿宋_GB2312" w:hAnsi="黑体" w:eastAsia="仿宋_GB2312"/>
          <w:color w:val="000000" w:themeColor="text1"/>
          <w:kern w:val="2"/>
          <w:sz w:val="32"/>
          <w:szCs w:val="32"/>
          <w:highlight w:val="none"/>
          <w:u w:val="none"/>
          <w14:textFill>
            <w14:solidFill>
              <w14:schemeClr w14:val="tx1"/>
            </w14:solidFill>
          </w14:textFill>
        </w:rPr>
      </w:pPr>
      <w:r>
        <w:rPr>
          <w:rFonts w:hint="eastAsia" w:ascii="仿宋_GB2312" w:hAnsi="黑体" w:eastAsia="仿宋_GB2312"/>
          <w:color w:val="000000" w:themeColor="text1"/>
          <w:kern w:val="2"/>
          <w:sz w:val="32"/>
          <w:szCs w:val="32"/>
          <w:highlight w:val="none"/>
          <w:u w:val="none"/>
          <w14:textFill>
            <w14:solidFill>
              <w14:schemeClr w14:val="tx1"/>
            </w14:solidFill>
          </w14:textFill>
        </w:rPr>
        <w:t>以习近平新时代中国特色社会主义思想为指导，全面贯彻落实习近平总书记出席深圳经济特区40周年庆祝大会和视察广东重要讲话精神，以建设综合性国家科学中心为总牵引，以推动高质量发展为主题，以构建现代产业体系为目标，坚持科学新城与产业新城同步谋划、创新驱动与产业转型同向发力、产业发展与产业布局同频推进，重点发展</w:t>
      </w:r>
      <w:r>
        <w:rPr>
          <w:rFonts w:hint="eastAsia" w:ascii="仿宋_GB2312" w:hAnsi="黑体" w:eastAsia="仿宋_GB2312"/>
          <w:color w:val="000000" w:themeColor="text1"/>
          <w:sz w:val="32"/>
          <w:szCs w:val="32"/>
          <w:highlight w:val="none"/>
          <w:u w:val="none"/>
          <w14:textFill>
            <w14:solidFill>
              <w14:schemeClr w14:val="tx1"/>
            </w14:solidFill>
          </w14:textFill>
        </w:rPr>
        <w:t>新一代信息技术产业、</w:t>
      </w:r>
      <w:r>
        <w:rPr>
          <w:rFonts w:hint="eastAsia" w:ascii="仿宋_GB2312" w:hAnsi="黑体" w:eastAsia="仿宋_GB2312"/>
          <w:color w:val="000000" w:themeColor="text1"/>
          <w:sz w:val="32"/>
          <w:szCs w:val="32"/>
          <w:highlight w:val="none"/>
          <w:u w:val="none"/>
          <w:lang w:eastAsia="zh-CN"/>
          <w14:textFill>
            <w14:solidFill>
              <w14:schemeClr w14:val="tx1"/>
            </w14:solidFill>
          </w14:textFill>
        </w:rPr>
        <w:t>数字经济、</w:t>
      </w:r>
      <w:r>
        <w:rPr>
          <w:rFonts w:hint="eastAsia" w:ascii="仿宋_GB2312" w:hAnsi="黑体" w:eastAsia="仿宋_GB2312"/>
          <w:color w:val="000000" w:themeColor="text1"/>
          <w:sz w:val="32"/>
          <w:szCs w:val="32"/>
          <w:highlight w:val="none"/>
          <w:u w:val="none"/>
          <w14:textFill>
            <w14:solidFill>
              <w14:schemeClr w14:val="tx1"/>
            </w14:solidFill>
          </w14:textFill>
        </w:rPr>
        <w:t>新材料产业、高端装备产业、</w:t>
      </w:r>
      <w:r>
        <w:rPr>
          <w:rFonts w:hint="eastAsia" w:ascii="仿宋_GB2312" w:hAnsi="黑体" w:eastAsia="仿宋_GB2312"/>
          <w:color w:val="000000" w:themeColor="text1"/>
          <w:kern w:val="2"/>
          <w:sz w:val="32"/>
          <w:szCs w:val="32"/>
          <w:highlight w:val="none"/>
          <w:u w:val="none"/>
          <w:lang w:eastAsia="zh-CN"/>
          <w14:textFill>
            <w14:solidFill>
              <w14:schemeClr w14:val="tx1"/>
            </w14:solidFill>
          </w14:textFill>
        </w:rPr>
        <w:t>生物医药</w:t>
      </w:r>
      <w:r>
        <w:rPr>
          <w:rFonts w:hint="eastAsia" w:ascii="仿宋_GB2312" w:hAnsi="黑体" w:eastAsia="仿宋_GB2312"/>
          <w:color w:val="000000" w:themeColor="text1"/>
          <w:kern w:val="2"/>
          <w:sz w:val="32"/>
          <w:szCs w:val="32"/>
          <w:highlight w:val="none"/>
          <w:u w:val="none"/>
          <w14:textFill>
            <w14:solidFill>
              <w14:schemeClr w14:val="tx1"/>
            </w14:solidFill>
          </w14:textFill>
        </w:rPr>
        <w:t>产业等领域，加快建设粤港澳大湾区有竞争力和影响力的战略性新兴产业集群，为光明</w:t>
      </w:r>
      <w:r>
        <w:rPr>
          <w:rFonts w:hint="eastAsia" w:ascii="仿宋_GB2312" w:eastAsia="仿宋_GB2312"/>
          <w:color w:val="000000" w:themeColor="text1"/>
          <w:sz w:val="32"/>
          <w:szCs w:val="32"/>
          <w:highlight w:val="none"/>
          <w:u w:val="none"/>
          <w14:textFill>
            <w14:solidFill>
              <w14:schemeClr w14:val="tx1"/>
            </w14:solidFill>
          </w14:textFill>
        </w:rPr>
        <w:t>打造综合性国家科学中心核心承载区提供有力支撑，打造全球知名的科技引领型现代产业先锋区新增长极</w:t>
      </w:r>
      <w:r>
        <w:rPr>
          <w:rFonts w:hint="eastAsia" w:ascii="仿宋_GB2312" w:hAnsi="黑体" w:eastAsia="仿宋_GB2312"/>
          <w:color w:val="000000" w:themeColor="text1"/>
          <w:kern w:val="2"/>
          <w:sz w:val="32"/>
          <w:szCs w:val="32"/>
          <w:highlight w:val="none"/>
          <w:u w:val="none"/>
          <w14:textFill>
            <w14:solidFill>
              <w14:schemeClr w14:val="tx1"/>
            </w14:solidFill>
          </w14:textFill>
        </w:rPr>
        <w:t>。</w:t>
      </w:r>
      <w:bookmarkStart w:id="46" w:name="_Toc11058_WPSOffice_Level2"/>
    </w:p>
    <w:p w14:paraId="194F343C">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47" w:name="_Toc497"/>
      <w:bookmarkStart w:id="48" w:name="_Toc23858"/>
      <w:bookmarkStart w:id="49" w:name="_Toc53583305"/>
      <w:bookmarkStart w:id="50" w:name="_Toc19567"/>
      <w:bookmarkStart w:id="51" w:name="_Toc56442301"/>
      <w:bookmarkStart w:id="52" w:name="_Toc7877"/>
      <w:r>
        <w:rPr>
          <w:rFonts w:hint="eastAsia" w:ascii="楷体_GB2312" w:hAnsi="楷体_GB2312" w:eastAsia="楷体_GB2312" w:cs="楷体_GB2312"/>
          <w:color w:val="000000" w:themeColor="text1"/>
          <w:highlight w:val="none"/>
          <w:u w:val="none"/>
          <w14:textFill>
            <w14:solidFill>
              <w14:schemeClr w14:val="tx1"/>
            </w14:solidFill>
          </w14:textFill>
        </w:rPr>
        <w:t>（二）</w:t>
      </w:r>
      <w:bookmarkEnd w:id="46"/>
      <w:r>
        <w:rPr>
          <w:rFonts w:hint="eastAsia" w:ascii="楷体_GB2312" w:hAnsi="楷体_GB2312" w:eastAsia="楷体_GB2312" w:cs="楷体_GB2312"/>
          <w:color w:val="000000" w:themeColor="text1"/>
          <w:highlight w:val="none"/>
          <w:u w:val="none"/>
          <w14:textFill>
            <w14:solidFill>
              <w14:schemeClr w14:val="tx1"/>
            </w14:solidFill>
          </w14:textFill>
        </w:rPr>
        <w:t>发展目标</w:t>
      </w:r>
      <w:bookmarkEnd w:id="47"/>
      <w:bookmarkEnd w:id="48"/>
      <w:bookmarkEnd w:id="49"/>
      <w:bookmarkEnd w:id="50"/>
      <w:bookmarkEnd w:id="51"/>
      <w:bookmarkEnd w:id="52"/>
    </w:p>
    <w:p w14:paraId="4DA66A1E">
      <w:pPr>
        <w:suppressAutoHyphens/>
        <w:autoSpaceDE w:val="0"/>
        <w:spacing w:line="560" w:lineRule="exact"/>
        <w:ind w:firstLine="640" w:firstLineChars="200"/>
        <w:rPr>
          <w:rFonts w:hint="eastAsia" w:ascii="仿宋_GB2312" w:hAnsi="黑体" w:eastAsia="仿宋_GB2312"/>
          <w:color w:val="000000" w:themeColor="text1"/>
          <w:sz w:val="32"/>
          <w:szCs w:val="32"/>
          <w:highlight w:val="none"/>
          <w:u w:val="none"/>
          <w14:textFill>
            <w14:solidFill>
              <w14:schemeClr w14:val="tx1"/>
            </w14:solidFill>
          </w14:textFill>
        </w:rPr>
      </w:pPr>
      <w:bookmarkStart w:id="53" w:name="_Toc25846"/>
      <w:r>
        <w:rPr>
          <w:rFonts w:hint="eastAsia" w:ascii="仿宋_GB2312" w:hAnsi="黑体" w:eastAsia="仿宋_GB2312"/>
          <w:color w:val="000000" w:themeColor="text1"/>
          <w:kern w:val="0"/>
          <w:sz w:val="32"/>
          <w:szCs w:val="32"/>
          <w:highlight w:val="none"/>
          <w:u w:val="none"/>
          <w14:textFill>
            <w14:solidFill>
              <w14:schemeClr w14:val="tx1"/>
            </w14:solidFill>
          </w14:textFill>
        </w:rPr>
        <w:t>到2025年，全区战略性新兴产业发展规模和质量步入新台阶，新一代电子信息产业实现高端化发展，新材料产业、高端装备产业成为支柱产业</w:t>
      </w:r>
      <w:bookmarkStart w:id="54" w:name="_Toc25512"/>
      <w:r>
        <w:rPr>
          <w:rFonts w:hint="eastAsia" w:ascii="仿宋_GB2312" w:hAnsi="黑体" w:eastAsia="仿宋_GB2312"/>
          <w:color w:val="000000" w:themeColor="text1"/>
          <w:kern w:val="0"/>
          <w:sz w:val="32"/>
          <w:szCs w:val="32"/>
          <w:highlight w:val="none"/>
          <w:u w:val="none"/>
          <w14:textFill>
            <w14:solidFill>
              <w14:schemeClr w14:val="tx1"/>
            </w14:solidFill>
          </w14:textFill>
        </w:rPr>
        <w:t>，</w:t>
      </w:r>
      <w:r>
        <w:rPr>
          <w:rFonts w:hint="eastAsia" w:ascii="仿宋_GB2312" w:hAnsi="黑体" w:eastAsia="仿宋_GB2312"/>
          <w:color w:val="000000" w:themeColor="text1"/>
          <w:kern w:val="0"/>
          <w:sz w:val="32"/>
          <w:szCs w:val="32"/>
          <w:highlight w:val="none"/>
          <w:u w:val="none"/>
          <w:lang w:eastAsia="zh-CN"/>
          <w14:textFill>
            <w14:solidFill>
              <w14:schemeClr w14:val="tx1"/>
            </w14:solidFill>
          </w14:textFill>
        </w:rPr>
        <w:t>生物医药</w:t>
      </w:r>
      <w:r>
        <w:rPr>
          <w:rFonts w:hint="eastAsia" w:ascii="仿宋_GB2312" w:hAnsi="黑体" w:eastAsia="仿宋_GB2312"/>
          <w:color w:val="000000" w:themeColor="text1"/>
          <w:kern w:val="0"/>
          <w:sz w:val="32"/>
          <w:szCs w:val="32"/>
          <w:highlight w:val="none"/>
          <w:u w:val="none"/>
          <w14:textFill>
            <w14:solidFill>
              <w14:schemeClr w14:val="tx1"/>
            </w14:solidFill>
          </w14:textFill>
        </w:rPr>
        <w:t>产业发展成为主导产业</w:t>
      </w:r>
      <w:r>
        <w:rPr>
          <w:rFonts w:hint="eastAsia" w:ascii="仿宋_GB2312" w:hAnsi="黑体" w:eastAsia="仿宋_GB2312"/>
          <w:color w:val="000000" w:themeColor="text1"/>
          <w:kern w:val="0"/>
          <w:sz w:val="32"/>
          <w:szCs w:val="32"/>
          <w:highlight w:val="none"/>
          <w:u w:val="none"/>
          <w:lang w:eastAsia="zh-CN"/>
          <w14:textFill>
            <w14:solidFill>
              <w14:schemeClr w14:val="tx1"/>
            </w14:solidFill>
          </w14:textFill>
        </w:rPr>
        <w:t>，数字经济产业赋能能力不断增强</w:t>
      </w:r>
      <w:r>
        <w:rPr>
          <w:rFonts w:hint="eastAsia" w:ascii="仿宋_GB2312" w:hAnsi="黑体" w:eastAsia="仿宋_GB2312"/>
          <w:color w:val="000000" w:themeColor="text1"/>
          <w:kern w:val="0"/>
          <w:sz w:val="32"/>
          <w:szCs w:val="32"/>
          <w:highlight w:val="none"/>
          <w:u w:val="none"/>
          <w14:textFill>
            <w14:solidFill>
              <w14:schemeClr w14:val="tx1"/>
            </w14:solidFill>
          </w14:textFill>
        </w:rPr>
        <w:t>。产业技术创新能力大幅提升，产业转型升级明显加快，产业空间布局进一步优化，培育发展一批具有国际影响力的大企业和创新活力旺盛的中小企业，成为粤港澳大湾区具有影响力和竞争力的战略性新兴产业基地。</w:t>
      </w:r>
      <w:bookmarkEnd w:id="54"/>
      <w:r>
        <w:rPr>
          <w:rFonts w:hint="eastAsia" w:ascii="仿宋_GB2312" w:hAnsi="黑体" w:eastAsia="仿宋_GB2312"/>
          <w:color w:val="000000" w:themeColor="text1"/>
          <w:sz w:val="32"/>
          <w:szCs w:val="32"/>
          <w:highlight w:val="none"/>
          <w:u w:val="none"/>
          <w14:textFill>
            <w14:solidFill>
              <w14:schemeClr w14:val="tx1"/>
            </w14:solidFill>
          </w14:textFill>
        </w:rPr>
        <w:t>到2025年，战略性新兴产业增加值达到</w:t>
      </w:r>
      <w:r>
        <w:rPr>
          <w:rFonts w:hint="eastAsia" w:ascii="仿宋_GB2312" w:hAnsi="黑体" w:eastAsia="仿宋_GB2312"/>
          <w:color w:val="000000" w:themeColor="text1"/>
          <w:sz w:val="32"/>
          <w:szCs w:val="32"/>
          <w:highlight w:val="none"/>
          <w:u w:val="none"/>
          <w:lang w:val="en-US" w:eastAsia="zh-CN"/>
          <w14:textFill>
            <w14:solidFill>
              <w14:schemeClr w14:val="tx1"/>
            </w14:solidFill>
          </w14:textFill>
        </w:rPr>
        <w:t>8</w:t>
      </w:r>
      <w:r>
        <w:rPr>
          <w:rFonts w:hint="eastAsia" w:ascii="仿宋_GB2312" w:hAnsi="黑体" w:eastAsia="仿宋_GB2312"/>
          <w:color w:val="000000" w:themeColor="text1"/>
          <w:sz w:val="32"/>
          <w:szCs w:val="32"/>
          <w:highlight w:val="none"/>
          <w:u w:val="none"/>
          <w14:textFill>
            <w14:solidFill>
              <w14:schemeClr w14:val="tx1"/>
            </w14:solidFill>
          </w14:textFill>
        </w:rPr>
        <w:t>00亿元以上，占地区生产总值</w:t>
      </w:r>
      <w:r>
        <w:rPr>
          <w:rFonts w:hint="eastAsia" w:ascii="仿宋_GB2312" w:hAnsi="Times New Roman" w:eastAsia="仿宋_GB2312" w:cs="仿宋_GB2312"/>
          <w:color w:val="000000" w:themeColor="text1"/>
          <w:kern w:val="0"/>
          <w:sz w:val="32"/>
          <w:szCs w:val="32"/>
          <w:highlight w:val="none"/>
          <w:u w:val="none"/>
          <w14:textFill>
            <w14:solidFill>
              <w14:schemeClr w14:val="tx1"/>
            </w14:solidFill>
          </w14:textFill>
        </w:rPr>
        <w:t>比重达4</w:t>
      </w:r>
      <w:r>
        <w:rPr>
          <w:rFonts w:hint="eastAsia" w:ascii="仿宋_GB2312" w:hAnsi="Times New Roman" w:eastAsia="仿宋_GB2312" w:cs="仿宋_GB2312"/>
          <w:color w:val="000000" w:themeColor="text1"/>
          <w:kern w:val="0"/>
          <w:sz w:val="32"/>
          <w:szCs w:val="32"/>
          <w:highlight w:val="none"/>
          <w:u w:val="none"/>
          <w:lang w:val="en-US" w:eastAsia="zh-CN"/>
          <w14:textFill>
            <w14:solidFill>
              <w14:schemeClr w14:val="tx1"/>
            </w14:solidFill>
          </w14:textFill>
        </w:rPr>
        <w:t>6</w:t>
      </w:r>
      <w:r>
        <w:rPr>
          <w:rFonts w:hint="eastAsia" w:ascii="仿宋_GB2312" w:hAnsi="Times New Roman" w:eastAsia="仿宋_GB2312" w:cs="仿宋_GB2312"/>
          <w:color w:val="000000" w:themeColor="text1"/>
          <w:kern w:val="0"/>
          <w:sz w:val="32"/>
          <w:szCs w:val="32"/>
          <w:highlight w:val="none"/>
          <w:u w:val="none"/>
          <w14:textFill>
            <w14:solidFill>
              <w14:schemeClr w14:val="tx1"/>
            </w14:solidFill>
          </w14:textFill>
        </w:rPr>
        <w:t>%</w:t>
      </w:r>
      <w:r>
        <w:rPr>
          <w:rFonts w:hint="eastAsia" w:ascii="仿宋_GB2312" w:hAnsi="黑体" w:eastAsia="仿宋_GB2312"/>
          <w:color w:val="000000" w:themeColor="text1"/>
          <w:sz w:val="32"/>
          <w:szCs w:val="32"/>
          <w:highlight w:val="none"/>
          <w:u w:val="none"/>
          <w14:textFill>
            <w14:solidFill>
              <w14:schemeClr w14:val="tx1"/>
            </w14:solidFill>
          </w14:textFill>
        </w:rPr>
        <w:t>以上；实现规模以上战略性新兴产业制造业产值2500亿元以上。</w:t>
      </w:r>
    </w:p>
    <w:p w14:paraId="76D12032">
      <w:pPr>
        <w:overflowPunct w:val="0"/>
        <w:spacing w:line="560" w:lineRule="exact"/>
        <w:jc w:val="center"/>
        <w:outlineLvl w:val="9"/>
        <w:rPr>
          <w:rFonts w:ascii="黑体" w:hAnsi="黑体" w:eastAsia="黑体" w:cs="黑体"/>
          <w:color w:val="000000" w:themeColor="text1"/>
          <w:sz w:val="28"/>
          <w:szCs w:val="28"/>
          <w:highlight w:val="none"/>
          <w:u w:val="none"/>
          <w14:textFill>
            <w14:solidFill>
              <w14:schemeClr w14:val="tx1"/>
            </w14:solidFill>
          </w14:textFill>
        </w:rPr>
      </w:pPr>
      <w:bookmarkStart w:id="55" w:name="_Toc11210"/>
      <w:bookmarkStart w:id="56" w:name="_Toc14578"/>
      <w:bookmarkStart w:id="57" w:name="_Toc18813"/>
      <w:bookmarkStart w:id="58" w:name="_Toc12498"/>
      <w:bookmarkStart w:id="59" w:name="_Toc13272"/>
      <w:bookmarkStart w:id="60" w:name="_Toc11691"/>
      <w:bookmarkStart w:id="61" w:name="_Toc21172"/>
      <w:bookmarkStart w:id="62" w:name="_Toc19702"/>
      <w:r>
        <w:rPr>
          <w:rFonts w:hint="eastAsia" w:ascii="黑体" w:hAnsi="黑体" w:eastAsia="黑体" w:cs="黑体"/>
          <w:color w:val="000000" w:themeColor="text1"/>
          <w:sz w:val="28"/>
          <w:szCs w:val="28"/>
          <w:highlight w:val="none"/>
          <w:u w:val="none"/>
          <w14:textFill>
            <w14:solidFill>
              <w14:schemeClr w14:val="tx1"/>
            </w14:solidFill>
          </w14:textFill>
        </w:rPr>
        <w:t>表1 光明区“十四五”</w:t>
      </w:r>
      <w:r>
        <w:rPr>
          <w:rFonts w:hint="eastAsia" w:ascii="黑体" w:hAnsi="黑体" w:eastAsia="黑体" w:cs="黑体"/>
          <w:color w:val="000000" w:themeColor="text1"/>
          <w:sz w:val="28"/>
          <w:szCs w:val="28"/>
          <w:highlight w:val="none"/>
          <w:u w:val="none"/>
          <w:lang w:eastAsia="zh-CN"/>
          <w14:textFill>
            <w14:solidFill>
              <w14:schemeClr w14:val="tx1"/>
            </w14:solidFill>
          </w14:textFill>
        </w:rPr>
        <w:t>战略性新兴产业</w:t>
      </w:r>
      <w:r>
        <w:rPr>
          <w:rFonts w:hint="eastAsia" w:ascii="黑体" w:hAnsi="黑体" w:eastAsia="黑体" w:cs="黑体"/>
          <w:color w:val="000000" w:themeColor="text1"/>
          <w:sz w:val="28"/>
          <w:szCs w:val="28"/>
          <w:highlight w:val="none"/>
          <w:u w:val="none"/>
          <w14:textFill>
            <w14:solidFill>
              <w14:schemeClr w14:val="tx1"/>
            </w14:solidFill>
          </w14:textFill>
        </w:rPr>
        <w:t>发展主要指标</w:t>
      </w:r>
      <w:bookmarkEnd w:id="55"/>
      <w:bookmarkEnd w:id="56"/>
      <w:bookmarkEnd w:id="57"/>
      <w:bookmarkEnd w:id="58"/>
      <w:bookmarkEnd w:id="59"/>
      <w:bookmarkEnd w:id="60"/>
      <w:bookmarkEnd w:id="61"/>
      <w:bookmarkEnd w:id="62"/>
    </w:p>
    <w:tbl>
      <w:tblPr>
        <w:tblStyle w:val="17"/>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861"/>
        <w:gridCol w:w="3249"/>
        <w:gridCol w:w="1041"/>
        <w:gridCol w:w="1784"/>
        <w:gridCol w:w="1584"/>
      </w:tblGrid>
      <w:tr w14:paraId="1E76F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61" w:type="dxa"/>
            <w:shd w:val="clear" w:color="auto" w:fill="auto"/>
            <w:vAlign w:val="center"/>
          </w:tcPr>
          <w:p w14:paraId="70212F1D">
            <w:pPr>
              <w:spacing w:line="560" w:lineRule="exact"/>
              <w:ind w:firstLine="0" w:firstLineChars="0"/>
              <w:jc w:val="center"/>
              <w:rPr>
                <w:rFonts w:hint="eastAsia" w:ascii="仿宋" w:hAnsi="仿宋" w:eastAsia="仿宋" w:cs="仿宋"/>
                <w:b/>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b/>
                <w:color w:val="000000" w:themeColor="text1"/>
                <w:kern w:val="0"/>
                <w:sz w:val="24"/>
                <w:szCs w:val="22"/>
                <w:highlight w:val="none"/>
                <w:u w:val="none"/>
                <w:lang w:eastAsia="zh-CN"/>
                <w14:textFill>
                  <w14:solidFill>
                    <w14:schemeClr w14:val="tx1"/>
                  </w14:solidFill>
                </w14:textFill>
              </w:rPr>
              <w:t>类别</w:t>
            </w:r>
          </w:p>
        </w:tc>
        <w:tc>
          <w:tcPr>
            <w:tcW w:w="861" w:type="dxa"/>
            <w:shd w:val="clear" w:color="auto" w:fill="auto"/>
            <w:vAlign w:val="center"/>
          </w:tcPr>
          <w:p w14:paraId="375E6265">
            <w:pPr>
              <w:spacing w:line="560" w:lineRule="exact"/>
              <w:ind w:firstLine="0" w:firstLineChars="0"/>
              <w:jc w:val="center"/>
              <w:rPr>
                <w:rFonts w:ascii="仿宋" w:hAnsi="仿宋" w:eastAsia="仿宋" w:cs="仿宋"/>
                <w:b/>
                <w:color w:val="000000" w:themeColor="text1"/>
                <w:kern w:val="0"/>
                <w:sz w:val="24"/>
                <w:szCs w:val="22"/>
                <w:highlight w:val="none"/>
                <w:u w:val="none"/>
                <w14:textFill>
                  <w14:solidFill>
                    <w14:schemeClr w14:val="tx1"/>
                  </w14:solidFill>
                </w14:textFill>
              </w:rPr>
            </w:pPr>
            <w:r>
              <w:rPr>
                <w:rFonts w:hint="eastAsia" w:ascii="仿宋" w:hAnsi="仿宋" w:eastAsia="仿宋" w:cs="仿宋"/>
                <w:b/>
                <w:color w:val="000000" w:themeColor="text1"/>
                <w:kern w:val="0"/>
                <w:sz w:val="24"/>
                <w:szCs w:val="22"/>
                <w:highlight w:val="none"/>
                <w:u w:val="none"/>
                <w14:textFill>
                  <w14:solidFill>
                    <w14:schemeClr w14:val="tx1"/>
                  </w14:solidFill>
                </w14:textFill>
              </w:rPr>
              <w:t>序号</w:t>
            </w:r>
          </w:p>
        </w:tc>
        <w:tc>
          <w:tcPr>
            <w:tcW w:w="3249" w:type="dxa"/>
            <w:shd w:val="clear" w:color="auto" w:fill="auto"/>
            <w:vAlign w:val="center"/>
          </w:tcPr>
          <w:p w14:paraId="37B276E8">
            <w:pPr>
              <w:spacing w:line="560" w:lineRule="exact"/>
              <w:ind w:firstLine="0" w:firstLineChars="0"/>
              <w:jc w:val="center"/>
              <w:rPr>
                <w:rFonts w:ascii="仿宋" w:hAnsi="仿宋" w:eastAsia="仿宋" w:cs="仿宋"/>
                <w:b/>
                <w:color w:val="000000" w:themeColor="text1"/>
                <w:kern w:val="0"/>
                <w:sz w:val="24"/>
                <w:szCs w:val="22"/>
                <w:highlight w:val="none"/>
                <w:u w:val="none"/>
                <w14:textFill>
                  <w14:solidFill>
                    <w14:schemeClr w14:val="tx1"/>
                  </w14:solidFill>
                </w14:textFill>
              </w:rPr>
            </w:pPr>
            <w:r>
              <w:rPr>
                <w:rFonts w:hint="eastAsia" w:ascii="仿宋" w:hAnsi="仿宋" w:eastAsia="仿宋" w:cs="仿宋"/>
                <w:b/>
                <w:color w:val="000000" w:themeColor="text1"/>
                <w:kern w:val="0"/>
                <w:sz w:val="24"/>
                <w:szCs w:val="22"/>
                <w:highlight w:val="none"/>
                <w:u w:val="none"/>
                <w14:textFill>
                  <w14:solidFill>
                    <w14:schemeClr w14:val="tx1"/>
                  </w14:solidFill>
                </w14:textFill>
              </w:rPr>
              <w:t>指标</w:t>
            </w:r>
          </w:p>
        </w:tc>
        <w:tc>
          <w:tcPr>
            <w:tcW w:w="1041" w:type="dxa"/>
            <w:shd w:val="clear" w:color="auto" w:fill="auto"/>
            <w:vAlign w:val="center"/>
          </w:tcPr>
          <w:p w14:paraId="086C7942">
            <w:pPr>
              <w:spacing w:line="560" w:lineRule="exact"/>
              <w:ind w:firstLine="0" w:firstLineChars="0"/>
              <w:jc w:val="center"/>
              <w:rPr>
                <w:rFonts w:ascii="仿宋" w:hAnsi="仿宋" w:eastAsia="仿宋" w:cs="仿宋"/>
                <w:b/>
                <w:color w:val="000000" w:themeColor="text1"/>
                <w:kern w:val="0"/>
                <w:sz w:val="24"/>
                <w:szCs w:val="22"/>
                <w:highlight w:val="none"/>
                <w:u w:val="none"/>
                <w14:textFill>
                  <w14:solidFill>
                    <w14:schemeClr w14:val="tx1"/>
                  </w14:solidFill>
                </w14:textFill>
              </w:rPr>
            </w:pPr>
            <w:r>
              <w:rPr>
                <w:rFonts w:hint="eastAsia" w:ascii="仿宋" w:hAnsi="仿宋" w:eastAsia="仿宋" w:cs="仿宋"/>
                <w:b/>
                <w:color w:val="000000" w:themeColor="text1"/>
                <w:kern w:val="0"/>
                <w:sz w:val="24"/>
                <w:szCs w:val="22"/>
                <w:highlight w:val="none"/>
                <w:u w:val="none"/>
                <w14:textFill>
                  <w14:solidFill>
                    <w14:schemeClr w14:val="tx1"/>
                  </w14:solidFill>
                </w14:textFill>
              </w:rPr>
              <w:t>单位</w:t>
            </w:r>
          </w:p>
        </w:tc>
        <w:tc>
          <w:tcPr>
            <w:tcW w:w="1784" w:type="dxa"/>
            <w:shd w:val="clear" w:color="auto" w:fill="auto"/>
            <w:vAlign w:val="center"/>
          </w:tcPr>
          <w:p w14:paraId="2DE0535D">
            <w:pPr>
              <w:spacing w:line="560" w:lineRule="exact"/>
              <w:ind w:firstLine="0" w:firstLineChars="0"/>
              <w:jc w:val="center"/>
              <w:rPr>
                <w:rFonts w:ascii="仿宋" w:hAnsi="仿宋" w:eastAsia="仿宋" w:cs="仿宋"/>
                <w:b/>
                <w:color w:val="000000" w:themeColor="text1"/>
                <w:kern w:val="0"/>
                <w:sz w:val="24"/>
                <w:szCs w:val="22"/>
                <w:highlight w:val="none"/>
                <w:u w:val="none"/>
                <w14:textFill>
                  <w14:solidFill>
                    <w14:schemeClr w14:val="tx1"/>
                  </w14:solidFill>
                </w14:textFill>
              </w:rPr>
            </w:pPr>
            <w:r>
              <w:rPr>
                <w:rFonts w:hint="eastAsia" w:ascii="仿宋" w:hAnsi="仿宋" w:eastAsia="仿宋" w:cs="仿宋"/>
                <w:b/>
                <w:color w:val="000000" w:themeColor="text1"/>
                <w:kern w:val="0"/>
                <w:sz w:val="24"/>
                <w:szCs w:val="22"/>
                <w:highlight w:val="none"/>
                <w:u w:val="none"/>
                <w14:textFill>
                  <w14:solidFill>
                    <w14:schemeClr w14:val="tx1"/>
                  </w14:solidFill>
                </w14:textFill>
              </w:rPr>
              <w:t>2025年目标值</w:t>
            </w:r>
          </w:p>
        </w:tc>
        <w:tc>
          <w:tcPr>
            <w:tcW w:w="1584" w:type="dxa"/>
            <w:shd w:val="clear" w:color="auto" w:fill="auto"/>
            <w:vAlign w:val="center"/>
          </w:tcPr>
          <w:p w14:paraId="41DC1B2F">
            <w:pPr>
              <w:spacing w:line="560" w:lineRule="exact"/>
              <w:ind w:firstLine="0" w:firstLineChars="0"/>
              <w:jc w:val="center"/>
              <w:rPr>
                <w:rFonts w:ascii="仿宋" w:hAnsi="仿宋" w:eastAsia="仿宋" w:cs="仿宋"/>
                <w:b/>
                <w:color w:val="000000" w:themeColor="text1"/>
                <w:kern w:val="0"/>
                <w:sz w:val="24"/>
                <w:szCs w:val="22"/>
                <w:highlight w:val="none"/>
                <w:u w:val="none"/>
                <w14:textFill>
                  <w14:solidFill>
                    <w14:schemeClr w14:val="tx1"/>
                  </w14:solidFill>
                </w14:textFill>
              </w:rPr>
            </w:pPr>
            <w:r>
              <w:rPr>
                <w:rFonts w:hint="eastAsia" w:ascii="仿宋" w:hAnsi="仿宋" w:eastAsia="仿宋" w:cs="仿宋"/>
                <w:b/>
                <w:color w:val="000000" w:themeColor="text1"/>
                <w:kern w:val="0"/>
                <w:sz w:val="24"/>
                <w:szCs w:val="22"/>
                <w:highlight w:val="none"/>
                <w:u w:val="none"/>
                <w14:textFill>
                  <w14:solidFill>
                    <w14:schemeClr w14:val="tx1"/>
                  </w14:solidFill>
                </w14:textFill>
              </w:rPr>
              <w:t>指标属性</w:t>
            </w:r>
          </w:p>
        </w:tc>
      </w:tr>
      <w:tr w14:paraId="76DD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861" w:type="dxa"/>
            <w:vMerge w:val="restart"/>
            <w:shd w:val="clear" w:color="auto" w:fill="auto"/>
            <w:vAlign w:val="center"/>
          </w:tcPr>
          <w:p w14:paraId="0C0E3C5A">
            <w:pPr>
              <w:spacing w:line="240" w:lineRule="auto"/>
              <w:ind w:firstLine="0" w:firstLineChars="0"/>
              <w:jc w:val="center"/>
              <w:rPr>
                <w:rFonts w:hint="eastAsia" w:ascii="仿宋" w:hAnsi="仿宋" w:eastAsia="仿宋" w:cs="仿宋"/>
                <w:b/>
                <w:bCs/>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b/>
                <w:bCs/>
                <w:color w:val="000000" w:themeColor="text1"/>
                <w:kern w:val="0"/>
                <w:sz w:val="24"/>
                <w:szCs w:val="22"/>
                <w:highlight w:val="none"/>
                <w:u w:val="none"/>
                <w:lang w:eastAsia="zh-CN"/>
                <w14:textFill>
                  <w14:solidFill>
                    <w14:schemeClr w14:val="tx1"/>
                  </w14:solidFill>
                </w14:textFill>
              </w:rPr>
              <w:t>产业规模</w:t>
            </w:r>
          </w:p>
        </w:tc>
        <w:tc>
          <w:tcPr>
            <w:tcW w:w="861" w:type="dxa"/>
            <w:shd w:val="clear" w:color="auto" w:fill="auto"/>
            <w:vAlign w:val="center"/>
          </w:tcPr>
          <w:p w14:paraId="730DB44D">
            <w:pPr>
              <w:spacing w:line="240" w:lineRule="auto"/>
              <w:ind w:firstLine="0" w:firstLineChars="0"/>
              <w:jc w:val="center"/>
              <w:rPr>
                <w:rFonts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1</w:t>
            </w:r>
          </w:p>
        </w:tc>
        <w:tc>
          <w:tcPr>
            <w:tcW w:w="3249" w:type="dxa"/>
            <w:shd w:val="clear" w:color="auto" w:fill="auto"/>
            <w:vAlign w:val="center"/>
          </w:tcPr>
          <w:p w14:paraId="71EE8658">
            <w:pPr>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战略性新兴产业增加值占GDP</w:t>
            </w:r>
          </w:p>
          <w:p w14:paraId="7EE94D6F">
            <w:pPr>
              <w:spacing w:line="240" w:lineRule="auto"/>
              <w:ind w:firstLine="0" w:firstLineChars="0"/>
              <w:jc w:val="both"/>
              <w:rPr>
                <w:rFonts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比重</w:t>
            </w:r>
          </w:p>
        </w:tc>
        <w:tc>
          <w:tcPr>
            <w:tcW w:w="1041" w:type="dxa"/>
            <w:shd w:val="clear" w:color="auto" w:fill="auto"/>
            <w:vAlign w:val="center"/>
          </w:tcPr>
          <w:p w14:paraId="5672C249">
            <w:pPr>
              <w:spacing w:line="240" w:lineRule="auto"/>
              <w:ind w:firstLine="0" w:firstLineChars="0"/>
              <w:jc w:val="center"/>
              <w:rPr>
                <w:rFonts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w:t>
            </w:r>
          </w:p>
        </w:tc>
        <w:tc>
          <w:tcPr>
            <w:tcW w:w="1784" w:type="dxa"/>
            <w:shd w:val="clear" w:color="auto" w:fill="auto"/>
            <w:vAlign w:val="center"/>
          </w:tcPr>
          <w:p w14:paraId="6F2B35AA">
            <w:pPr>
              <w:spacing w:line="240" w:lineRule="auto"/>
              <w:ind w:firstLine="0" w:firstLineChars="0"/>
              <w:jc w:val="center"/>
              <w:rPr>
                <w:rFonts w:hint="default" w:ascii="仿宋" w:hAnsi="仿宋" w:eastAsia="仿宋" w:cs="仿宋"/>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46</w:t>
            </w:r>
          </w:p>
        </w:tc>
        <w:tc>
          <w:tcPr>
            <w:tcW w:w="1584" w:type="dxa"/>
            <w:shd w:val="clear" w:color="auto" w:fill="auto"/>
            <w:vAlign w:val="center"/>
          </w:tcPr>
          <w:p w14:paraId="2D99EC03">
            <w:pPr>
              <w:spacing w:line="240" w:lineRule="auto"/>
              <w:ind w:firstLine="0" w:firstLineChars="0"/>
              <w:jc w:val="center"/>
              <w:rPr>
                <w:rFonts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预期性</w:t>
            </w:r>
          </w:p>
        </w:tc>
      </w:tr>
      <w:tr w14:paraId="0291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61" w:type="dxa"/>
            <w:vMerge w:val="continue"/>
            <w:shd w:val="clear" w:color="auto" w:fill="auto"/>
            <w:vAlign w:val="center"/>
          </w:tcPr>
          <w:p w14:paraId="20B2D949">
            <w:pPr>
              <w:spacing w:line="240" w:lineRule="auto"/>
              <w:ind w:firstLine="0" w:firstLineChars="0"/>
              <w:jc w:val="center"/>
              <w:rPr>
                <w:rFonts w:hint="eastAsia" w:ascii="仿宋" w:hAnsi="仿宋" w:eastAsia="仿宋" w:cs="仿宋"/>
                <w:b/>
                <w:bCs/>
                <w:color w:val="000000" w:themeColor="text1"/>
                <w:kern w:val="0"/>
                <w:sz w:val="24"/>
                <w:szCs w:val="22"/>
                <w:highlight w:val="none"/>
                <w:u w:val="none"/>
                <w:lang w:eastAsia="zh-CN"/>
                <w14:textFill>
                  <w14:solidFill>
                    <w14:schemeClr w14:val="tx1"/>
                  </w14:solidFill>
                </w14:textFill>
              </w:rPr>
            </w:pPr>
          </w:p>
        </w:tc>
        <w:tc>
          <w:tcPr>
            <w:tcW w:w="861" w:type="dxa"/>
            <w:shd w:val="clear" w:color="auto" w:fill="auto"/>
            <w:vAlign w:val="center"/>
          </w:tcPr>
          <w:p w14:paraId="565BBCB1">
            <w:pPr>
              <w:spacing w:line="240" w:lineRule="auto"/>
              <w:ind w:firstLine="0" w:firstLineChars="0"/>
              <w:jc w:val="cente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2</w:t>
            </w:r>
          </w:p>
        </w:tc>
        <w:tc>
          <w:tcPr>
            <w:tcW w:w="3249" w:type="dxa"/>
            <w:shd w:val="clear" w:color="auto" w:fill="auto"/>
            <w:vAlign w:val="center"/>
          </w:tcPr>
          <w:p w14:paraId="669EA564">
            <w:pPr>
              <w:spacing w:line="240" w:lineRule="auto"/>
              <w:ind w:firstLine="0" w:firstLineChars="0"/>
              <w:jc w:val="both"/>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国家级高新技术企业数量</w:t>
            </w:r>
          </w:p>
        </w:tc>
        <w:tc>
          <w:tcPr>
            <w:tcW w:w="1041" w:type="dxa"/>
            <w:shd w:val="clear" w:color="auto" w:fill="auto"/>
            <w:vAlign w:val="center"/>
          </w:tcPr>
          <w:p w14:paraId="74944685">
            <w:pPr>
              <w:spacing w:line="240" w:lineRule="auto"/>
              <w:ind w:firstLine="0" w:firstLineChars="0"/>
              <w:jc w:val="cente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个</w:t>
            </w:r>
          </w:p>
        </w:tc>
        <w:tc>
          <w:tcPr>
            <w:tcW w:w="1784" w:type="dxa"/>
            <w:shd w:val="clear" w:color="auto" w:fill="auto"/>
            <w:vAlign w:val="center"/>
          </w:tcPr>
          <w:p w14:paraId="49480209">
            <w:pPr>
              <w:spacing w:line="240" w:lineRule="auto"/>
              <w:ind w:firstLine="0" w:firstLineChars="0"/>
              <w:jc w:val="cente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2</w:t>
            </w:r>
            <w:r>
              <w:rPr>
                <w:rFonts w:hint="default" w:ascii="仿宋" w:hAnsi="仿宋" w:eastAsia="仿宋" w:cs="仿宋"/>
                <w:color w:val="000000" w:themeColor="text1"/>
                <w:kern w:val="0"/>
                <w:sz w:val="24"/>
                <w:szCs w:val="22"/>
                <w:highlight w:val="none"/>
                <w:u w:val="none"/>
                <w:lang w:val="en-US" w:eastAsia="zh-CN"/>
                <w14:textFill>
                  <w14:solidFill>
                    <w14:schemeClr w14:val="tx1"/>
                  </w14:solidFill>
                </w14:textFill>
              </w:rPr>
              <w:t>1</w:t>
            </w: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00</w:t>
            </w:r>
          </w:p>
        </w:tc>
        <w:tc>
          <w:tcPr>
            <w:tcW w:w="1584" w:type="dxa"/>
            <w:shd w:val="clear" w:color="auto" w:fill="auto"/>
            <w:vAlign w:val="center"/>
          </w:tcPr>
          <w:p w14:paraId="44C6A520">
            <w:pPr>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预期性</w:t>
            </w:r>
          </w:p>
        </w:tc>
      </w:tr>
      <w:tr w14:paraId="73A9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61" w:type="dxa"/>
            <w:vMerge w:val="continue"/>
            <w:shd w:val="clear" w:color="auto" w:fill="auto"/>
            <w:vAlign w:val="center"/>
          </w:tcPr>
          <w:p w14:paraId="412E8F07">
            <w:pPr>
              <w:spacing w:line="560" w:lineRule="exact"/>
              <w:ind w:firstLine="0" w:firstLineChars="0"/>
              <w:jc w:val="center"/>
              <w:rPr>
                <w:rFonts w:hint="eastAsia" w:ascii="仿宋" w:hAnsi="仿宋" w:eastAsia="仿宋" w:cs="仿宋"/>
                <w:b/>
                <w:bCs/>
                <w:color w:val="C00000"/>
                <w:kern w:val="0"/>
                <w:sz w:val="24"/>
                <w:szCs w:val="22"/>
                <w:highlight w:val="none"/>
                <w:u w:val="none"/>
                <w:lang w:val="en-US" w:eastAsia="zh-CN"/>
              </w:rPr>
            </w:pPr>
          </w:p>
        </w:tc>
        <w:tc>
          <w:tcPr>
            <w:tcW w:w="861" w:type="dxa"/>
            <w:shd w:val="clear" w:color="auto" w:fill="auto"/>
            <w:vAlign w:val="center"/>
          </w:tcPr>
          <w:p w14:paraId="628019F3">
            <w:pPr>
              <w:spacing w:line="560" w:lineRule="exact"/>
              <w:ind w:firstLine="0" w:firstLineChars="0"/>
              <w:jc w:val="center"/>
              <w:rPr>
                <w:rFonts w:hint="eastAsia" w:ascii="仿宋" w:hAnsi="仿宋" w:eastAsia="仿宋" w:cs="仿宋"/>
                <w:color w:val="auto"/>
                <w:kern w:val="0"/>
                <w:sz w:val="24"/>
                <w:szCs w:val="22"/>
                <w:highlight w:val="none"/>
                <w:u w:val="none"/>
                <w:lang w:eastAsia="zh-CN"/>
              </w:rPr>
            </w:pPr>
            <w:r>
              <w:rPr>
                <w:rFonts w:hint="eastAsia" w:ascii="仿宋" w:hAnsi="仿宋" w:eastAsia="仿宋" w:cs="仿宋"/>
                <w:color w:val="auto"/>
                <w:kern w:val="0"/>
                <w:sz w:val="24"/>
                <w:szCs w:val="22"/>
                <w:highlight w:val="none"/>
                <w:u w:val="none"/>
                <w:lang w:val="en-US" w:eastAsia="zh-CN"/>
              </w:rPr>
              <w:t>3</w:t>
            </w:r>
          </w:p>
        </w:tc>
        <w:tc>
          <w:tcPr>
            <w:tcW w:w="3249" w:type="dxa"/>
            <w:shd w:val="clear" w:color="auto" w:fill="auto"/>
            <w:vAlign w:val="center"/>
          </w:tcPr>
          <w:p w14:paraId="6CF5847F">
            <w:pPr>
              <w:autoSpaceDE w:val="0"/>
              <w:autoSpaceDN w:val="0"/>
              <w:adjustRightInd w:val="0"/>
              <w:snapToGrid w:val="0"/>
              <w:spacing w:line="240" w:lineRule="auto"/>
              <w:ind w:firstLine="0" w:firstLineChars="0"/>
              <w:jc w:val="both"/>
              <w:rPr>
                <w:rFonts w:ascii="仿宋" w:hAnsi="仿宋" w:eastAsia="仿宋" w:cs="仿宋"/>
                <w:color w:val="auto"/>
                <w:kern w:val="0"/>
                <w:sz w:val="24"/>
                <w:szCs w:val="22"/>
                <w:highlight w:val="none"/>
                <w:u w:val="none"/>
              </w:rPr>
            </w:pPr>
            <w:r>
              <w:rPr>
                <w:rFonts w:hint="eastAsia" w:ascii="仿宋" w:hAnsi="仿宋" w:eastAsia="仿宋" w:cs="仿宋"/>
                <w:color w:val="auto"/>
                <w:kern w:val="0"/>
                <w:sz w:val="24"/>
                <w:szCs w:val="22"/>
                <w:highlight w:val="none"/>
                <w:u w:val="none"/>
              </w:rPr>
              <w:t>智能产业规模</w:t>
            </w:r>
          </w:p>
        </w:tc>
        <w:tc>
          <w:tcPr>
            <w:tcW w:w="1041" w:type="dxa"/>
            <w:shd w:val="clear" w:color="auto" w:fill="auto"/>
            <w:vAlign w:val="center"/>
          </w:tcPr>
          <w:p w14:paraId="1D305B55">
            <w:pPr>
              <w:autoSpaceDE w:val="0"/>
              <w:autoSpaceDN w:val="0"/>
              <w:adjustRightInd w:val="0"/>
              <w:snapToGrid w:val="0"/>
              <w:spacing w:line="240" w:lineRule="auto"/>
              <w:ind w:firstLine="0" w:firstLineChars="0"/>
              <w:jc w:val="center"/>
              <w:rPr>
                <w:rFonts w:ascii="仿宋" w:hAnsi="仿宋" w:eastAsia="仿宋" w:cs="仿宋"/>
                <w:color w:val="auto"/>
                <w:kern w:val="0"/>
                <w:sz w:val="24"/>
                <w:szCs w:val="22"/>
                <w:highlight w:val="none"/>
                <w:u w:val="none"/>
              </w:rPr>
            </w:pPr>
            <w:r>
              <w:rPr>
                <w:rFonts w:hint="eastAsia" w:ascii="仿宋" w:hAnsi="仿宋" w:eastAsia="仿宋" w:cs="仿宋"/>
                <w:color w:val="auto"/>
                <w:kern w:val="0"/>
                <w:sz w:val="24"/>
                <w:szCs w:val="22"/>
                <w:highlight w:val="none"/>
                <w:u w:val="none"/>
              </w:rPr>
              <w:t>亿元</w:t>
            </w:r>
          </w:p>
        </w:tc>
        <w:tc>
          <w:tcPr>
            <w:tcW w:w="1784" w:type="dxa"/>
            <w:shd w:val="clear" w:color="auto" w:fill="auto"/>
            <w:vAlign w:val="center"/>
          </w:tcPr>
          <w:p w14:paraId="4AE7EEC6">
            <w:pPr>
              <w:autoSpaceDE w:val="0"/>
              <w:autoSpaceDN w:val="0"/>
              <w:adjustRightInd w:val="0"/>
              <w:snapToGrid w:val="0"/>
              <w:spacing w:line="240" w:lineRule="auto"/>
              <w:ind w:firstLine="0" w:firstLineChars="0"/>
              <w:jc w:val="center"/>
              <w:rPr>
                <w:rFonts w:ascii="仿宋" w:hAnsi="仿宋" w:eastAsia="仿宋" w:cs="仿宋"/>
                <w:color w:val="auto"/>
                <w:kern w:val="0"/>
                <w:sz w:val="24"/>
                <w:szCs w:val="22"/>
                <w:highlight w:val="none"/>
                <w:u w:val="none"/>
              </w:rPr>
            </w:pPr>
            <w:r>
              <w:rPr>
                <w:rFonts w:hint="eastAsia" w:ascii="仿宋" w:hAnsi="仿宋" w:eastAsia="仿宋" w:cs="仿宋"/>
                <w:color w:val="auto"/>
                <w:kern w:val="0"/>
                <w:sz w:val="24"/>
                <w:szCs w:val="22"/>
                <w:highlight w:val="none"/>
                <w:u w:val="none"/>
              </w:rPr>
              <w:t>1400</w:t>
            </w:r>
          </w:p>
        </w:tc>
        <w:tc>
          <w:tcPr>
            <w:tcW w:w="1584" w:type="dxa"/>
            <w:shd w:val="clear" w:color="auto" w:fill="auto"/>
            <w:vAlign w:val="center"/>
          </w:tcPr>
          <w:p w14:paraId="6FD86583">
            <w:pPr>
              <w:autoSpaceDE w:val="0"/>
              <w:autoSpaceDN w:val="0"/>
              <w:adjustRightInd w:val="0"/>
              <w:snapToGrid w:val="0"/>
              <w:spacing w:line="240" w:lineRule="auto"/>
              <w:ind w:firstLine="0" w:firstLineChars="0"/>
              <w:jc w:val="center"/>
              <w:rPr>
                <w:rFonts w:ascii="仿宋" w:hAnsi="仿宋" w:eastAsia="仿宋" w:cs="仿宋"/>
                <w:color w:val="auto"/>
                <w:kern w:val="0"/>
                <w:sz w:val="24"/>
                <w:szCs w:val="22"/>
                <w:highlight w:val="none"/>
                <w:u w:val="none"/>
              </w:rPr>
            </w:pPr>
            <w:r>
              <w:rPr>
                <w:rFonts w:hint="eastAsia" w:ascii="仿宋" w:hAnsi="仿宋" w:eastAsia="仿宋" w:cs="仿宋"/>
                <w:color w:val="auto"/>
                <w:kern w:val="0"/>
                <w:sz w:val="24"/>
                <w:szCs w:val="22"/>
                <w:highlight w:val="none"/>
                <w:u w:val="none"/>
              </w:rPr>
              <w:t>预期性</w:t>
            </w:r>
          </w:p>
        </w:tc>
      </w:tr>
      <w:tr w14:paraId="7363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61" w:type="dxa"/>
            <w:vMerge w:val="continue"/>
            <w:shd w:val="clear" w:color="auto" w:fill="auto"/>
            <w:vAlign w:val="center"/>
          </w:tcPr>
          <w:p w14:paraId="713780C2">
            <w:pPr>
              <w:spacing w:line="560" w:lineRule="exact"/>
              <w:ind w:firstLine="0" w:firstLineChars="0"/>
              <w:jc w:val="center"/>
              <w:rPr>
                <w:rFonts w:hint="eastAsia" w:ascii="仿宋" w:hAnsi="仿宋" w:eastAsia="仿宋" w:cs="仿宋"/>
                <w:b/>
                <w:bCs/>
                <w:color w:val="000000" w:themeColor="text1"/>
                <w:kern w:val="0"/>
                <w:sz w:val="24"/>
                <w:szCs w:val="22"/>
                <w:highlight w:val="none"/>
                <w:u w:val="none"/>
                <w:lang w:val="en-US" w:eastAsia="zh-CN"/>
                <w14:textFill>
                  <w14:solidFill>
                    <w14:schemeClr w14:val="tx1"/>
                  </w14:solidFill>
                </w14:textFill>
              </w:rPr>
            </w:pPr>
          </w:p>
        </w:tc>
        <w:tc>
          <w:tcPr>
            <w:tcW w:w="861" w:type="dxa"/>
            <w:shd w:val="clear" w:color="auto" w:fill="auto"/>
            <w:vAlign w:val="center"/>
          </w:tcPr>
          <w:p w14:paraId="4DF0BC48">
            <w:pPr>
              <w:spacing w:line="560" w:lineRule="exact"/>
              <w:ind w:firstLine="0" w:firstLineChars="0"/>
              <w:jc w:val="cente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4</w:t>
            </w:r>
          </w:p>
        </w:tc>
        <w:tc>
          <w:tcPr>
            <w:tcW w:w="3249" w:type="dxa"/>
            <w:shd w:val="clear" w:color="auto" w:fill="auto"/>
            <w:vAlign w:val="center"/>
          </w:tcPr>
          <w:p w14:paraId="38025030">
            <w:pPr>
              <w:autoSpaceDE w:val="0"/>
              <w:autoSpaceDN w:val="0"/>
              <w:adjustRightInd w:val="0"/>
              <w:snapToGrid w:val="0"/>
              <w:spacing w:line="240" w:lineRule="auto"/>
              <w:ind w:firstLine="0" w:firstLineChars="0"/>
              <w:jc w:val="both"/>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新材料产业规模</w:t>
            </w:r>
          </w:p>
        </w:tc>
        <w:tc>
          <w:tcPr>
            <w:tcW w:w="1041" w:type="dxa"/>
            <w:shd w:val="clear" w:color="auto" w:fill="auto"/>
            <w:vAlign w:val="center"/>
          </w:tcPr>
          <w:p w14:paraId="2C54206C">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亿元</w:t>
            </w:r>
          </w:p>
        </w:tc>
        <w:tc>
          <w:tcPr>
            <w:tcW w:w="1784" w:type="dxa"/>
            <w:shd w:val="clear" w:color="auto" w:fill="auto"/>
            <w:vAlign w:val="center"/>
          </w:tcPr>
          <w:p w14:paraId="105C1EDD">
            <w:pPr>
              <w:autoSpaceDE w:val="0"/>
              <w:autoSpaceDN w:val="0"/>
              <w:adjustRightInd w:val="0"/>
              <w:snapToGrid w:val="0"/>
              <w:spacing w:line="240" w:lineRule="auto"/>
              <w:ind w:firstLine="0" w:firstLineChars="0"/>
              <w:jc w:val="center"/>
              <w:rPr>
                <w:rFonts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780</w:t>
            </w:r>
          </w:p>
        </w:tc>
        <w:tc>
          <w:tcPr>
            <w:tcW w:w="1584" w:type="dxa"/>
            <w:shd w:val="clear" w:color="auto" w:fill="auto"/>
            <w:vAlign w:val="center"/>
          </w:tcPr>
          <w:p w14:paraId="06571589">
            <w:pPr>
              <w:autoSpaceDE w:val="0"/>
              <w:autoSpaceDN w:val="0"/>
              <w:adjustRightInd w:val="0"/>
              <w:snapToGrid w:val="0"/>
              <w:spacing w:line="240" w:lineRule="auto"/>
              <w:ind w:firstLine="0" w:firstLineChars="0"/>
              <w:jc w:val="center"/>
              <w:rPr>
                <w:rFonts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预期性</w:t>
            </w:r>
          </w:p>
        </w:tc>
      </w:tr>
      <w:tr w14:paraId="7EE2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61" w:type="dxa"/>
            <w:vMerge w:val="continue"/>
            <w:shd w:val="clear" w:color="auto" w:fill="auto"/>
            <w:vAlign w:val="center"/>
          </w:tcPr>
          <w:p w14:paraId="50A396FF">
            <w:pPr>
              <w:spacing w:line="560" w:lineRule="exact"/>
              <w:ind w:firstLine="0" w:firstLineChars="0"/>
              <w:jc w:val="center"/>
              <w:rPr>
                <w:rFonts w:hint="eastAsia" w:ascii="仿宋" w:hAnsi="仿宋" w:eastAsia="仿宋" w:cs="仿宋"/>
                <w:b/>
                <w:bCs/>
                <w:color w:val="000000" w:themeColor="text1"/>
                <w:kern w:val="0"/>
                <w:sz w:val="24"/>
                <w:szCs w:val="22"/>
                <w:highlight w:val="none"/>
                <w:u w:val="none"/>
                <w:lang w:val="en-US" w:eastAsia="zh-CN"/>
                <w14:textFill>
                  <w14:solidFill>
                    <w14:schemeClr w14:val="tx1"/>
                  </w14:solidFill>
                </w14:textFill>
              </w:rPr>
            </w:pPr>
          </w:p>
        </w:tc>
        <w:tc>
          <w:tcPr>
            <w:tcW w:w="861" w:type="dxa"/>
            <w:shd w:val="clear" w:color="auto" w:fill="auto"/>
            <w:vAlign w:val="center"/>
          </w:tcPr>
          <w:p w14:paraId="586D783A">
            <w:pPr>
              <w:spacing w:line="560" w:lineRule="exact"/>
              <w:ind w:firstLine="0" w:firstLineChars="0"/>
              <w:jc w:val="cente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5</w:t>
            </w:r>
          </w:p>
        </w:tc>
        <w:tc>
          <w:tcPr>
            <w:tcW w:w="3249" w:type="dxa"/>
            <w:shd w:val="clear" w:color="auto" w:fill="auto"/>
            <w:vAlign w:val="center"/>
          </w:tcPr>
          <w:p w14:paraId="2B93E65A">
            <w:pPr>
              <w:autoSpaceDE w:val="0"/>
              <w:autoSpaceDN w:val="0"/>
              <w:adjustRightInd w:val="0"/>
              <w:snapToGrid w:val="0"/>
              <w:spacing w:line="240" w:lineRule="auto"/>
              <w:ind w:firstLine="0" w:firstLineChars="0"/>
              <w:jc w:val="both"/>
              <w:rPr>
                <w:rFonts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生命科学产业规模</w:t>
            </w:r>
          </w:p>
        </w:tc>
        <w:tc>
          <w:tcPr>
            <w:tcW w:w="1041" w:type="dxa"/>
            <w:shd w:val="clear" w:color="auto" w:fill="auto"/>
            <w:vAlign w:val="center"/>
          </w:tcPr>
          <w:p w14:paraId="4E719990">
            <w:pPr>
              <w:autoSpaceDE w:val="0"/>
              <w:autoSpaceDN w:val="0"/>
              <w:adjustRightInd w:val="0"/>
              <w:snapToGrid w:val="0"/>
              <w:spacing w:line="240" w:lineRule="auto"/>
              <w:ind w:firstLine="0" w:firstLineChars="0"/>
              <w:jc w:val="center"/>
              <w:rPr>
                <w:rFonts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亿元</w:t>
            </w:r>
          </w:p>
        </w:tc>
        <w:tc>
          <w:tcPr>
            <w:tcW w:w="1784" w:type="dxa"/>
            <w:shd w:val="clear" w:color="auto" w:fill="auto"/>
            <w:vAlign w:val="center"/>
          </w:tcPr>
          <w:p w14:paraId="56FF866B">
            <w:pPr>
              <w:autoSpaceDE w:val="0"/>
              <w:autoSpaceDN w:val="0"/>
              <w:adjustRightInd w:val="0"/>
              <w:snapToGrid w:val="0"/>
              <w:spacing w:line="240" w:lineRule="auto"/>
              <w:ind w:firstLine="0" w:firstLineChars="0"/>
              <w:jc w:val="center"/>
              <w:rPr>
                <w:rFonts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5</w:t>
            </w:r>
            <w:r>
              <w:rPr>
                <w:rFonts w:hint="eastAsia" w:ascii="仿宋" w:hAnsi="仿宋" w:eastAsia="仿宋" w:cs="仿宋"/>
                <w:color w:val="000000" w:themeColor="text1"/>
                <w:kern w:val="0"/>
                <w:sz w:val="24"/>
                <w:szCs w:val="22"/>
                <w:highlight w:val="none"/>
                <w:u w:val="none"/>
                <w14:textFill>
                  <w14:solidFill>
                    <w14:schemeClr w14:val="tx1"/>
                  </w14:solidFill>
                </w14:textFill>
              </w:rPr>
              <w:t>00</w:t>
            </w:r>
          </w:p>
        </w:tc>
        <w:tc>
          <w:tcPr>
            <w:tcW w:w="1584" w:type="dxa"/>
            <w:shd w:val="clear" w:color="auto" w:fill="auto"/>
            <w:vAlign w:val="center"/>
          </w:tcPr>
          <w:p w14:paraId="53BBC7D0">
            <w:pPr>
              <w:autoSpaceDE w:val="0"/>
              <w:autoSpaceDN w:val="0"/>
              <w:adjustRightInd w:val="0"/>
              <w:snapToGrid w:val="0"/>
              <w:spacing w:line="240" w:lineRule="auto"/>
              <w:ind w:firstLine="0" w:firstLineChars="0"/>
              <w:jc w:val="center"/>
              <w:rPr>
                <w:rFonts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预期性</w:t>
            </w:r>
          </w:p>
        </w:tc>
      </w:tr>
      <w:tr w14:paraId="5FDF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861" w:type="dxa"/>
            <w:vMerge w:val="continue"/>
            <w:shd w:val="clear" w:color="auto" w:fill="auto"/>
            <w:vAlign w:val="center"/>
          </w:tcPr>
          <w:p w14:paraId="48129AFE">
            <w:pPr>
              <w:spacing w:line="560" w:lineRule="exact"/>
              <w:ind w:firstLine="0" w:firstLineChars="0"/>
              <w:jc w:val="center"/>
              <w:rPr>
                <w:rFonts w:hint="eastAsia" w:ascii="仿宋" w:hAnsi="仿宋" w:eastAsia="仿宋" w:cs="仿宋"/>
                <w:b/>
                <w:bCs/>
                <w:color w:val="000000" w:themeColor="text1"/>
                <w:kern w:val="0"/>
                <w:sz w:val="24"/>
                <w:szCs w:val="22"/>
                <w:highlight w:val="none"/>
                <w:u w:val="none"/>
                <w:lang w:val="en-US" w:eastAsia="zh-CN"/>
                <w14:textFill>
                  <w14:solidFill>
                    <w14:schemeClr w14:val="tx1"/>
                  </w14:solidFill>
                </w14:textFill>
              </w:rPr>
            </w:pPr>
          </w:p>
        </w:tc>
        <w:tc>
          <w:tcPr>
            <w:tcW w:w="861" w:type="dxa"/>
            <w:shd w:val="clear" w:color="auto" w:fill="auto"/>
            <w:vAlign w:val="center"/>
          </w:tcPr>
          <w:p w14:paraId="75A85141">
            <w:pPr>
              <w:spacing w:line="560" w:lineRule="exact"/>
              <w:ind w:firstLine="0" w:firstLineChars="0"/>
              <w:jc w:val="center"/>
              <w:rPr>
                <w:rFonts w:hint="default" w:ascii="仿宋" w:hAnsi="仿宋" w:eastAsia="仿宋" w:cs="仿宋"/>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6</w:t>
            </w:r>
          </w:p>
        </w:tc>
        <w:tc>
          <w:tcPr>
            <w:tcW w:w="3249" w:type="dxa"/>
            <w:shd w:val="clear" w:color="auto" w:fill="auto"/>
            <w:vAlign w:val="center"/>
          </w:tcPr>
          <w:p w14:paraId="329DA104">
            <w:pPr>
              <w:autoSpaceDE w:val="0"/>
              <w:autoSpaceDN w:val="0"/>
              <w:adjustRightInd w:val="0"/>
              <w:snapToGrid w:val="0"/>
              <w:spacing w:line="240" w:lineRule="auto"/>
              <w:ind w:firstLine="0" w:firstLineChars="0"/>
              <w:jc w:val="both"/>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年产值超过百亿的企业数量</w:t>
            </w:r>
          </w:p>
        </w:tc>
        <w:tc>
          <w:tcPr>
            <w:tcW w:w="1041" w:type="dxa"/>
            <w:shd w:val="clear" w:color="auto" w:fill="auto"/>
            <w:vAlign w:val="center"/>
          </w:tcPr>
          <w:p w14:paraId="005C8FE0">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家</w:t>
            </w:r>
          </w:p>
        </w:tc>
        <w:tc>
          <w:tcPr>
            <w:tcW w:w="1784" w:type="dxa"/>
            <w:shd w:val="clear" w:color="auto" w:fill="auto"/>
            <w:vAlign w:val="center"/>
          </w:tcPr>
          <w:p w14:paraId="330AA7E2">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10</w:t>
            </w:r>
          </w:p>
        </w:tc>
        <w:tc>
          <w:tcPr>
            <w:tcW w:w="1584" w:type="dxa"/>
            <w:shd w:val="clear" w:color="auto" w:fill="auto"/>
            <w:vAlign w:val="center"/>
          </w:tcPr>
          <w:p w14:paraId="14727526">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预期性</w:t>
            </w:r>
          </w:p>
        </w:tc>
      </w:tr>
      <w:tr w14:paraId="5FE8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861" w:type="dxa"/>
            <w:vMerge w:val="restart"/>
            <w:shd w:val="clear" w:color="auto" w:fill="auto"/>
            <w:vAlign w:val="center"/>
          </w:tcPr>
          <w:p w14:paraId="43BD2684">
            <w:pPr>
              <w:spacing w:line="560" w:lineRule="exact"/>
              <w:ind w:firstLine="0" w:firstLineChars="0"/>
              <w:jc w:val="center"/>
              <w:rPr>
                <w:rFonts w:hint="eastAsia" w:ascii="仿宋" w:hAnsi="仿宋" w:eastAsia="仿宋" w:cs="仿宋"/>
                <w:b/>
                <w:bCs/>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b/>
                <w:bCs/>
                <w:color w:val="000000" w:themeColor="text1"/>
                <w:kern w:val="0"/>
                <w:sz w:val="24"/>
                <w:szCs w:val="22"/>
                <w:highlight w:val="none"/>
                <w:u w:val="none"/>
                <w:lang w:val="en-US" w:eastAsia="zh-CN"/>
                <w14:textFill>
                  <w14:solidFill>
                    <w14:schemeClr w14:val="tx1"/>
                  </w14:solidFill>
                </w14:textFill>
              </w:rPr>
              <w:t>产业质量</w:t>
            </w:r>
          </w:p>
        </w:tc>
        <w:tc>
          <w:tcPr>
            <w:tcW w:w="861" w:type="dxa"/>
            <w:shd w:val="clear" w:color="auto" w:fill="auto"/>
            <w:vAlign w:val="center"/>
          </w:tcPr>
          <w:p w14:paraId="4171232B">
            <w:pPr>
              <w:spacing w:line="560" w:lineRule="exact"/>
              <w:ind w:firstLine="0" w:firstLineChars="0"/>
              <w:jc w:val="center"/>
              <w:rPr>
                <w:rFonts w:hint="default" w:ascii="仿宋" w:hAnsi="仿宋" w:eastAsia="仿宋" w:cs="仿宋"/>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7</w:t>
            </w:r>
          </w:p>
        </w:tc>
        <w:tc>
          <w:tcPr>
            <w:tcW w:w="3249" w:type="dxa"/>
            <w:shd w:val="clear" w:color="auto" w:fill="auto"/>
            <w:vAlign w:val="center"/>
          </w:tcPr>
          <w:p w14:paraId="06181044">
            <w:pPr>
              <w:autoSpaceDE w:val="0"/>
              <w:autoSpaceDN w:val="0"/>
              <w:adjustRightInd w:val="0"/>
              <w:snapToGrid w:val="0"/>
              <w:spacing w:line="240" w:lineRule="auto"/>
              <w:ind w:firstLine="0" w:firstLineChars="0"/>
              <w:jc w:val="both"/>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市级</w:t>
            </w: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以上</w:t>
            </w:r>
            <w:r>
              <w:rPr>
                <w:rFonts w:hint="eastAsia" w:ascii="仿宋" w:hAnsi="仿宋" w:eastAsia="仿宋" w:cs="仿宋"/>
                <w:color w:val="000000" w:themeColor="text1"/>
                <w:kern w:val="0"/>
                <w:sz w:val="24"/>
                <w:szCs w:val="22"/>
                <w:highlight w:val="none"/>
                <w:u w:val="none"/>
                <w14:textFill>
                  <w14:solidFill>
                    <w14:schemeClr w14:val="tx1"/>
                  </w14:solidFill>
                </w14:textFill>
              </w:rPr>
              <w:t>专精特新中小企业</w:t>
            </w: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数量</w:t>
            </w:r>
          </w:p>
        </w:tc>
        <w:tc>
          <w:tcPr>
            <w:tcW w:w="1041" w:type="dxa"/>
            <w:shd w:val="clear" w:color="auto" w:fill="auto"/>
            <w:vAlign w:val="center"/>
          </w:tcPr>
          <w:p w14:paraId="6CD46D95">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家</w:t>
            </w:r>
          </w:p>
        </w:tc>
        <w:tc>
          <w:tcPr>
            <w:tcW w:w="1784" w:type="dxa"/>
            <w:shd w:val="clear" w:color="auto" w:fill="auto"/>
            <w:vAlign w:val="center"/>
          </w:tcPr>
          <w:p w14:paraId="1818AEA5">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33</w:t>
            </w:r>
          </w:p>
        </w:tc>
        <w:tc>
          <w:tcPr>
            <w:tcW w:w="1584" w:type="dxa"/>
            <w:shd w:val="clear" w:color="auto" w:fill="auto"/>
            <w:vAlign w:val="center"/>
          </w:tcPr>
          <w:p w14:paraId="535F685A">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预期性</w:t>
            </w:r>
          </w:p>
        </w:tc>
      </w:tr>
      <w:tr w14:paraId="282E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861" w:type="dxa"/>
            <w:vMerge w:val="continue"/>
            <w:shd w:val="clear" w:color="auto" w:fill="auto"/>
            <w:vAlign w:val="center"/>
          </w:tcPr>
          <w:p w14:paraId="37CE664E">
            <w:pPr>
              <w:spacing w:line="560" w:lineRule="exact"/>
              <w:ind w:firstLine="0" w:firstLineChars="0"/>
              <w:jc w:val="center"/>
              <w:rPr>
                <w:rFonts w:hint="eastAsia" w:ascii="仿宋" w:hAnsi="仿宋" w:eastAsia="仿宋" w:cs="仿宋"/>
                <w:b/>
                <w:bCs/>
                <w:color w:val="000000" w:themeColor="text1"/>
                <w:kern w:val="0"/>
                <w:sz w:val="24"/>
                <w:szCs w:val="22"/>
                <w:highlight w:val="none"/>
                <w:u w:val="none"/>
                <w:lang w:val="en-US" w:eastAsia="zh-CN"/>
                <w14:textFill>
                  <w14:solidFill>
                    <w14:schemeClr w14:val="tx1"/>
                  </w14:solidFill>
                </w14:textFill>
              </w:rPr>
            </w:pPr>
          </w:p>
        </w:tc>
        <w:tc>
          <w:tcPr>
            <w:tcW w:w="861" w:type="dxa"/>
            <w:shd w:val="clear" w:color="auto" w:fill="auto"/>
            <w:vAlign w:val="center"/>
          </w:tcPr>
          <w:p w14:paraId="45A88C54">
            <w:pPr>
              <w:spacing w:line="560" w:lineRule="exact"/>
              <w:ind w:firstLine="0" w:firstLineChars="0"/>
              <w:jc w:val="center"/>
              <w:rPr>
                <w:rFonts w:hint="default" w:ascii="仿宋" w:hAnsi="仿宋" w:eastAsia="仿宋" w:cs="仿宋"/>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8</w:t>
            </w:r>
          </w:p>
        </w:tc>
        <w:tc>
          <w:tcPr>
            <w:tcW w:w="3249" w:type="dxa"/>
            <w:shd w:val="clear" w:color="auto" w:fill="auto"/>
            <w:vAlign w:val="center"/>
          </w:tcPr>
          <w:p w14:paraId="084ECC7B">
            <w:pPr>
              <w:autoSpaceDE w:val="0"/>
              <w:autoSpaceDN w:val="0"/>
              <w:adjustRightInd w:val="0"/>
              <w:snapToGrid w:val="0"/>
              <w:spacing w:line="240" w:lineRule="auto"/>
              <w:ind w:firstLine="0" w:firstLineChars="0"/>
              <w:jc w:val="both"/>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制造业单项冠军企业（产品）</w:t>
            </w: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数量</w:t>
            </w:r>
          </w:p>
        </w:tc>
        <w:tc>
          <w:tcPr>
            <w:tcW w:w="1041" w:type="dxa"/>
            <w:shd w:val="clear" w:color="auto" w:fill="auto"/>
            <w:vAlign w:val="center"/>
          </w:tcPr>
          <w:p w14:paraId="59F50A29">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家</w:t>
            </w:r>
          </w:p>
        </w:tc>
        <w:tc>
          <w:tcPr>
            <w:tcW w:w="1784" w:type="dxa"/>
            <w:shd w:val="clear" w:color="auto" w:fill="auto"/>
            <w:vAlign w:val="center"/>
          </w:tcPr>
          <w:p w14:paraId="4C31E299">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4-5</w:t>
            </w:r>
          </w:p>
        </w:tc>
        <w:tc>
          <w:tcPr>
            <w:tcW w:w="1584" w:type="dxa"/>
            <w:shd w:val="clear" w:color="auto" w:fill="auto"/>
            <w:vAlign w:val="center"/>
          </w:tcPr>
          <w:p w14:paraId="458A650B">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预期性</w:t>
            </w:r>
          </w:p>
        </w:tc>
      </w:tr>
      <w:tr w14:paraId="627E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861" w:type="dxa"/>
            <w:vMerge w:val="restart"/>
            <w:shd w:val="clear" w:color="auto" w:fill="auto"/>
            <w:vAlign w:val="center"/>
          </w:tcPr>
          <w:p w14:paraId="56D3CC20">
            <w:pPr>
              <w:spacing w:line="560" w:lineRule="exact"/>
              <w:ind w:firstLine="0" w:firstLineChars="0"/>
              <w:jc w:val="center"/>
              <w:rPr>
                <w:rFonts w:hint="eastAsia" w:ascii="仿宋" w:hAnsi="仿宋" w:eastAsia="仿宋" w:cs="仿宋"/>
                <w:b/>
                <w:bCs/>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b/>
                <w:bCs/>
                <w:color w:val="000000" w:themeColor="text1"/>
                <w:kern w:val="0"/>
                <w:sz w:val="24"/>
                <w:szCs w:val="22"/>
                <w:highlight w:val="none"/>
                <w:u w:val="none"/>
                <w:lang w:val="en-US" w:eastAsia="zh-CN"/>
                <w14:textFill>
                  <w14:solidFill>
                    <w14:schemeClr w14:val="tx1"/>
                  </w14:solidFill>
                </w14:textFill>
              </w:rPr>
              <w:t>产业空间</w:t>
            </w:r>
          </w:p>
        </w:tc>
        <w:tc>
          <w:tcPr>
            <w:tcW w:w="861" w:type="dxa"/>
            <w:vMerge w:val="restart"/>
            <w:shd w:val="clear" w:color="auto" w:fill="auto"/>
            <w:vAlign w:val="center"/>
          </w:tcPr>
          <w:p w14:paraId="7A6B59A6">
            <w:pPr>
              <w:spacing w:line="560" w:lineRule="exact"/>
              <w:ind w:firstLine="0" w:firstLineChars="0"/>
              <w:jc w:val="cente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9</w:t>
            </w:r>
          </w:p>
          <w:p w14:paraId="4BAED0AC">
            <w:pPr>
              <w:spacing w:line="560" w:lineRule="exact"/>
              <w:ind w:firstLine="0" w:firstLineChars="0"/>
              <w:jc w:val="center"/>
              <w:rPr>
                <w:rFonts w:hint="default" w:ascii="仿宋" w:hAnsi="仿宋" w:eastAsia="仿宋" w:cs="仿宋"/>
                <w:color w:val="000000" w:themeColor="text1"/>
                <w:kern w:val="0"/>
                <w:sz w:val="24"/>
                <w:szCs w:val="22"/>
                <w:highlight w:val="none"/>
                <w:u w:val="none"/>
                <w:lang w:val="en-US"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val="en-US" w:eastAsia="zh-CN"/>
                <w14:textFill>
                  <w14:solidFill>
                    <w14:schemeClr w14:val="tx1"/>
                  </w14:solidFill>
                </w14:textFill>
              </w:rPr>
              <w:t>10</w:t>
            </w:r>
          </w:p>
        </w:tc>
        <w:tc>
          <w:tcPr>
            <w:tcW w:w="3249" w:type="dxa"/>
            <w:shd w:val="clear" w:color="auto" w:fill="auto"/>
            <w:vAlign w:val="center"/>
          </w:tcPr>
          <w:p w14:paraId="355D1DB8">
            <w:pPr>
              <w:autoSpaceDE w:val="0"/>
              <w:autoSpaceDN w:val="0"/>
              <w:adjustRightInd w:val="0"/>
              <w:snapToGrid w:val="0"/>
              <w:spacing w:line="240" w:lineRule="auto"/>
              <w:ind w:firstLine="0" w:firstLineChars="0"/>
              <w:jc w:val="both"/>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存量纳管的产业空间</w:t>
            </w: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面积</w:t>
            </w:r>
          </w:p>
        </w:tc>
        <w:tc>
          <w:tcPr>
            <w:tcW w:w="1041" w:type="dxa"/>
            <w:shd w:val="clear" w:color="auto" w:fill="auto"/>
            <w:vAlign w:val="center"/>
          </w:tcPr>
          <w:p w14:paraId="5B732290">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万平方米</w:t>
            </w:r>
          </w:p>
        </w:tc>
        <w:tc>
          <w:tcPr>
            <w:tcW w:w="1784" w:type="dxa"/>
            <w:shd w:val="clear" w:color="auto" w:fill="auto"/>
            <w:vAlign w:val="center"/>
          </w:tcPr>
          <w:p w14:paraId="58B11219">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≧1000</w:t>
            </w:r>
          </w:p>
        </w:tc>
        <w:tc>
          <w:tcPr>
            <w:tcW w:w="1584" w:type="dxa"/>
            <w:shd w:val="clear" w:color="auto" w:fill="auto"/>
            <w:vAlign w:val="center"/>
          </w:tcPr>
          <w:p w14:paraId="0C9C3DDB">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预期性</w:t>
            </w:r>
          </w:p>
        </w:tc>
      </w:tr>
      <w:tr w14:paraId="3E888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3" w:hRule="atLeast"/>
          <w:jc w:val="center"/>
        </w:trPr>
        <w:tc>
          <w:tcPr>
            <w:tcW w:w="861" w:type="dxa"/>
            <w:vMerge w:val="continue"/>
            <w:shd w:val="clear" w:color="auto" w:fill="auto"/>
            <w:vAlign w:val="center"/>
          </w:tcPr>
          <w:p w14:paraId="55D83DEC">
            <w:pPr>
              <w:spacing w:line="560" w:lineRule="exact"/>
              <w:ind w:firstLine="0" w:firstLineChars="0"/>
              <w:jc w:val="center"/>
              <w:rPr>
                <w:rFonts w:hint="default" w:ascii="仿宋" w:hAnsi="仿宋" w:eastAsia="仿宋" w:cs="仿宋"/>
                <w:color w:val="000000" w:themeColor="text1"/>
                <w:kern w:val="0"/>
                <w:sz w:val="24"/>
                <w:szCs w:val="22"/>
                <w:highlight w:val="none"/>
                <w:u w:val="none"/>
                <w:lang w:val="en-US" w:eastAsia="zh-CN"/>
                <w14:textFill>
                  <w14:solidFill>
                    <w14:schemeClr w14:val="tx1"/>
                  </w14:solidFill>
                </w14:textFill>
              </w:rPr>
            </w:pPr>
          </w:p>
        </w:tc>
        <w:tc>
          <w:tcPr>
            <w:tcW w:w="861" w:type="dxa"/>
            <w:vMerge w:val="continue"/>
            <w:shd w:val="clear" w:color="auto" w:fill="auto"/>
            <w:vAlign w:val="center"/>
          </w:tcPr>
          <w:p w14:paraId="5A620C1A">
            <w:pPr>
              <w:spacing w:line="560" w:lineRule="exact"/>
              <w:ind w:firstLine="0" w:firstLineChars="0"/>
              <w:jc w:val="center"/>
              <w:rPr>
                <w:rFonts w:hint="default" w:ascii="仿宋" w:hAnsi="仿宋" w:eastAsia="仿宋" w:cs="仿宋"/>
                <w:color w:val="000000" w:themeColor="text1"/>
                <w:kern w:val="0"/>
                <w:sz w:val="24"/>
                <w:szCs w:val="22"/>
                <w:highlight w:val="none"/>
                <w:u w:val="none"/>
                <w:lang w:val="en-US" w:eastAsia="zh-CN"/>
                <w14:textFill>
                  <w14:solidFill>
                    <w14:schemeClr w14:val="tx1"/>
                  </w14:solidFill>
                </w14:textFill>
              </w:rPr>
            </w:pPr>
          </w:p>
        </w:tc>
        <w:tc>
          <w:tcPr>
            <w:tcW w:w="3249" w:type="dxa"/>
            <w:shd w:val="clear" w:color="auto" w:fill="auto"/>
            <w:vAlign w:val="center"/>
          </w:tcPr>
          <w:p w14:paraId="73E1B815">
            <w:pPr>
              <w:autoSpaceDE w:val="0"/>
              <w:autoSpaceDN w:val="0"/>
              <w:adjustRightInd w:val="0"/>
              <w:snapToGrid w:val="0"/>
              <w:spacing w:line="240" w:lineRule="auto"/>
              <w:ind w:firstLine="0" w:firstLineChars="0"/>
              <w:jc w:val="both"/>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新建改造的高标准产业空间</w:t>
            </w: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面积</w:t>
            </w:r>
          </w:p>
        </w:tc>
        <w:tc>
          <w:tcPr>
            <w:tcW w:w="1041" w:type="dxa"/>
            <w:shd w:val="clear" w:color="auto" w:fill="auto"/>
            <w:vAlign w:val="center"/>
          </w:tcPr>
          <w:p w14:paraId="7FE2D948">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lang w:eastAsia="zh-CN"/>
                <w14:textFill>
                  <w14:solidFill>
                    <w14:schemeClr w14:val="tx1"/>
                  </w14:solidFill>
                </w14:textFill>
              </w:rPr>
              <w:t>万平方米</w:t>
            </w:r>
          </w:p>
        </w:tc>
        <w:tc>
          <w:tcPr>
            <w:tcW w:w="1784" w:type="dxa"/>
            <w:shd w:val="clear" w:color="auto" w:fill="auto"/>
            <w:vAlign w:val="center"/>
          </w:tcPr>
          <w:p w14:paraId="1D0D3661">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≧1000</w:t>
            </w:r>
          </w:p>
        </w:tc>
        <w:tc>
          <w:tcPr>
            <w:tcW w:w="1584" w:type="dxa"/>
            <w:shd w:val="clear" w:color="auto" w:fill="auto"/>
            <w:vAlign w:val="center"/>
          </w:tcPr>
          <w:p w14:paraId="2B73EA64">
            <w:pPr>
              <w:autoSpaceDE w:val="0"/>
              <w:autoSpaceDN w:val="0"/>
              <w:adjustRightInd w:val="0"/>
              <w:snapToGrid w:val="0"/>
              <w:spacing w:line="240" w:lineRule="auto"/>
              <w:ind w:firstLine="0" w:firstLineChars="0"/>
              <w:jc w:val="center"/>
              <w:rPr>
                <w:rFonts w:hint="eastAsia" w:ascii="仿宋" w:hAnsi="仿宋" w:eastAsia="仿宋" w:cs="仿宋"/>
                <w:color w:val="000000" w:themeColor="text1"/>
                <w:kern w:val="0"/>
                <w:sz w:val="24"/>
                <w:szCs w:val="22"/>
                <w:highlight w:val="none"/>
                <w:u w:val="none"/>
                <w14:textFill>
                  <w14:solidFill>
                    <w14:schemeClr w14:val="tx1"/>
                  </w14:solidFill>
                </w14:textFill>
              </w:rPr>
            </w:pPr>
            <w:r>
              <w:rPr>
                <w:rFonts w:hint="eastAsia" w:ascii="仿宋" w:hAnsi="仿宋" w:eastAsia="仿宋" w:cs="仿宋"/>
                <w:color w:val="000000" w:themeColor="text1"/>
                <w:kern w:val="0"/>
                <w:sz w:val="24"/>
                <w:szCs w:val="22"/>
                <w:highlight w:val="none"/>
                <w:u w:val="none"/>
                <w14:textFill>
                  <w14:solidFill>
                    <w14:schemeClr w14:val="tx1"/>
                  </w14:solidFill>
                </w14:textFill>
              </w:rPr>
              <w:t>预期性</w:t>
            </w:r>
          </w:p>
        </w:tc>
      </w:tr>
      <w:bookmarkEnd w:id="53"/>
    </w:tbl>
    <w:p w14:paraId="28A974AA">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63" w:name="_Toc53583306"/>
      <w:bookmarkStart w:id="64" w:name="_Toc24891"/>
      <w:bookmarkStart w:id="65" w:name="_Toc16686"/>
      <w:bookmarkStart w:id="66" w:name="_Toc42762153"/>
      <w:bookmarkStart w:id="67" w:name="_Toc36286612"/>
      <w:bookmarkStart w:id="68" w:name="_Toc10402"/>
      <w:bookmarkStart w:id="69" w:name="_Toc56442302"/>
      <w:bookmarkStart w:id="70" w:name="_Toc20867"/>
      <w:bookmarkStart w:id="71" w:name="_Toc22112_WPSOffice_Level2"/>
      <w:r>
        <w:rPr>
          <w:rFonts w:hint="eastAsia" w:ascii="楷体_GB2312" w:hAnsi="楷体_GB2312" w:eastAsia="楷体_GB2312" w:cs="楷体_GB2312"/>
          <w:color w:val="000000" w:themeColor="text1"/>
          <w:highlight w:val="none"/>
          <w:u w:val="none"/>
          <w14:textFill>
            <w14:solidFill>
              <w14:schemeClr w14:val="tx1"/>
            </w14:solidFill>
          </w14:textFill>
        </w:rPr>
        <w:t>（三）实施路径</w:t>
      </w:r>
      <w:bookmarkEnd w:id="63"/>
      <w:bookmarkEnd w:id="64"/>
      <w:bookmarkEnd w:id="65"/>
      <w:bookmarkEnd w:id="66"/>
      <w:bookmarkEnd w:id="67"/>
      <w:bookmarkEnd w:id="68"/>
      <w:bookmarkEnd w:id="69"/>
      <w:bookmarkEnd w:id="70"/>
      <w:bookmarkEnd w:id="71"/>
    </w:p>
    <w:p w14:paraId="6628F129">
      <w:pPr>
        <w:pStyle w:val="2"/>
        <w:spacing w:line="560" w:lineRule="exact"/>
        <w:ind w:firstLine="643" w:firstLineChars="200"/>
        <w:jc w:val="both"/>
        <w:rPr>
          <w:rFonts w:ascii="仿宋_GB2312" w:hAnsi="黑体" w:eastAsia="仿宋_GB2312"/>
          <w:color w:val="000000" w:themeColor="text1"/>
          <w:sz w:val="32"/>
          <w:szCs w:val="32"/>
          <w:highlight w:val="none"/>
          <w:u w:val="none"/>
          <w14:textFill>
            <w14:solidFill>
              <w14:schemeClr w14:val="tx1"/>
            </w14:solidFill>
          </w14:textFill>
        </w:rPr>
      </w:pPr>
      <w:r>
        <w:rPr>
          <w:rFonts w:hint="eastAsia" w:ascii="仿宋_GB2312" w:hAnsi="黑体" w:eastAsia="仿宋_GB2312"/>
          <w:b/>
          <w:color w:val="000000" w:themeColor="text1"/>
          <w:sz w:val="32"/>
          <w:szCs w:val="32"/>
          <w:highlight w:val="none"/>
          <w:u w:val="none"/>
          <w14:textFill>
            <w14:solidFill>
              <w14:schemeClr w14:val="tx1"/>
            </w14:solidFill>
          </w14:textFill>
        </w:rPr>
        <w:t>——沿途下蛋。</w:t>
      </w:r>
      <w:r>
        <w:rPr>
          <w:rFonts w:hint="eastAsia" w:ascii="仿宋_GB2312" w:hAnsi="黑体" w:eastAsia="仿宋_GB2312"/>
          <w:color w:val="000000" w:themeColor="text1"/>
          <w:sz w:val="32"/>
          <w:szCs w:val="32"/>
          <w:highlight w:val="none"/>
          <w:u w:val="none"/>
          <w14:textFill>
            <w14:solidFill>
              <w14:schemeClr w14:val="tx1"/>
            </w14:solidFill>
          </w14:textFill>
        </w:rPr>
        <w:t>以光明科学城为创新极核，中山大学深圳校区、中国科学院深圳理工大学为创新支点，加快推动重大科技基础设施、多类型多层次园区</w:t>
      </w:r>
      <w:r>
        <w:rPr>
          <w:rFonts w:hint="eastAsia" w:ascii="仿宋_GB2312" w:hAnsi="黑体" w:eastAsia="仿宋_GB2312"/>
          <w:color w:val="000000" w:themeColor="text1"/>
          <w:sz w:val="32"/>
          <w:szCs w:val="32"/>
          <w:highlight w:val="none"/>
          <w:u w:val="none"/>
          <w:lang w:eastAsia="zh-CN"/>
          <w14:textFill>
            <w14:solidFill>
              <w14:schemeClr w14:val="tx1"/>
            </w14:solidFill>
          </w14:textFill>
        </w:rPr>
        <w:t>及</w:t>
      </w:r>
      <w:r>
        <w:rPr>
          <w:rFonts w:hint="eastAsia" w:ascii="仿宋_GB2312" w:hAnsi="黑体" w:eastAsia="仿宋_GB2312"/>
          <w:color w:val="000000" w:themeColor="text1"/>
          <w:sz w:val="32"/>
          <w:szCs w:val="32"/>
          <w:highlight w:val="none"/>
          <w:u w:val="none"/>
          <w14:textFill>
            <w14:solidFill>
              <w14:schemeClr w14:val="tx1"/>
            </w14:solidFill>
          </w14:textFill>
        </w:rPr>
        <w:t>产业配套建设，并在发展过程中形成重大创新的基础性能力和研发生态，打造一批接得住、接得好、接得稳的科技成果转化平台，把科技成果转化为现实生产力。</w:t>
      </w:r>
    </w:p>
    <w:p w14:paraId="2328D3AE">
      <w:pPr>
        <w:suppressAutoHyphens/>
        <w:autoSpaceDE w:val="0"/>
        <w:spacing w:line="560" w:lineRule="exact"/>
        <w:ind w:firstLine="643" w:firstLineChars="200"/>
        <w:rPr>
          <w:rFonts w:ascii="仿宋_GB2312" w:hAnsi="黑体" w:eastAsia="仿宋_GB2312"/>
          <w:color w:val="000000" w:themeColor="text1"/>
          <w:kern w:val="0"/>
          <w:sz w:val="32"/>
          <w:szCs w:val="32"/>
          <w:highlight w:val="none"/>
          <w:u w:val="none"/>
          <w14:textFill>
            <w14:solidFill>
              <w14:schemeClr w14:val="tx1"/>
            </w14:solidFill>
          </w14:textFill>
        </w:rPr>
      </w:pPr>
      <w:r>
        <w:rPr>
          <w:rFonts w:hint="eastAsia" w:ascii="仿宋_GB2312" w:hAnsi="黑体" w:eastAsia="仿宋_GB2312"/>
          <w:b/>
          <w:color w:val="000000" w:themeColor="text1"/>
          <w:kern w:val="0"/>
          <w:sz w:val="32"/>
          <w:szCs w:val="32"/>
          <w:highlight w:val="none"/>
          <w:u w:val="none"/>
          <w14:textFill>
            <w14:solidFill>
              <w14:schemeClr w14:val="tx1"/>
            </w14:solidFill>
          </w14:textFill>
        </w:rPr>
        <w:t>——创新驱动。</w:t>
      </w:r>
      <w:r>
        <w:rPr>
          <w:rFonts w:hint="eastAsia" w:ascii="仿宋_GB2312" w:hAnsi="黑体" w:eastAsia="仿宋_GB2312"/>
          <w:color w:val="000000" w:themeColor="text1"/>
          <w:kern w:val="0"/>
          <w:sz w:val="32"/>
          <w:szCs w:val="32"/>
          <w:highlight w:val="none"/>
          <w:u w:val="none"/>
          <w14:textFill>
            <w14:solidFill>
              <w14:schemeClr w14:val="tx1"/>
            </w14:solidFill>
          </w14:textFill>
        </w:rPr>
        <w:t>发挥深圳综合性</w:t>
      </w:r>
      <w:r>
        <w:rPr>
          <w:rFonts w:hint="eastAsia" w:ascii="仿宋_GB2312" w:hAnsi="黑体" w:eastAsia="仿宋_GB2312"/>
          <w:color w:val="000000" w:themeColor="text1"/>
          <w:kern w:val="0"/>
          <w:sz w:val="32"/>
          <w:szCs w:val="32"/>
          <w:highlight w:val="none"/>
          <w:u w:val="none"/>
          <w:lang w:eastAsia="zh-CN"/>
          <w14:textFill>
            <w14:solidFill>
              <w14:schemeClr w14:val="tx1"/>
            </w14:solidFill>
          </w14:textFill>
        </w:rPr>
        <w:t>国家</w:t>
      </w:r>
      <w:r>
        <w:rPr>
          <w:rFonts w:hint="eastAsia" w:ascii="仿宋_GB2312" w:hAnsi="黑体" w:eastAsia="仿宋_GB2312"/>
          <w:color w:val="000000" w:themeColor="text1"/>
          <w:kern w:val="0"/>
          <w:sz w:val="32"/>
          <w:szCs w:val="32"/>
          <w:highlight w:val="none"/>
          <w:u w:val="none"/>
          <w14:textFill>
            <w14:solidFill>
              <w14:schemeClr w14:val="tx1"/>
            </w14:solidFill>
          </w14:textFill>
        </w:rPr>
        <w:t>科学中心核心承载区源头创新优势，加快构建</w:t>
      </w:r>
      <w:r>
        <w:rPr>
          <w:rFonts w:ascii="仿宋_GB2312" w:hAnsi="黑体" w:eastAsia="仿宋_GB2312"/>
          <w:color w:val="000000" w:themeColor="text1"/>
          <w:kern w:val="0"/>
          <w:sz w:val="32"/>
          <w:szCs w:val="32"/>
          <w:highlight w:val="none"/>
          <w:u w:val="none"/>
          <w14:textFill>
            <w14:solidFill>
              <w14:schemeClr w14:val="tx1"/>
            </w14:solidFill>
          </w14:textFill>
        </w:rPr>
        <w:t>开放包容、更具吸引力竞争力的创新创业生态</w:t>
      </w:r>
      <w:r>
        <w:rPr>
          <w:rFonts w:hint="eastAsia" w:ascii="仿宋_GB2312" w:hAnsi="黑体" w:eastAsia="仿宋_GB2312"/>
          <w:color w:val="000000" w:themeColor="text1"/>
          <w:kern w:val="0"/>
          <w:sz w:val="32"/>
          <w:szCs w:val="32"/>
          <w:highlight w:val="none"/>
          <w:u w:val="none"/>
          <w14:textFill>
            <w14:solidFill>
              <w14:schemeClr w14:val="tx1"/>
            </w14:solidFill>
          </w14:textFill>
        </w:rPr>
        <w:t>，在战略性新兴产业部分领域形成</w:t>
      </w:r>
      <w:r>
        <w:rPr>
          <w:rFonts w:ascii="仿宋_GB2312" w:hAnsi="黑体" w:eastAsia="仿宋_GB2312"/>
          <w:color w:val="000000" w:themeColor="text1"/>
          <w:kern w:val="0"/>
          <w:sz w:val="32"/>
          <w:szCs w:val="32"/>
          <w:highlight w:val="none"/>
          <w:u w:val="none"/>
          <w14:textFill>
            <w14:solidFill>
              <w14:schemeClr w14:val="tx1"/>
            </w14:solidFill>
          </w14:textFill>
        </w:rPr>
        <w:t>产业链供应链长板</w:t>
      </w:r>
      <w:r>
        <w:rPr>
          <w:rFonts w:hint="eastAsia" w:ascii="仿宋_GB2312" w:hAnsi="黑体" w:eastAsia="仿宋_GB2312"/>
          <w:color w:val="000000" w:themeColor="text1"/>
          <w:kern w:val="0"/>
          <w:sz w:val="32"/>
          <w:szCs w:val="32"/>
          <w:highlight w:val="none"/>
          <w:u w:val="none"/>
          <w14:textFill>
            <w14:solidFill>
              <w14:schemeClr w14:val="tx1"/>
            </w14:solidFill>
          </w14:textFill>
        </w:rPr>
        <w:t>和</w:t>
      </w:r>
      <w:r>
        <w:rPr>
          <w:rFonts w:ascii="仿宋_GB2312" w:hAnsi="黑体" w:eastAsia="仿宋_GB2312"/>
          <w:color w:val="000000" w:themeColor="text1"/>
          <w:kern w:val="0"/>
          <w:sz w:val="32"/>
          <w:szCs w:val="32"/>
          <w:highlight w:val="none"/>
          <w:u w:val="none"/>
          <w14:textFill>
            <w14:solidFill>
              <w14:schemeClr w14:val="tx1"/>
            </w14:solidFill>
          </w14:textFill>
        </w:rPr>
        <w:t>先发优势，掌握</w:t>
      </w:r>
      <w:r>
        <w:rPr>
          <w:rFonts w:hint="eastAsia" w:ascii="仿宋_GB2312" w:hAnsi="黑体" w:eastAsia="仿宋_GB2312"/>
          <w:color w:val="000000" w:themeColor="text1"/>
          <w:kern w:val="0"/>
          <w:sz w:val="32"/>
          <w:szCs w:val="32"/>
          <w:highlight w:val="none"/>
          <w:u w:val="none"/>
          <w14:textFill>
            <w14:solidFill>
              <w14:schemeClr w14:val="tx1"/>
            </w14:solidFill>
          </w14:textFill>
        </w:rPr>
        <w:t>一批</w:t>
      </w:r>
      <w:r>
        <w:rPr>
          <w:rFonts w:ascii="仿宋_GB2312" w:hAnsi="黑体" w:eastAsia="仿宋_GB2312"/>
          <w:color w:val="000000" w:themeColor="text1"/>
          <w:kern w:val="0"/>
          <w:sz w:val="32"/>
          <w:szCs w:val="32"/>
          <w:highlight w:val="none"/>
          <w:u w:val="none"/>
          <w14:textFill>
            <w14:solidFill>
              <w14:schemeClr w14:val="tx1"/>
            </w14:solidFill>
          </w14:textFill>
        </w:rPr>
        <w:t>产业链核心环节、占据价值链高端地位</w:t>
      </w:r>
      <w:r>
        <w:rPr>
          <w:rFonts w:hint="eastAsia" w:ascii="仿宋_GB2312" w:hAnsi="黑体" w:eastAsia="仿宋_GB2312"/>
          <w:color w:val="000000" w:themeColor="text1"/>
          <w:kern w:val="0"/>
          <w:sz w:val="32"/>
          <w:szCs w:val="32"/>
          <w:highlight w:val="none"/>
          <w:u w:val="none"/>
          <w14:textFill>
            <w14:solidFill>
              <w14:schemeClr w14:val="tx1"/>
            </w14:solidFill>
          </w14:textFill>
        </w:rPr>
        <w:t>，</w:t>
      </w:r>
      <w:r>
        <w:rPr>
          <w:rFonts w:ascii="仿宋_GB2312" w:hAnsi="黑体" w:eastAsia="仿宋_GB2312"/>
          <w:color w:val="000000" w:themeColor="text1"/>
          <w:kern w:val="0"/>
          <w:sz w:val="32"/>
          <w:szCs w:val="32"/>
          <w:highlight w:val="none"/>
          <w:u w:val="none"/>
          <w14:textFill>
            <w14:solidFill>
              <w14:schemeClr w14:val="tx1"/>
            </w14:solidFill>
          </w14:textFill>
        </w:rPr>
        <w:t>稳固产业链供应链价值链、增强经济发展韧性和动能</w:t>
      </w:r>
      <w:r>
        <w:rPr>
          <w:rFonts w:hint="eastAsia" w:ascii="仿宋_GB2312" w:hAnsi="黑体" w:eastAsia="仿宋_GB2312"/>
          <w:color w:val="000000" w:themeColor="text1"/>
          <w:kern w:val="0"/>
          <w:sz w:val="32"/>
          <w:szCs w:val="32"/>
          <w:highlight w:val="none"/>
          <w:u w:val="none"/>
          <w14:textFill>
            <w14:solidFill>
              <w14:schemeClr w14:val="tx1"/>
            </w14:solidFill>
          </w14:textFill>
        </w:rPr>
        <w:t>。</w:t>
      </w:r>
    </w:p>
    <w:p w14:paraId="2702A714">
      <w:pPr>
        <w:overflowPunct w:val="0"/>
        <w:spacing w:line="560" w:lineRule="exact"/>
        <w:ind w:firstLine="643" w:firstLineChars="200"/>
        <w:rPr>
          <w:rFonts w:ascii="仿宋_GB2312" w:hAnsi="黑体" w:eastAsia="仿宋_GB2312"/>
          <w:color w:val="000000" w:themeColor="text1"/>
          <w:kern w:val="0"/>
          <w:sz w:val="32"/>
          <w:szCs w:val="32"/>
          <w:highlight w:val="none"/>
          <w:u w:val="none"/>
          <w14:textFill>
            <w14:solidFill>
              <w14:schemeClr w14:val="tx1"/>
            </w14:solidFill>
          </w14:textFill>
        </w:rPr>
      </w:pPr>
      <w:r>
        <w:rPr>
          <w:rFonts w:hint="eastAsia" w:ascii="仿宋_GB2312" w:hAnsi="黑体" w:eastAsia="仿宋_GB2312"/>
          <w:b/>
          <w:color w:val="000000" w:themeColor="text1"/>
          <w:sz w:val="32"/>
          <w:szCs w:val="32"/>
          <w:highlight w:val="none"/>
          <w:u w:val="none"/>
          <w14:textFill>
            <w14:solidFill>
              <w14:schemeClr w14:val="tx1"/>
            </w14:solidFill>
          </w14:textFill>
        </w:rPr>
        <w:t>——龙头牵引。</w:t>
      </w:r>
      <w:r>
        <w:rPr>
          <w:rFonts w:hint="eastAsia" w:ascii="仿宋_GB2312" w:hAnsi="黑体" w:eastAsia="仿宋_GB2312"/>
          <w:color w:val="000000" w:themeColor="text1"/>
          <w:sz w:val="32"/>
          <w:szCs w:val="32"/>
          <w:highlight w:val="none"/>
          <w:u w:val="none"/>
          <w14:textFill>
            <w14:solidFill>
              <w14:schemeClr w14:val="tx1"/>
            </w14:solidFill>
          </w14:textFill>
        </w:rPr>
        <w:t>发挥头部企业作用，尤其是百亿级平台主导型企业引领“雁阵”的核心作用，力争再引进培育3-5家百亿企业，在重要细分领域培育一批独角兽企业、瞪羚企业，带动上下游中小企业发展，不断扩充国家高新技术企业、规模以上工业企业队伍，</w:t>
      </w:r>
      <w:r>
        <w:rPr>
          <w:rFonts w:hint="eastAsia" w:ascii="仿宋_GB2312" w:hAnsi="黑体" w:eastAsia="仿宋_GB2312"/>
          <w:color w:val="000000" w:themeColor="text1"/>
          <w:kern w:val="0"/>
          <w:sz w:val="32"/>
          <w:szCs w:val="32"/>
          <w:highlight w:val="none"/>
          <w:u w:val="none"/>
          <w14:textFill>
            <w14:solidFill>
              <w14:schemeClr w14:val="tx1"/>
            </w14:solidFill>
          </w14:textFill>
        </w:rPr>
        <w:t>形成大中小企业融通发展的战略性新兴产业梯队。</w:t>
      </w:r>
    </w:p>
    <w:p w14:paraId="50711F11">
      <w:pPr>
        <w:overflowPunct w:val="0"/>
        <w:spacing w:line="560" w:lineRule="exact"/>
        <w:ind w:firstLine="643" w:firstLineChars="200"/>
        <w:rPr>
          <w:rFonts w:ascii="仿宋_GB2312" w:hAnsi="黑体" w:eastAsia="仿宋_GB2312"/>
          <w:b/>
          <w:color w:val="000000" w:themeColor="text1"/>
          <w:sz w:val="32"/>
          <w:szCs w:val="32"/>
          <w:highlight w:val="none"/>
          <w:u w:val="none"/>
          <w14:textFill>
            <w14:solidFill>
              <w14:schemeClr w14:val="tx1"/>
            </w14:solidFill>
          </w14:textFill>
        </w:rPr>
      </w:pPr>
      <w:r>
        <w:rPr>
          <w:rFonts w:hint="eastAsia" w:ascii="仿宋_GB2312" w:hAnsi="黑体" w:eastAsia="仿宋_GB2312"/>
          <w:b/>
          <w:color w:val="000000" w:themeColor="text1"/>
          <w:sz w:val="32"/>
          <w:szCs w:val="32"/>
          <w:highlight w:val="none"/>
          <w:u w:val="none"/>
          <w14:textFill>
            <w14:solidFill>
              <w14:schemeClr w14:val="tx1"/>
            </w14:solidFill>
          </w14:textFill>
        </w:rPr>
        <w:t>——集聚发展。</w:t>
      </w:r>
      <w:r>
        <w:rPr>
          <w:rFonts w:hint="eastAsia" w:ascii="仿宋_GB2312" w:eastAsia="仿宋_GB2312"/>
          <w:color w:val="000000" w:themeColor="text1"/>
          <w:sz w:val="32"/>
          <w:szCs w:val="32"/>
          <w:highlight w:val="none"/>
          <w:u w:val="none"/>
          <w14:textFill>
            <w14:solidFill>
              <w14:schemeClr w14:val="tx1"/>
            </w14:solidFill>
          </w14:textFill>
        </w:rPr>
        <w:t>着力破解光明距离全市主城区较远的不利局面，聚焦“3+1”现代产业体系，利用空间优势和成本优势，以“政府引导搭台、专业人才和龙头企业运作”模式，规划建设一批产城融合、生产生活生态为一体的产业园区，实现符合战略性新兴产业发展需</w:t>
      </w:r>
      <w:r>
        <w:rPr>
          <w:rFonts w:ascii="仿宋_GB2312" w:eastAsia="仿宋_GB2312"/>
          <w:color w:val="000000" w:themeColor="text1"/>
          <w:sz w:val="32"/>
          <w:szCs w:val="32"/>
          <w:highlight w:val="none"/>
          <w:u w:val="none"/>
          <w14:textFill>
            <w14:solidFill>
              <w14:schemeClr w14:val="tx1"/>
            </w14:solidFill>
          </w14:textFill>
        </w:rPr>
        <w:t>求</w:t>
      </w:r>
      <w:r>
        <w:rPr>
          <w:rFonts w:hint="eastAsia" w:ascii="仿宋_GB2312" w:eastAsia="仿宋_GB2312"/>
          <w:color w:val="000000" w:themeColor="text1"/>
          <w:sz w:val="32"/>
          <w:szCs w:val="32"/>
          <w:highlight w:val="none"/>
          <w:u w:val="none"/>
          <w14:textFill>
            <w14:solidFill>
              <w14:schemeClr w14:val="tx1"/>
            </w14:solidFill>
          </w14:textFill>
        </w:rPr>
        <w:t>的重大资源要素在光明集聚。</w:t>
      </w:r>
    </w:p>
    <w:p w14:paraId="4DE99B76">
      <w:pPr>
        <w:pStyle w:val="4"/>
        <w:spacing w:before="0" w:after="0" w:line="560" w:lineRule="exact"/>
        <w:ind w:firstLine="643" w:firstLineChars="200"/>
        <w:rPr>
          <w:rFonts w:ascii="黑体" w:hAnsi="黑体" w:eastAsia="黑体"/>
          <w:color w:val="000000" w:themeColor="text1"/>
          <w:highlight w:val="none"/>
          <w:u w:val="none"/>
          <w14:textFill>
            <w14:solidFill>
              <w14:schemeClr w14:val="tx1"/>
            </w14:solidFill>
          </w14:textFill>
        </w:rPr>
      </w:pPr>
      <w:bookmarkStart w:id="72" w:name="_Toc36286614"/>
      <w:bookmarkStart w:id="73" w:name="_Toc32269_WPSOffice_Level1"/>
      <w:bookmarkStart w:id="74" w:name="_Toc53583307"/>
      <w:bookmarkStart w:id="75" w:name="_Toc42762155"/>
      <w:bookmarkStart w:id="76" w:name="_Toc19389"/>
      <w:bookmarkStart w:id="77" w:name="_Toc16950"/>
      <w:bookmarkStart w:id="78" w:name="_Toc22183"/>
      <w:bookmarkStart w:id="79" w:name="_Toc56442303"/>
      <w:bookmarkStart w:id="80" w:name="_Toc17178"/>
      <w:r>
        <w:rPr>
          <w:rFonts w:hint="eastAsia" w:ascii="黑体" w:hAnsi="黑体" w:eastAsia="黑体"/>
          <w:color w:val="000000" w:themeColor="text1"/>
          <w:highlight w:val="none"/>
          <w:u w:val="none"/>
          <w14:textFill>
            <w14:solidFill>
              <w14:schemeClr w14:val="tx1"/>
            </w14:solidFill>
          </w14:textFill>
        </w:rPr>
        <w:t>三、</w:t>
      </w:r>
      <w:bookmarkEnd w:id="72"/>
      <w:bookmarkEnd w:id="73"/>
      <w:bookmarkEnd w:id="74"/>
      <w:bookmarkEnd w:id="75"/>
      <w:r>
        <w:rPr>
          <w:rFonts w:hint="eastAsia" w:ascii="黑体" w:hAnsi="黑体" w:eastAsia="黑体"/>
          <w:color w:val="000000" w:themeColor="text1"/>
          <w:highlight w:val="none"/>
          <w:u w:val="none"/>
          <w14:textFill>
            <w14:solidFill>
              <w14:schemeClr w14:val="tx1"/>
            </w14:solidFill>
          </w14:textFill>
        </w:rPr>
        <w:t>重点产业</w:t>
      </w:r>
      <w:bookmarkEnd w:id="76"/>
      <w:bookmarkEnd w:id="77"/>
      <w:bookmarkEnd w:id="78"/>
      <w:bookmarkEnd w:id="79"/>
      <w:bookmarkEnd w:id="80"/>
    </w:p>
    <w:p w14:paraId="3578F914">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81" w:name="_Toc25118_WPSOffice_Level2"/>
      <w:bookmarkStart w:id="82" w:name="_Toc42762156"/>
      <w:bookmarkStart w:id="83" w:name="_Toc25700340"/>
      <w:bookmarkStart w:id="84" w:name="_Toc36286616"/>
      <w:bookmarkStart w:id="85" w:name="_Toc53583308"/>
      <w:bookmarkStart w:id="86" w:name="_Toc11619"/>
      <w:bookmarkStart w:id="87" w:name="_Toc21748"/>
      <w:bookmarkStart w:id="88" w:name="_Toc23706"/>
      <w:bookmarkStart w:id="89" w:name="_Toc56442304"/>
      <w:bookmarkStart w:id="90" w:name="_Toc2663"/>
      <w:r>
        <w:rPr>
          <w:rFonts w:hint="eastAsia" w:ascii="楷体_GB2312" w:hAnsi="楷体_GB2312" w:eastAsia="楷体_GB2312" w:cs="楷体_GB2312"/>
          <w:color w:val="000000" w:themeColor="text1"/>
          <w:highlight w:val="none"/>
          <w:u w:val="none"/>
          <w14:textFill>
            <w14:solidFill>
              <w14:schemeClr w14:val="tx1"/>
            </w14:solidFill>
          </w14:textFill>
        </w:rPr>
        <w:t>（一）</w:t>
      </w:r>
      <w:bookmarkEnd w:id="81"/>
      <w:bookmarkEnd w:id="82"/>
      <w:bookmarkEnd w:id="83"/>
      <w:bookmarkEnd w:id="84"/>
      <w:bookmarkStart w:id="91" w:name="_Toc48953649"/>
      <w:bookmarkStart w:id="92" w:name="_Toc48953652"/>
      <w:bookmarkStart w:id="93" w:name="_Toc25700341"/>
      <w:r>
        <w:rPr>
          <w:rFonts w:hint="eastAsia" w:ascii="楷体_GB2312" w:hAnsi="楷体_GB2312" w:eastAsia="楷体_GB2312" w:cs="楷体_GB2312"/>
          <w:color w:val="000000" w:themeColor="text1"/>
          <w:highlight w:val="none"/>
          <w:u w:val="none"/>
          <w14:textFill>
            <w14:solidFill>
              <w14:schemeClr w14:val="tx1"/>
            </w14:solidFill>
          </w14:textFill>
        </w:rPr>
        <w:t>新一代信息技术产业</w:t>
      </w:r>
      <w:bookmarkEnd w:id="85"/>
      <w:bookmarkEnd w:id="86"/>
      <w:bookmarkEnd w:id="87"/>
      <w:bookmarkEnd w:id="88"/>
      <w:bookmarkEnd w:id="89"/>
      <w:bookmarkEnd w:id="90"/>
    </w:p>
    <w:p w14:paraId="1D0E30E3">
      <w:pPr>
        <w:spacing w:line="560" w:lineRule="exact"/>
        <w:ind w:firstLine="640" w:firstLineChars="200"/>
        <w:rPr>
          <w:rFonts w:ascii="仿宋_GB2312" w:hAnsi="仿宋" w:eastAsia="仿宋_GB2312"/>
          <w:color w:val="000000" w:themeColor="text1"/>
          <w:sz w:val="32"/>
          <w:szCs w:val="32"/>
          <w:highlight w:val="none"/>
          <w:u w:val="none"/>
          <w14:textFill>
            <w14:solidFill>
              <w14:schemeClr w14:val="tx1"/>
            </w14:solidFill>
          </w14:textFill>
        </w:rPr>
      </w:pPr>
      <w:r>
        <w:rPr>
          <w:rFonts w:hint="eastAsia" w:ascii="仿宋_GB2312" w:hAnsi="仿宋" w:eastAsia="仿宋_GB2312"/>
          <w:color w:val="000000" w:themeColor="text1"/>
          <w:sz w:val="32"/>
          <w:szCs w:val="32"/>
          <w:highlight w:val="none"/>
          <w:u w:val="none"/>
          <w14:textFill>
            <w14:solidFill>
              <w14:schemeClr w14:val="tx1"/>
            </w14:solidFill>
          </w14:textFill>
        </w:rPr>
        <w:t>立足光明新一代信息技术产业优势，加快5G移动通信产业布局，做大集成电路等新一代信息技术核心产业，做强以超高清视频为代表的新一代信息技术关键产业，进一步巩固和强化新一代信息技术产业的支柱地位。</w:t>
      </w:r>
    </w:p>
    <w:p w14:paraId="79ADAB6C">
      <w:pPr>
        <w:snapToGrid w:val="0"/>
        <w:spacing w:line="560" w:lineRule="exact"/>
        <w:ind w:firstLine="643" w:firstLineChars="200"/>
        <w:rPr>
          <w:rFonts w:hint="eastAsia" w:ascii="仿宋_GB2312" w:hAnsi="仿宋_GB2312" w:eastAsia="仿宋_GB2312" w:cs="仿宋_GB2312"/>
          <w:b w:val="0"/>
          <w:bCs/>
          <w:color w:val="000000" w:themeColor="text1"/>
          <w:sz w:val="32"/>
          <w:szCs w:val="32"/>
          <w:highlight w:val="none"/>
          <w:u w:val="none"/>
          <w14:textFill>
            <w14:solidFill>
              <w14:schemeClr w14:val="tx1"/>
            </w14:solidFill>
          </w14:textFill>
        </w:rPr>
      </w:pPr>
      <w:bookmarkStart w:id="94" w:name="_Toc48953653"/>
      <w:bookmarkStart w:id="95" w:name="_Toc25700345"/>
      <w:r>
        <w:rPr>
          <w:rFonts w:hint="eastAsia" w:ascii="仿宋_GB2312" w:hAnsi="仿宋_GB2312" w:eastAsia="仿宋_GB2312" w:cs="仿宋_GB2312"/>
          <w:b/>
          <w:color w:val="000000" w:themeColor="text1"/>
          <w:sz w:val="32"/>
          <w:szCs w:val="32"/>
          <w:highlight w:val="none"/>
          <w:u w:val="none"/>
          <w14:textFill>
            <w14:solidFill>
              <w14:schemeClr w14:val="tx1"/>
            </w14:solidFill>
          </w14:textFill>
        </w:rPr>
        <w:t>5G移动通信。</w:t>
      </w:r>
      <w:r>
        <w:rPr>
          <w:rFonts w:hint="eastAsia" w:ascii="仿宋_GB2312" w:hAnsi="仿宋_GB2312" w:eastAsia="仿宋_GB2312" w:cs="仿宋_GB2312"/>
          <w:b w:val="0"/>
          <w:bCs/>
          <w:color w:val="000000" w:themeColor="text1"/>
          <w:sz w:val="32"/>
          <w:szCs w:val="32"/>
          <w:highlight w:val="none"/>
          <w:u w:val="none"/>
          <w14:textFill>
            <w14:solidFill>
              <w14:schemeClr w14:val="tx1"/>
            </w14:solidFill>
          </w14:textFill>
        </w:rPr>
        <w:t>全面推进5G基础设施建设，搭建超高速率、零时延、超大连接、信息融合的5G网络环境。大力推进应用处理器和基带芯片、射频前端核心元器件、毫米波元器件、5G通信模块、5G关键测试仪器等核心器件的研发和产业化。推进5G与智能制造、工业互联网等深度融合。发挥5G对提升消费互联网能级的牵引作用，建设文化娱乐、在线购物、智能出行、生活居家、智能交互、自主航行、未来社区等一批应用场景体验中心。深化5G在城市治理、政府管理、医疗教育等公共服务领域的智慧应用，推进掌上光明建设。到2025年，争取建成深圳5G应用标杆城区。</w:t>
      </w:r>
    </w:p>
    <w:p w14:paraId="472FACF9">
      <w:pPr>
        <w:snapToGrid w:val="0"/>
        <w:spacing w:line="560" w:lineRule="exact"/>
        <w:ind w:firstLine="643" w:firstLineChars="200"/>
        <w:rPr>
          <w:rFonts w:hint="eastAsia" w:ascii="仿宋_GB2312" w:hAnsi="仿宋_GB2312" w:eastAsia="仿宋_GB2312" w:cs="仿宋_GB2312"/>
          <w:b w:val="0"/>
          <w:bCs/>
          <w:color w:val="000000" w:themeColor="text1"/>
          <w:sz w:val="32"/>
          <w:szCs w:val="32"/>
          <w:highlight w:val="none"/>
          <w:u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u w:val="none"/>
          <w14:textFill>
            <w14:solidFill>
              <w14:schemeClr w14:val="tx1"/>
            </w14:solidFill>
          </w14:textFill>
        </w:rPr>
        <w:t>人工智能终端。</w:t>
      </w:r>
      <w:r>
        <w:rPr>
          <w:rFonts w:hint="eastAsia" w:ascii="仿宋_GB2312" w:hAnsi="仿宋_GB2312" w:eastAsia="仿宋_GB2312" w:cs="仿宋_GB2312"/>
          <w:b w:val="0"/>
          <w:bCs/>
          <w:color w:val="000000" w:themeColor="text1"/>
          <w:sz w:val="32"/>
          <w:szCs w:val="32"/>
          <w:highlight w:val="none"/>
          <w:u w:val="none"/>
          <w14:textFill>
            <w14:solidFill>
              <w14:schemeClr w14:val="tx1"/>
            </w14:solidFill>
          </w14:textFill>
        </w:rPr>
        <w:t>在做大做强智能手机产业的基础上，加快引进培育一批图像识别、语音识别、机器翻译、智能交互、知识处理、控制决策等智能系统解决方案供应企业。提升无人机在全自主飞行控制、续航时间、复杂环境感知、导航精度、集群协同以及质量可靠性等方面的水平，积极发展航拍、快递与物流、商业广告、娱乐、搜寻、巡检、测绘等领域无人机。推进智能头盔、手表手环、耳机、眼镜、穿戴式骨骼等可穿戴终端产品升级，不断扩大市场占有率。加强车载感知、自动驾驶、车联网、物联网等技术集成和配套，研制新能源汽车、智能网联汽车、轨道交道等交通运载工具智能电子产品。</w:t>
      </w:r>
    </w:p>
    <w:bookmarkEnd w:id="94"/>
    <w:bookmarkEnd w:id="95"/>
    <w:p w14:paraId="067ABF91">
      <w:pPr>
        <w:snapToGrid w:val="0"/>
        <w:spacing w:line="560" w:lineRule="exact"/>
        <w:ind w:firstLine="643" w:firstLineChars="200"/>
        <w:rPr>
          <w:rFonts w:ascii="仿宋_GB2312" w:hAnsi="Times New Roman" w:eastAsia="仿宋_GB2312"/>
          <w:b/>
          <w:color w:val="auto"/>
          <w:sz w:val="32"/>
          <w:szCs w:val="32"/>
          <w:highlight w:val="none"/>
          <w:u w:val="none"/>
        </w:rPr>
      </w:pPr>
      <w:r>
        <w:rPr>
          <w:rFonts w:hint="eastAsia" w:ascii="仿宋_GB2312" w:hAnsi="Times New Roman" w:eastAsia="仿宋_GB2312"/>
          <w:b/>
          <w:color w:val="000000" w:themeColor="text1"/>
          <w:sz w:val="32"/>
          <w:szCs w:val="32"/>
          <w:highlight w:val="none"/>
          <w:u w:val="none"/>
          <w14:textFill>
            <w14:solidFill>
              <w14:schemeClr w14:val="tx1"/>
            </w14:solidFill>
          </w14:textFill>
        </w:rPr>
        <w:t>集成电路。</w:t>
      </w:r>
      <w:r>
        <w:rPr>
          <w:rFonts w:hint="eastAsia" w:ascii="仿宋_GB2312" w:hAnsi="Times New Roman" w:eastAsia="仿宋_GB2312"/>
          <w:color w:val="000000" w:themeColor="text1"/>
          <w:sz w:val="32"/>
          <w:szCs w:val="32"/>
          <w:highlight w:val="none"/>
          <w:u w:val="none"/>
          <w14:textFill>
            <w14:solidFill>
              <w14:schemeClr w14:val="tx1"/>
            </w14:solidFill>
          </w14:textFill>
        </w:rPr>
        <w:t>加快发展面向智能终端应用的集成电路产业，积极引进集成电路设计、制造、封装测试等环节的龙头企业，鼓励智能终端产品制造企业以并购、投资、合作等方式介入集成电路产业，实现集成电路与整机价值链共建，逐步构建完善集成电路产业链。</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加强用于数据中心和服务器的高性能CPU、GPU、FPGA等高端通用芯片技术研发；</w:t>
      </w:r>
      <w:r>
        <w:rPr>
          <w:rFonts w:hint="eastAsia" w:ascii="仿宋_GB2312" w:hAnsi="Times New Roman" w:eastAsia="仿宋_GB2312"/>
          <w:color w:val="000000" w:themeColor="text1"/>
          <w:sz w:val="32"/>
          <w:szCs w:val="32"/>
          <w:highlight w:val="none"/>
          <w:u w:val="none"/>
          <w14:textFill>
            <w14:solidFill>
              <w14:schemeClr w14:val="tx1"/>
            </w14:solidFill>
          </w14:textFill>
        </w:rPr>
        <w:t>重点支持智能芯片关键技术攻关，发展面向细分领域的神经网络芯片和类脑芯片等智能芯片；大力发展</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MEMS传感器芯片、物联网芯片、汽车电子芯片、超高清视频芯片等专用芯片研发</w:t>
      </w:r>
      <w:r>
        <w:rPr>
          <w:rFonts w:hint="eastAsia" w:ascii="仿宋_GB2312" w:hAnsi="仿宋_GB2312" w:eastAsia="仿宋_GB2312" w:cs="仿宋_GB2312"/>
          <w:color w:val="auto"/>
          <w:sz w:val="32"/>
          <w:szCs w:val="32"/>
          <w:highlight w:val="none"/>
          <w:u w:val="none"/>
        </w:rPr>
        <w:t>和制造。</w:t>
      </w:r>
      <w:r>
        <w:rPr>
          <w:rFonts w:hint="eastAsia" w:ascii="仿宋_GB2312" w:hAnsi="Times New Roman" w:eastAsia="仿宋_GB2312"/>
          <w:color w:val="auto"/>
          <w:sz w:val="32"/>
          <w:szCs w:val="32"/>
          <w:highlight w:val="none"/>
          <w:u w:val="none"/>
        </w:rPr>
        <w:t>到2025年，引进3-5个集成电路</w:t>
      </w:r>
      <w:r>
        <w:rPr>
          <w:rFonts w:hint="eastAsia" w:ascii="仿宋_GB2312" w:hAnsi="Times New Roman" w:eastAsia="仿宋_GB2312"/>
          <w:color w:val="auto"/>
          <w:sz w:val="32"/>
          <w:szCs w:val="32"/>
          <w:highlight w:val="none"/>
          <w:u w:val="none"/>
          <w:lang w:eastAsia="zh-CN"/>
        </w:rPr>
        <w:t>关键</w:t>
      </w:r>
      <w:r>
        <w:rPr>
          <w:rFonts w:hint="eastAsia" w:ascii="仿宋_GB2312" w:hAnsi="Times New Roman" w:eastAsia="仿宋_GB2312"/>
          <w:color w:val="auto"/>
          <w:sz w:val="32"/>
          <w:szCs w:val="32"/>
          <w:highlight w:val="none"/>
          <w:u w:val="none"/>
        </w:rPr>
        <w:t>企业，</w:t>
      </w:r>
      <w:r>
        <w:rPr>
          <w:rFonts w:hint="eastAsia" w:ascii="仿宋_GB2312" w:hAnsi="仿宋" w:eastAsia="仿宋_GB2312" w:cs="Mongolian Baiti"/>
          <w:color w:val="auto"/>
          <w:sz w:val="32"/>
          <w:szCs w:val="32"/>
          <w:highlight w:val="none"/>
          <w:u w:val="none"/>
        </w:rPr>
        <w:t>争创国家“芯火”双创基地。</w:t>
      </w:r>
    </w:p>
    <w:p w14:paraId="27A6279B">
      <w:pPr>
        <w:snapToGrid w:val="0"/>
        <w:spacing w:line="560" w:lineRule="exact"/>
        <w:ind w:firstLine="643" w:firstLineChars="200"/>
        <w:rPr>
          <w:rFonts w:ascii="仿宋_GB2312" w:hAnsi="Times New Roman" w:eastAsia="仿宋_GB2312"/>
          <w:color w:val="000000" w:themeColor="text1"/>
          <w:sz w:val="32"/>
          <w:szCs w:val="32"/>
          <w:highlight w:val="none"/>
          <w:u w:val="none"/>
          <w14:textFill>
            <w14:solidFill>
              <w14:schemeClr w14:val="tx1"/>
            </w14:solidFill>
          </w14:textFill>
        </w:rPr>
      </w:pPr>
      <w:r>
        <w:rPr>
          <w:rFonts w:hint="eastAsia" w:ascii="仿宋_GB2312" w:hAnsi="Times New Roman" w:eastAsia="仿宋_GB2312"/>
          <w:b/>
          <w:color w:val="000000" w:themeColor="text1"/>
          <w:sz w:val="32"/>
          <w:szCs w:val="32"/>
          <w:highlight w:val="none"/>
          <w:u w:val="none"/>
          <w14:textFill>
            <w14:solidFill>
              <w14:schemeClr w14:val="tx1"/>
            </w14:solidFill>
          </w14:textFill>
        </w:rPr>
        <w:t>超高清视频显示。</w:t>
      </w:r>
      <w:r>
        <w:rPr>
          <w:rFonts w:hint="eastAsia" w:ascii="仿宋_GB2312" w:eastAsia="仿宋_GB2312"/>
          <w:color w:val="000000" w:themeColor="text1"/>
          <w:kern w:val="0"/>
          <w:sz w:val="32"/>
          <w:szCs w:val="32"/>
          <w:highlight w:val="none"/>
          <w:u w:val="none"/>
          <w14:textFill>
            <w14:solidFill>
              <w14:schemeClr w14:val="tx1"/>
            </w14:solidFill>
          </w14:textFill>
        </w:rPr>
        <w:t>推进新型显示向</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高端化、轻量化、长寿命、低功耗</w:t>
      </w:r>
      <w:r>
        <w:rPr>
          <w:rFonts w:hint="eastAsia" w:ascii="仿宋_GB2312" w:eastAsia="仿宋_GB2312"/>
          <w:color w:val="000000" w:themeColor="text1"/>
          <w:kern w:val="0"/>
          <w:sz w:val="32"/>
          <w:szCs w:val="32"/>
          <w:highlight w:val="none"/>
          <w:u w:val="none"/>
          <w14:textFill>
            <w14:solidFill>
              <w14:schemeClr w14:val="tx1"/>
            </w14:solidFill>
          </w14:textFill>
        </w:rPr>
        <w:t>发展，</w:t>
      </w:r>
      <w:r>
        <w:rPr>
          <w:rFonts w:hint="eastAsia" w:ascii="仿宋_GB2312" w:hAnsi="Times New Roman" w:eastAsia="仿宋_GB2312"/>
          <w:color w:val="000000" w:themeColor="text1"/>
          <w:sz w:val="32"/>
          <w:szCs w:val="32"/>
          <w:highlight w:val="none"/>
          <w:u w:val="none"/>
          <w14:textFill>
            <w14:solidFill>
              <w14:schemeClr w14:val="tx1"/>
            </w14:solidFill>
          </w14:textFill>
        </w:rPr>
        <w:t>重点支持量子点、印刷显示、柔性显示、石墨烯显示等新型显示产业</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w:t>
      </w:r>
      <w:r>
        <w:rPr>
          <w:rFonts w:hint="eastAsia" w:ascii="仿宋_GB2312" w:hAnsi="Times New Roman" w:eastAsia="仿宋_GB2312"/>
          <w:color w:val="000000" w:themeColor="text1"/>
          <w:sz w:val="32"/>
          <w:szCs w:val="32"/>
          <w:highlight w:val="none"/>
          <w:u w:val="none"/>
          <w14:textFill>
            <w14:solidFill>
              <w14:schemeClr w14:val="tx1"/>
            </w14:solidFill>
          </w14:textFill>
        </w:rPr>
        <w:t>推进OLED（有机发光半导体）、AMOLED（有源矩阵有机发光二极体）、QLED（量子点发光二极管）、MicroLED（微型发光二极管</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w:t>
      </w:r>
      <w:r>
        <w:rPr>
          <w:rFonts w:hint="eastAsia" w:ascii="仿宋_GB2312" w:hAnsi="Times New Roman" w:eastAsia="仿宋_GB2312"/>
          <w:color w:val="000000" w:themeColor="text1"/>
          <w:sz w:val="32"/>
          <w:szCs w:val="32"/>
          <w:highlight w:val="none"/>
          <w:u w:val="none"/>
          <w14:textFill>
            <w14:solidFill>
              <w14:schemeClr w14:val="tx1"/>
            </w14:solidFill>
          </w14:textFill>
        </w:rPr>
        <w:t>等</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新型</w:t>
      </w:r>
      <w:r>
        <w:rPr>
          <w:rFonts w:hint="eastAsia" w:ascii="仿宋_GB2312" w:hAnsi="Times New Roman" w:eastAsia="仿宋_GB2312"/>
          <w:color w:val="000000" w:themeColor="text1"/>
          <w:sz w:val="32"/>
          <w:szCs w:val="32"/>
          <w:highlight w:val="none"/>
          <w:u w:val="none"/>
          <w14:textFill>
            <w14:solidFill>
              <w14:schemeClr w14:val="tx1"/>
            </w14:solidFill>
          </w14:textFill>
        </w:rPr>
        <w:t>显示</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的</w:t>
      </w:r>
      <w:r>
        <w:rPr>
          <w:rFonts w:hint="eastAsia" w:ascii="仿宋_GB2312" w:hAnsi="Times New Roman" w:eastAsia="仿宋_GB2312"/>
          <w:color w:val="000000" w:themeColor="text1"/>
          <w:sz w:val="32"/>
          <w:szCs w:val="32"/>
          <w:highlight w:val="none"/>
          <w:u w:val="none"/>
          <w14:textFill>
            <w14:solidFill>
              <w14:schemeClr w14:val="tx1"/>
            </w14:solidFill>
          </w14:textFill>
        </w:rPr>
        <w:t>技术研发创新，推动电子纸等新产品开发</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。推进摄录设备、核心芯片、内容制作、编解码、信号传输、终端显示等关键技术取得突破，</w:t>
      </w:r>
      <w:r>
        <w:rPr>
          <w:rFonts w:hint="eastAsia" w:ascii="仿宋_GB2312" w:hAnsi="Times New Roman" w:eastAsia="仿宋_GB2312"/>
          <w:color w:val="000000" w:themeColor="text1"/>
          <w:sz w:val="32"/>
          <w:szCs w:val="32"/>
          <w:highlight w:val="none"/>
          <w:u w:val="none"/>
          <w14:textFill>
            <w14:solidFill>
              <w14:schemeClr w14:val="tx1"/>
            </w14:solidFill>
          </w14:textFill>
        </w:rPr>
        <w:t>大力发展柔性电子、高精密光学镜头、高功率光纤激光器、扫描振镜、动态聚焦镜等关键配套器件</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w:t>
      </w:r>
      <w:r>
        <w:rPr>
          <w:rFonts w:hint="eastAsia" w:ascii="仿宋_GB2312" w:hAnsi="Times New Roman" w:eastAsia="仿宋_GB2312"/>
          <w:color w:val="000000" w:themeColor="text1"/>
          <w:sz w:val="32"/>
          <w:szCs w:val="32"/>
          <w:highlight w:val="none"/>
          <w:u w:val="none"/>
          <w14:textFill>
            <w14:solidFill>
              <w14:schemeClr w14:val="tx1"/>
            </w14:solidFill>
          </w14:textFill>
        </w:rPr>
        <w:t>支持用于虚拟现实与增强现实产品的虚拟显示器件、光学器件、高性能真三维显示器研发制造。</w:t>
      </w:r>
      <w:r>
        <w:rPr>
          <w:rFonts w:hint="eastAsia" w:ascii="仿宋_GB2312" w:hAnsi="仿宋_GB2312" w:eastAsia="仿宋_GB2312"/>
          <w:color w:val="000000" w:themeColor="text1"/>
          <w:sz w:val="32"/>
          <w:szCs w:val="32"/>
          <w:highlight w:val="none"/>
          <w:u w:val="none"/>
          <w14:textFill>
            <w14:solidFill>
              <w14:schemeClr w14:val="tx1"/>
            </w14:solidFill>
          </w14:textFill>
        </w:rPr>
        <w:t>推进大尺寸面板、新型显示触控模组、超高清新型显示器件、Mini LED背光模组等一批重大项目建设。</w:t>
      </w:r>
      <w:r>
        <w:rPr>
          <w:rFonts w:hint="eastAsia" w:ascii="仿宋_GB2312" w:hAnsi="Times New Roman" w:eastAsia="仿宋_GB2312"/>
          <w:color w:val="000000" w:themeColor="text1"/>
          <w:sz w:val="32"/>
          <w:szCs w:val="32"/>
          <w:highlight w:val="none"/>
          <w:u w:val="none"/>
          <w14:textFill>
            <w14:solidFill>
              <w14:schemeClr w14:val="tx1"/>
            </w14:solidFill>
          </w14:textFill>
        </w:rPr>
        <w:t>积极拓展车载、医用、工控、穿戴、拼接、镜面等重点显示产业新市场。开展“AI+5G+8K+”应</w:t>
      </w:r>
      <w:r>
        <w:rPr>
          <w:rFonts w:hint="eastAsia" w:ascii="仿宋_GB2312" w:hAnsi="Times New Roman" w:eastAsia="仿宋_GB2312"/>
          <w:color w:val="auto"/>
          <w:sz w:val="32"/>
          <w:szCs w:val="32"/>
          <w:highlight w:val="none"/>
          <w:u w:val="none"/>
        </w:rPr>
        <w:t>用示范工程。到2025年，争取打造千亿级超高清视频产业集群。</w:t>
      </w:r>
    </w:p>
    <w:bookmarkEnd w:id="91"/>
    <w:bookmarkEnd w:id="92"/>
    <w:bookmarkEnd w:id="93"/>
    <w:tbl>
      <w:tblPr>
        <w:tblStyle w:val="17"/>
        <w:tblpPr w:leftFromText="180" w:rightFromText="180" w:vertAnchor="text" w:horzAnchor="margin" w:tblpY="338"/>
        <w:tblW w:w="83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2"/>
      </w:tblGrid>
      <w:tr w14:paraId="00A5A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382" w:type="dxa"/>
          </w:tcPr>
          <w:p w14:paraId="0B635FBD">
            <w:pPr>
              <w:tabs>
                <w:tab w:val="left" w:pos="567"/>
                <w:tab w:val="left" w:pos="1230"/>
                <w:tab w:val="left" w:pos="1389"/>
              </w:tabs>
              <w:snapToGrid w:val="0"/>
              <w:spacing w:line="560" w:lineRule="exact"/>
              <w:jc w:val="center"/>
              <w:rPr>
                <w:rFonts w:ascii="宋体" w:hAnsi="宋体"/>
                <w:b/>
                <w:color w:val="000000" w:themeColor="text1"/>
                <w:sz w:val="24"/>
                <w:szCs w:val="24"/>
                <w:highlight w:val="none"/>
                <w:u w:val="none"/>
                <w14:textFill>
                  <w14:solidFill>
                    <w14:schemeClr w14:val="tx1"/>
                  </w14:solidFill>
                </w14:textFill>
              </w:rPr>
            </w:pPr>
            <w:bookmarkStart w:id="96" w:name="_Toc28241_WPSOffice_Level2"/>
            <w:bookmarkStart w:id="97" w:name="_Toc36286617"/>
            <w:bookmarkStart w:id="98" w:name="_Toc42762160"/>
            <w:r>
              <w:rPr>
                <w:rFonts w:hint="eastAsia" w:ascii="宋体" w:hAnsi="宋体"/>
                <w:b/>
                <w:color w:val="000000" w:themeColor="text1"/>
                <w:sz w:val="24"/>
                <w:szCs w:val="24"/>
                <w:highlight w:val="none"/>
                <w:u w:val="none"/>
                <w14:textFill>
                  <w14:solidFill>
                    <w14:schemeClr w14:val="tx1"/>
                  </w14:solidFill>
                </w14:textFill>
              </w:rPr>
              <w:t xml:space="preserve">专栏1：新一代信息技术产业重点项目 </w:t>
            </w:r>
          </w:p>
          <w:p w14:paraId="73B0F0FA">
            <w:pPr>
              <w:tabs>
                <w:tab w:val="left" w:pos="567"/>
                <w:tab w:val="left" w:pos="1230"/>
                <w:tab w:val="left" w:pos="1389"/>
              </w:tabs>
              <w:snapToGrid w:val="0"/>
              <w:spacing w:line="560" w:lineRule="exact"/>
              <w:ind w:firstLine="361" w:firstLineChars="15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——新一代集成电路及高端芯片。</w:t>
            </w:r>
            <w:r>
              <w:rPr>
                <w:rFonts w:hint="eastAsia" w:ascii="宋体" w:hAnsi="宋体"/>
                <w:color w:val="000000" w:themeColor="text1"/>
                <w:sz w:val="24"/>
                <w:szCs w:val="24"/>
                <w:highlight w:val="none"/>
                <w:u w:val="none"/>
                <w14:textFill>
                  <w14:solidFill>
                    <w14:schemeClr w14:val="tx1"/>
                  </w14:solidFill>
                </w14:textFill>
              </w:rPr>
              <w:t>加</w:t>
            </w:r>
            <w:r>
              <w:rPr>
                <w:rFonts w:ascii="宋体" w:hAnsi="宋体"/>
                <w:color w:val="000000" w:themeColor="text1"/>
                <w:sz w:val="24"/>
                <w:szCs w:val="24"/>
                <w:highlight w:val="none"/>
                <w:u w:val="none"/>
                <w14:textFill>
                  <w14:solidFill>
                    <w14:schemeClr w14:val="tx1"/>
                  </w14:solidFill>
                </w14:textFill>
              </w:rPr>
              <w:t>快推进</w:t>
            </w:r>
            <w:r>
              <w:rPr>
                <w:rFonts w:hint="eastAsia" w:ascii="宋体" w:hAnsi="宋体"/>
                <w:color w:val="000000" w:themeColor="text1"/>
                <w:sz w:val="24"/>
                <w:szCs w:val="24"/>
                <w:highlight w:val="none"/>
                <w:u w:val="none"/>
                <w14:textFill>
                  <w14:solidFill>
                    <w14:schemeClr w14:val="tx1"/>
                  </w14:solidFill>
                </w14:textFill>
              </w:rPr>
              <w:t>赢合科技高端智能装备与半导体新型显示基地项目</w:t>
            </w:r>
            <w:r>
              <w:rPr>
                <w:rFonts w:ascii="宋体" w:hAnsi="宋体"/>
                <w:color w:val="000000" w:themeColor="text1"/>
                <w:sz w:val="24"/>
                <w:szCs w:val="24"/>
                <w:highlight w:val="none"/>
                <w:u w:val="none"/>
                <w14:textFill>
                  <w14:solidFill>
                    <w14:schemeClr w14:val="tx1"/>
                  </w14:solidFill>
                </w14:textFill>
              </w:rPr>
              <w:t>建设</w:t>
            </w:r>
            <w:r>
              <w:rPr>
                <w:rFonts w:hint="eastAsia" w:ascii="宋体" w:hAnsi="宋体"/>
                <w:color w:val="000000" w:themeColor="text1"/>
                <w:sz w:val="24"/>
                <w:szCs w:val="24"/>
                <w:highlight w:val="none"/>
                <w:u w:val="none"/>
                <w14:textFill>
                  <w14:solidFill>
                    <w14:schemeClr w14:val="tx1"/>
                  </w14:solidFill>
                </w14:textFill>
              </w:rPr>
              <w:t>。</w:t>
            </w:r>
          </w:p>
          <w:p w14:paraId="77D3F16D">
            <w:pPr>
              <w:tabs>
                <w:tab w:val="left" w:pos="567"/>
                <w:tab w:val="left" w:pos="1230"/>
                <w:tab w:val="left" w:pos="1389"/>
              </w:tabs>
              <w:snapToGrid w:val="0"/>
              <w:spacing w:line="560" w:lineRule="exact"/>
              <w:ind w:firstLine="361" w:firstLineChars="15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——新型显示。</w:t>
            </w:r>
            <w:r>
              <w:rPr>
                <w:rFonts w:hint="eastAsia" w:ascii="宋体" w:hAnsi="宋体"/>
                <w:color w:val="000000" w:themeColor="text1"/>
                <w:sz w:val="24"/>
                <w:szCs w:val="24"/>
                <w:highlight w:val="none"/>
                <w:u w:val="none"/>
                <w14:textFill>
                  <w14:solidFill>
                    <w14:schemeClr w14:val="tx1"/>
                  </w14:solidFill>
                </w14:textFill>
              </w:rPr>
              <w:t>加</w:t>
            </w:r>
            <w:r>
              <w:rPr>
                <w:rFonts w:ascii="宋体" w:hAnsi="宋体"/>
                <w:color w:val="000000" w:themeColor="text1"/>
                <w:sz w:val="24"/>
                <w:szCs w:val="24"/>
                <w:highlight w:val="none"/>
                <w:u w:val="none"/>
                <w14:textFill>
                  <w14:solidFill>
                    <w14:schemeClr w14:val="tx1"/>
                  </w14:solidFill>
                </w14:textFill>
              </w:rPr>
              <w:t>快推进</w:t>
            </w:r>
            <w:r>
              <w:rPr>
                <w:rFonts w:hint="eastAsia" w:ascii="宋体" w:hAnsi="宋体"/>
                <w:color w:val="000000" w:themeColor="text1"/>
                <w:sz w:val="24"/>
                <w:szCs w:val="24"/>
                <w:highlight w:val="none"/>
                <w:u w:val="none"/>
                <w14:textFill>
                  <w14:solidFill>
                    <w14:schemeClr w14:val="tx1"/>
                  </w14:solidFill>
                </w14:textFill>
              </w:rPr>
              <w:t>11代超高清新型显示器件生产线、第11代TFT-LCD用玻璃基板生产线、欧菲光总部研发中心、典邦科技多功能集成图像传感器AMOLED微显示器研发和产业化等项</w:t>
            </w:r>
            <w:r>
              <w:rPr>
                <w:rFonts w:ascii="宋体" w:hAnsi="宋体"/>
                <w:color w:val="000000" w:themeColor="text1"/>
                <w:sz w:val="24"/>
                <w:szCs w:val="24"/>
                <w:highlight w:val="none"/>
                <w:u w:val="none"/>
                <w14:textFill>
                  <w14:solidFill>
                    <w14:schemeClr w14:val="tx1"/>
                  </w14:solidFill>
                </w14:textFill>
              </w:rPr>
              <w:t>目建设</w:t>
            </w:r>
            <w:r>
              <w:rPr>
                <w:rFonts w:hint="eastAsia" w:ascii="宋体" w:hAnsi="宋体"/>
                <w:color w:val="000000" w:themeColor="text1"/>
                <w:sz w:val="24"/>
                <w:szCs w:val="24"/>
                <w:highlight w:val="none"/>
                <w:u w:val="none"/>
                <w14:textFill>
                  <w14:solidFill>
                    <w14:schemeClr w14:val="tx1"/>
                  </w14:solidFill>
                </w14:textFill>
              </w:rPr>
              <w:t>。</w:t>
            </w:r>
          </w:p>
          <w:p w14:paraId="0D82D928">
            <w:pPr>
              <w:tabs>
                <w:tab w:val="left" w:pos="567"/>
                <w:tab w:val="left" w:pos="1230"/>
                <w:tab w:val="left" w:pos="1389"/>
              </w:tabs>
              <w:snapToGrid w:val="0"/>
              <w:spacing w:line="560" w:lineRule="exact"/>
              <w:ind w:firstLine="361" w:firstLineChars="15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——5G+工业互联网。</w:t>
            </w:r>
            <w:r>
              <w:rPr>
                <w:rFonts w:hint="eastAsia" w:ascii="宋体" w:hAnsi="宋体"/>
                <w:color w:val="000000" w:themeColor="text1"/>
                <w:sz w:val="24"/>
                <w:szCs w:val="24"/>
                <w:highlight w:val="none"/>
                <w:u w:val="none"/>
                <w14:textFill>
                  <w14:solidFill>
                    <w14:schemeClr w14:val="tx1"/>
                  </w14:solidFill>
                </w14:textFill>
              </w:rPr>
              <w:t>加</w:t>
            </w:r>
            <w:r>
              <w:rPr>
                <w:rFonts w:ascii="宋体" w:hAnsi="宋体"/>
                <w:color w:val="000000" w:themeColor="text1"/>
                <w:sz w:val="24"/>
                <w:szCs w:val="24"/>
                <w:highlight w:val="none"/>
                <w:u w:val="none"/>
                <w14:textFill>
                  <w14:solidFill>
                    <w14:schemeClr w14:val="tx1"/>
                  </w14:solidFill>
                </w14:textFill>
              </w:rPr>
              <w:t>快推进</w:t>
            </w:r>
            <w:r>
              <w:rPr>
                <w:rFonts w:hint="eastAsia" w:ascii="宋体" w:hAnsi="宋体"/>
                <w:color w:val="000000" w:themeColor="text1"/>
                <w:sz w:val="24"/>
                <w:szCs w:val="24"/>
                <w:highlight w:val="none"/>
                <w:u w:val="none"/>
                <w14:textFill>
                  <w14:solidFill>
                    <w14:schemeClr w14:val="tx1"/>
                  </w14:solidFill>
                </w14:textFill>
              </w:rPr>
              <w:t>南方智能制造基地、5G天线振子及散热模组产业化项目、5G高性能材料射频及互联系统产业基地项目、研祥智谷、电达谷源产业园等项</w:t>
            </w:r>
            <w:r>
              <w:rPr>
                <w:rFonts w:ascii="宋体" w:hAnsi="宋体"/>
                <w:color w:val="000000" w:themeColor="text1"/>
                <w:sz w:val="24"/>
                <w:szCs w:val="24"/>
                <w:highlight w:val="none"/>
                <w:u w:val="none"/>
                <w14:textFill>
                  <w14:solidFill>
                    <w14:schemeClr w14:val="tx1"/>
                  </w14:solidFill>
                </w14:textFill>
              </w:rPr>
              <w:t>目建设</w:t>
            </w:r>
            <w:r>
              <w:rPr>
                <w:rFonts w:hint="eastAsia" w:ascii="宋体" w:hAnsi="宋体"/>
                <w:color w:val="000000" w:themeColor="text1"/>
                <w:sz w:val="24"/>
                <w:szCs w:val="24"/>
                <w:highlight w:val="none"/>
                <w:u w:val="none"/>
                <w14:textFill>
                  <w14:solidFill>
                    <w14:schemeClr w14:val="tx1"/>
                  </w14:solidFill>
                </w14:textFill>
              </w:rPr>
              <w:t>。</w:t>
            </w:r>
          </w:p>
        </w:tc>
      </w:tr>
    </w:tbl>
    <w:p w14:paraId="221BA577">
      <w:pPr>
        <w:pStyle w:val="5"/>
        <w:snapToGrid/>
        <w:spacing w:before="0" w:after="0" w:line="560" w:lineRule="exact"/>
        <w:ind w:firstLine="641"/>
        <w:rPr>
          <w:rFonts w:hint="eastAsia" w:ascii="楷体_GB2312" w:hAnsi="楷体_GB2312" w:eastAsia="楷体_GB2312" w:cs="楷体_GB2312"/>
          <w:b/>
          <w:bCs/>
          <w:color w:val="000000" w:themeColor="text1"/>
          <w:sz w:val="32"/>
          <w:szCs w:val="32"/>
          <w:highlight w:val="none"/>
          <w:u w:val="none"/>
          <w14:textFill>
            <w14:solidFill>
              <w14:schemeClr w14:val="tx1"/>
            </w14:solidFill>
          </w14:textFill>
        </w:rPr>
      </w:pPr>
      <w:bookmarkStart w:id="99" w:name="_Toc4458"/>
      <w:r>
        <w:rPr>
          <w:rFonts w:hint="eastAsia" w:ascii="楷体_GB2312" w:hAnsi="楷体_GB2312" w:eastAsia="楷体_GB2312" w:cs="楷体_GB2312"/>
          <w:b/>
          <w:bCs/>
          <w:color w:val="000000" w:themeColor="text1"/>
          <w:sz w:val="32"/>
          <w:szCs w:val="32"/>
          <w:highlight w:val="none"/>
          <w:u w:val="none"/>
          <w14:textFill>
            <w14:solidFill>
              <w14:schemeClr w14:val="tx1"/>
            </w14:solidFill>
          </w14:textFill>
        </w:rPr>
        <w:t>（二）数字经济产业</w:t>
      </w:r>
      <w:bookmarkEnd w:id="99"/>
    </w:p>
    <w:p w14:paraId="13FFA418">
      <w:pPr>
        <w:snapToGrid w:val="0"/>
        <w:spacing w:line="560" w:lineRule="exact"/>
        <w:ind w:firstLine="640" w:firstLineChars="200"/>
        <w:rPr>
          <w:rFonts w:hint="eastAsia" w:ascii="仿宋_GB2312" w:hAnsi="Times New Roman" w:eastAsia="仿宋_GB2312" w:cs="Times New Roman"/>
          <w:color w:val="000000" w:themeColor="text1"/>
          <w:sz w:val="32"/>
          <w:szCs w:val="32"/>
          <w:u w:val="none"/>
          <w14:textFill>
            <w14:solidFill>
              <w14:schemeClr w14:val="tx1"/>
            </w14:solidFill>
          </w14:textFill>
        </w:rPr>
      </w:pPr>
      <w:r>
        <w:rPr>
          <w:rFonts w:hint="eastAsia" w:ascii="仿宋_GB2312" w:hAnsi="Times New Roman" w:eastAsia="仿宋_GB2312" w:cs="Times New Roman"/>
          <w:color w:val="000000" w:themeColor="text1"/>
          <w:sz w:val="32"/>
          <w:szCs w:val="32"/>
          <w:u w:val="none"/>
          <w14:textFill>
            <w14:solidFill>
              <w14:schemeClr w14:val="tx1"/>
            </w14:solidFill>
          </w14:textFill>
        </w:rPr>
        <w:t>推进数字产业化，重点推动大数据、云计算、区块链、工业互联网、数字创意等数字经济产业发展，培育一批具有全球竞争力的数字经济头部企业，</w:t>
      </w:r>
      <w:r>
        <w:rPr>
          <w:rFonts w:hint="eastAsia" w:ascii="仿宋_GB2312" w:hAnsi="Times New Roman" w:eastAsia="仿宋_GB2312" w:cs="Times New Roman"/>
          <w:color w:val="000000" w:themeColor="text1"/>
          <w:sz w:val="32"/>
          <w:szCs w:val="32"/>
          <w:u w:val="none"/>
          <w:shd w:val="clear" w:color="auto" w:fill="auto"/>
          <w14:textFill>
            <w14:solidFill>
              <w14:schemeClr w14:val="tx1"/>
            </w14:solidFill>
          </w14:textFill>
        </w:rPr>
        <w:t>建设数字经济产业园、数字经济小镇、数字经济小微园区</w:t>
      </w:r>
      <w:r>
        <w:rPr>
          <w:rFonts w:hint="eastAsia" w:ascii="仿宋_GB2312" w:hAnsi="Times New Roman" w:eastAsia="仿宋_GB2312" w:cs="Times New Roman"/>
          <w:color w:val="000000" w:themeColor="text1"/>
          <w:sz w:val="32"/>
          <w:szCs w:val="32"/>
          <w:u w:val="none"/>
          <w14:textFill>
            <w14:solidFill>
              <w14:schemeClr w14:val="tx1"/>
            </w14:solidFill>
          </w14:textFill>
        </w:rPr>
        <w:t>。到2025年，引进培育20家以上亿元以</w:t>
      </w:r>
      <w:r>
        <w:rPr>
          <w:rFonts w:hint="eastAsia" w:ascii="仿宋_GB2312" w:hAnsi="仿宋" w:eastAsia="仿宋_GB2312" w:cs="Mongolian Baiti"/>
          <w:color w:val="000000" w:themeColor="text1"/>
          <w:sz w:val="32"/>
          <w:szCs w:val="32"/>
          <w:u w:val="none"/>
          <w14:textFill>
            <w14:solidFill>
              <w14:schemeClr w14:val="tx1"/>
            </w14:solidFill>
          </w14:textFill>
        </w:rPr>
        <w:t>上数字经济企业，</w:t>
      </w:r>
      <w:r>
        <w:rPr>
          <w:rFonts w:hint="eastAsia" w:ascii="仿宋_GB2312" w:hAnsi="Times New Roman" w:eastAsia="仿宋_GB2312" w:cs="Times New Roman"/>
          <w:color w:val="000000" w:themeColor="text1"/>
          <w:sz w:val="32"/>
          <w:szCs w:val="32"/>
          <w:u w:val="none"/>
          <w14:textFill>
            <w14:solidFill>
              <w14:schemeClr w14:val="tx1"/>
            </w14:solidFill>
          </w14:textFill>
        </w:rPr>
        <w:t>打造粤港澳大湾区有影响力的数字经济产业高地。</w:t>
      </w:r>
    </w:p>
    <w:p w14:paraId="50443551">
      <w:pPr>
        <w:snapToGrid w:val="0"/>
        <w:spacing w:line="560" w:lineRule="exact"/>
        <w:ind w:firstLine="643" w:firstLineChars="200"/>
        <w:rPr>
          <w:rFonts w:hint="eastAsia" w:ascii="仿宋_GB2312" w:hAnsi="Times New Roman" w:eastAsia="仿宋_GB2312" w:cs="Times New Roman"/>
          <w:b w:val="0"/>
          <w:color w:val="000000" w:themeColor="text1"/>
          <w:sz w:val="32"/>
          <w:szCs w:val="32"/>
          <w:u w:val="none"/>
          <w14:textFill>
            <w14:solidFill>
              <w14:schemeClr w14:val="tx1"/>
            </w14:solidFill>
          </w14:textFill>
        </w:rPr>
      </w:pPr>
      <w:r>
        <w:rPr>
          <w:rFonts w:hint="eastAsia" w:ascii="仿宋_GB2312" w:hAnsi="Times New Roman" w:eastAsia="仿宋_GB2312" w:cs="Times New Roman"/>
          <w:b/>
          <w:color w:val="000000" w:themeColor="text1"/>
          <w:sz w:val="32"/>
          <w:szCs w:val="32"/>
          <w:u w:val="none"/>
          <w14:textFill>
            <w14:solidFill>
              <w14:schemeClr w14:val="tx1"/>
            </w14:solidFill>
          </w14:textFill>
        </w:rPr>
        <w:t>大数据云计算产业。</w:t>
      </w:r>
      <w:r>
        <w:rPr>
          <w:rFonts w:hint="eastAsia" w:ascii="仿宋_GB2312" w:hAnsi="Times New Roman" w:eastAsia="仿宋_GB2312" w:cs="Times New Roman"/>
          <w:color w:val="000000" w:themeColor="text1"/>
          <w:sz w:val="32"/>
          <w:szCs w:val="32"/>
          <w:u w:val="none"/>
          <w14:textFill>
            <w14:solidFill>
              <w14:schemeClr w14:val="tx1"/>
            </w14:solidFill>
          </w14:textFill>
        </w:rPr>
        <w:t>重点发展</w:t>
      </w:r>
      <w:r>
        <w:rPr>
          <w:rFonts w:hint="eastAsia" w:ascii="仿宋_GB2312" w:hAnsi="Times New Roman" w:eastAsia="仿宋_GB2312" w:cs="Times New Roman"/>
          <w:color w:val="000000" w:themeColor="text1"/>
          <w:sz w:val="32"/>
          <w:szCs w:val="32"/>
          <w:u w:val="none"/>
          <w:shd w:val="clear" w:color="auto" w:fill="auto"/>
          <w14:textFill>
            <w14:solidFill>
              <w14:schemeClr w14:val="tx1"/>
            </w14:solidFill>
          </w14:textFill>
        </w:rPr>
        <w:t>数据采集、数据清洗、数据分析挖掘、数</w:t>
      </w:r>
      <w:r>
        <w:rPr>
          <w:rFonts w:hint="eastAsia" w:ascii="仿宋_GB2312" w:hAnsi="Times New Roman" w:eastAsia="仿宋_GB2312" w:cs="Times New Roman"/>
          <w:color w:val="000000" w:themeColor="text1"/>
          <w:sz w:val="32"/>
          <w:szCs w:val="32"/>
          <w:u w:val="none"/>
          <w14:textFill>
            <w14:solidFill>
              <w14:schemeClr w14:val="tx1"/>
            </w14:solidFill>
          </w14:textFill>
        </w:rPr>
        <w:t>据可视化、大数据行业应用等领域，促进大数据与各行各业融合创新</w:t>
      </w:r>
      <w:r>
        <w:rPr>
          <w:rFonts w:hint="eastAsia" w:ascii="仿宋_GB2312" w:hAnsi="Times New Roman" w:eastAsia="仿宋_GB2312" w:cs="Times New Roman"/>
          <w:color w:val="000000" w:themeColor="text1"/>
          <w:sz w:val="32"/>
          <w:szCs w:val="32"/>
          <w:u w:val="none"/>
          <w:shd w:val="clear" w:color="auto" w:fill="auto"/>
          <w14:textFill>
            <w14:solidFill>
              <w14:schemeClr w14:val="tx1"/>
            </w14:solidFill>
          </w14:textFill>
        </w:rPr>
        <w:t>。加快市场化数据共享，支持海量数据训练资源库、标准测试数据集、工具库等行业数据资源共享平台建设。推动公有云、私有云、混合云等多种模式协同发展</w:t>
      </w:r>
      <w:r>
        <w:rPr>
          <w:rFonts w:hint="eastAsia" w:ascii="仿宋_GB2312" w:hAnsi="Times New Roman" w:eastAsia="仿宋_GB2312" w:cs="Times New Roman"/>
          <w:color w:val="000000" w:themeColor="text1"/>
          <w:sz w:val="32"/>
          <w:szCs w:val="32"/>
          <w:u w:val="none"/>
          <w14:textFill>
            <w14:solidFill>
              <w14:schemeClr w14:val="tx1"/>
            </w14:solidFill>
          </w14:textFill>
        </w:rPr>
        <w:t>，鼓励重点企业加大大数据云计算基础软件、支撑软件研发</w:t>
      </w:r>
      <w:r>
        <w:rPr>
          <w:rFonts w:hint="eastAsia" w:ascii="仿宋_GB2312" w:hAnsi="Times New Roman" w:eastAsia="仿宋_GB2312" w:cs="Times New Roman"/>
          <w:color w:val="000000" w:themeColor="text1"/>
          <w:sz w:val="32"/>
          <w:szCs w:val="32"/>
          <w:u w:val="none"/>
          <w:lang w:eastAsia="zh-CN"/>
          <w14:textFill>
            <w14:solidFill>
              <w14:schemeClr w14:val="tx1"/>
            </w14:solidFill>
          </w14:textFill>
        </w:rPr>
        <w:t>、</w:t>
      </w:r>
      <w:r>
        <w:rPr>
          <w:rFonts w:hint="eastAsia" w:ascii="仿宋_GB2312" w:hAnsi="Times New Roman" w:eastAsia="仿宋_GB2312" w:cs="Times New Roman"/>
          <w:color w:val="000000" w:themeColor="text1"/>
          <w:sz w:val="32"/>
          <w:szCs w:val="32"/>
          <w:u w:val="none"/>
          <w14:textFill>
            <w14:solidFill>
              <w14:schemeClr w14:val="tx1"/>
            </w14:solidFill>
          </w14:textFill>
        </w:rPr>
        <w:t>基础软件开源项目，</w:t>
      </w:r>
      <w:r>
        <w:rPr>
          <w:rFonts w:hint="eastAsia" w:ascii="仿宋_GB2312" w:hAnsi="Times New Roman" w:eastAsia="仿宋_GB2312" w:cs="Times New Roman"/>
          <w:color w:val="000000" w:themeColor="text1"/>
          <w:sz w:val="32"/>
          <w:szCs w:val="32"/>
          <w:u w:val="none"/>
          <w:shd w:val="clear" w:color="auto" w:fill="auto"/>
          <w14:textFill>
            <w14:solidFill>
              <w14:schemeClr w14:val="tx1"/>
            </w14:solidFill>
          </w14:textFill>
        </w:rPr>
        <w:t>研发一批具有完全自主知识产权的云操作系统、云数据库等高端云平台产品，扩大云计算平台应用服务面</w:t>
      </w:r>
      <w:r>
        <w:rPr>
          <w:rFonts w:hint="eastAsia" w:ascii="仿宋_GB2312" w:hAnsi="Times New Roman" w:eastAsia="仿宋_GB2312" w:cs="Times New Roman"/>
          <w:color w:val="000000" w:themeColor="text1"/>
          <w:sz w:val="32"/>
          <w:szCs w:val="32"/>
          <w:u w:val="none"/>
          <w14:textFill>
            <w14:solidFill>
              <w14:schemeClr w14:val="tx1"/>
            </w14:solidFill>
          </w14:textFill>
        </w:rPr>
        <w:t>，</w:t>
      </w:r>
      <w:r>
        <w:rPr>
          <w:rFonts w:hint="eastAsia" w:ascii="仿宋_GB2312" w:hAnsi="Times New Roman" w:eastAsia="仿宋_GB2312" w:cs="Times New Roman"/>
          <w:color w:val="000000" w:themeColor="text1"/>
          <w:sz w:val="32"/>
          <w:szCs w:val="32"/>
          <w:u w:val="none"/>
          <w:shd w:val="clear" w:color="auto" w:fill="auto"/>
          <w14:textFill>
            <w14:solidFill>
              <w14:schemeClr w14:val="tx1"/>
            </w14:solidFill>
          </w14:textFill>
        </w:rPr>
        <w:t>提供国内领先的云计算综合解决方案。</w:t>
      </w:r>
    </w:p>
    <w:p w14:paraId="4F32D673">
      <w:pPr>
        <w:widowControl w:val="0"/>
        <w:suppressAutoHyphens/>
        <w:autoSpaceDE w:val="0"/>
        <w:snapToGrid w:val="0"/>
        <w:spacing w:line="560" w:lineRule="exact"/>
        <w:ind w:firstLine="643" w:firstLineChars="200"/>
        <w:rPr>
          <w:rFonts w:hint="eastAsia" w:ascii="仿宋_GB2312" w:hAnsi="Times New Roman" w:eastAsia="仿宋_GB2312" w:cs="Times New Roman"/>
          <w:color w:val="000000" w:themeColor="text1"/>
          <w:sz w:val="32"/>
          <w:szCs w:val="32"/>
          <w:u w:val="none"/>
          <w:lang w:val="en-US" w:eastAsia="zh-CN" w:bidi="ar-SA"/>
          <w14:textFill>
            <w14:solidFill>
              <w14:schemeClr w14:val="tx1"/>
            </w14:solidFill>
          </w14:textFill>
        </w:rPr>
      </w:pPr>
      <w:r>
        <w:rPr>
          <w:rFonts w:hint="eastAsia" w:ascii="仿宋_GB2312" w:hAnsi="微软雅黑" w:eastAsia="仿宋_GB2312" w:cs="Times New Roman"/>
          <w:b/>
          <w:color w:val="000000" w:themeColor="text1"/>
          <w:sz w:val="32"/>
          <w:szCs w:val="32"/>
          <w:u w:val="none"/>
          <w:shd w:val="clear" w:color="auto" w:fill="FFFFFF"/>
          <w:lang w:val="en-US" w:eastAsia="zh-CN" w:bidi="ar-SA"/>
          <w14:textFill>
            <w14:solidFill>
              <w14:schemeClr w14:val="tx1"/>
            </w14:solidFill>
          </w14:textFill>
        </w:rPr>
        <w:t>区块链产业。</w:t>
      </w:r>
      <w:r>
        <w:rPr>
          <w:rFonts w:hint="eastAsia" w:ascii="仿宋_GB2312" w:hAnsi="微软雅黑" w:eastAsia="仿宋_GB2312" w:cs="Times New Roman"/>
          <w:color w:val="000000" w:themeColor="text1"/>
          <w:sz w:val="32"/>
          <w:szCs w:val="32"/>
          <w:u w:val="none"/>
          <w:shd w:val="clear" w:color="auto" w:fill="FFFFFF"/>
          <w:lang w:val="en-US" w:eastAsia="zh-CN" w:bidi="ar-SA"/>
          <w14:textFill>
            <w14:solidFill>
              <w14:schemeClr w14:val="tx1"/>
            </w14:solidFill>
          </w14:textFill>
        </w:rPr>
        <w:t>加强共识机制、数据存储、网络协议、加密算法、隐私保护和智能合约等技术研发，支持区块链底层平台开发和开放，培育壮大区块链技术开源社区，努力在区块链基础理论与核心技术原始创新上带头突破、重点提升、抢占技术发展制高点。加强区块链标准化研究，提升国际话语权和规则制定权。支持推广高并发、高吞吐、低延迟、高可靠性的区块链示范应用，探索区块链在智慧城市、数字政府、金融、民生、存证、数字产权交易、信用体系建设等领域的应用示范。</w:t>
      </w:r>
    </w:p>
    <w:p w14:paraId="0CAA5F47">
      <w:pPr>
        <w:snapToGrid w:val="0"/>
        <w:spacing w:line="560" w:lineRule="exact"/>
        <w:ind w:firstLine="643" w:firstLineChars="200"/>
        <w:rPr>
          <w:rFonts w:hint="eastAsia" w:ascii="仿宋_GB2312" w:hAnsi="Times New Roman" w:eastAsia="仿宋_GB2312" w:cs="Times New Roman"/>
          <w:color w:val="000000" w:themeColor="text1"/>
          <w:sz w:val="32"/>
          <w:szCs w:val="32"/>
          <w:u w:val="none"/>
          <w:shd w:val="clear" w:color="auto" w:fill="auto"/>
          <w14:textFill>
            <w14:solidFill>
              <w14:schemeClr w14:val="tx1"/>
            </w14:solidFill>
          </w14:textFill>
        </w:rPr>
      </w:pPr>
      <w:r>
        <w:rPr>
          <w:rFonts w:hint="eastAsia" w:ascii="仿宋_GB2312" w:hAnsi="Times New Roman" w:eastAsia="仿宋_GB2312" w:cs="Times New Roman"/>
          <w:b/>
          <w:color w:val="000000" w:themeColor="text1"/>
          <w:sz w:val="32"/>
          <w:szCs w:val="32"/>
          <w:u w:val="none"/>
          <w:shd w:val="clear" w:color="auto" w:fill="auto"/>
          <w14:textFill>
            <w14:solidFill>
              <w14:schemeClr w14:val="tx1"/>
            </w14:solidFill>
          </w14:textFill>
        </w:rPr>
        <w:t>工业互联网产业。</w:t>
      </w:r>
      <w:r>
        <w:rPr>
          <w:rFonts w:hint="eastAsia" w:ascii="仿宋_GB2312" w:hAnsi="Times New Roman" w:eastAsia="仿宋_GB2312" w:cs="Times New Roman"/>
          <w:color w:val="000000" w:themeColor="text1"/>
          <w:sz w:val="32"/>
          <w:szCs w:val="32"/>
          <w:u w:val="none"/>
          <w:shd w:val="clear" w:color="auto" w:fill="auto"/>
          <w14:textFill>
            <w14:solidFill>
              <w14:schemeClr w14:val="tx1"/>
            </w14:solidFill>
          </w14:textFill>
        </w:rPr>
        <w:t>大力发展深圳优势制造行业的工业核心软件，支持高端工业软件、新型工业APP的研发和应用，支持研发设计类、生产调度和过程控制类、业务管理类等工业软件产品和解决方案研发应用，支持开展产业集群工业互联数字化转型试点。以打造活跃完善的工业互联网产业生态为主线，着力推进工业互联网网络建设改造与优化，加快发展工业互联网平台，提升产业关键支撑能力与综合集成水平，促进工业互联网融合应用。鼓励龙头制造企业整合行业资源，开发和推广行业工业互联网平台，打造国家级工业互联网平台。</w:t>
      </w:r>
      <w:r>
        <w:rPr>
          <w:rFonts w:hint="eastAsia" w:ascii="仿宋_GB2312" w:hAnsi="Times New Roman" w:eastAsia="仿宋_GB2312" w:cs="Times New Roman"/>
          <w:color w:val="000000" w:themeColor="text1"/>
          <w:sz w:val="32"/>
          <w:szCs w:val="32"/>
          <w:u w:val="none"/>
          <w14:textFill>
            <w14:solidFill>
              <w14:schemeClr w14:val="tx1"/>
            </w14:solidFill>
          </w14:textFill>
        </w:rPr>
        <w:t>建设鲲鹏产业示范区，支持企业基于“鲲鹏+</w:t>
      </w:r>
      <w:r>
        <w:rPr>
          <w:rFonts w:hint="eastAsia" w:ascii="宋体" w:hAnsi="宋体" w:eastAsia="宋体" w:cs="宋体"/>
          <w:color w:val="000000" w:themeColor="text1"/>
          <w:sz w:val="32"/>
          <w:szCs w:val="32"/>
          <w:u w:val="none"/>
          <w14:textFill>
            <w14:solidFill>
              <w14:schemeClr w14:val="tx1"/>
            </w14:solidFill>
          </w14:textFill>
        </w:rPr>
        <w:t>昇</w:t>
      </w:r>
      <w:r>
        <w:rPr>
          <w:rFonts w:hint="eastAsia" w:ascii="仿宋_GB2312" w:hAnsi="仿宋_GB2312" w:eastAsia="仿宋_GB2312" w:cs="仿宋_GB2312"/>
          <w:color w:val="000000" w:themeColor="text1"/>
          <w:sz w:val="32"/>
          <w:szCs w:val="32"/>
          <w:u w:val="none"/>
          <w14:textFill>
            <w14:solidFill>
              <w14:schemeClr w14:val="tx1"/>
            </w14:solidFill>
          </w14:textFill>
        </w:rPr>
        <w:t>腾”等进行应用开发和</w:t>
      </w:r>
      <w:r>
        <w:rPr>
          <w:rFonts w:hint="eastAsia" w:ascii="仿宋_GB2312" w:hAnsi="Times New Roman" w:eastAsia="仿宋_GB2312" w:cs="Times New Roman"/>
          <w:color w:val="000000" w:themeColor="text1"/>
          <w:sz w:val="32"/>
          <w:szCs w:val="32"/>
          <w:u w:val="none"/>
          <w14:textFill>
            <w14:solidFill>
              <w14:schemeClr w14:val="tx1"/>
            </w14:solidFill>
          </w14:textFill>
        </w:rPr>
        <w:t>移植，打造创新行业解决方案。加快工业互联网代码安全检测公共服务平台、云上大数据治理及分析运营服务平台等规划建设。</w:t>
      </w:r>
    </w:p>
    <w:p w14:paraId="5555F9F3">
      <w:pPr>
        <w:autoSpaceDE w:val="0"/>
        <w:snapToGrid w:val="0"/>
        <w:spacing w:line="560" w:lineRule="exact"/>
        <w:ind w:firstLine="643" w:firstLineChars="200"/>
        <w:rPr>
          <w:rFonts w:hint="eastAsia" w:ascii="仿宋_GB2312" w:hAnsi="微软雅黑" w:eastAsia="仿宋_GB2312" w:cs="Times New Roman"/>
          <w:color w:val="000000" w:themeColor="text1"/>
          <w:sz w:val="32"/>
          <w:szCs w:val="32"/>
          <w:u w:val="none"/>
          <w:shd w:val="clear" w:color="auto" w:fill="FFFFFF"/>
          <w:lang w:val="en-US" w:eastAsia="zh-CN" w:bidi="ar-SA"/>
          <w14:textFill>
            <w14:solidFill>
              <w14:schemeClr w14:val="tx1"/>
            </w14:solidFill>
          </w14:textFill>
        </w:rPr>
      </w:pPr>
      <w:r>
        <w:rPr>
          <w:rFonts w:hint="eastAsia" w:ascii="仿宋_GB2312" w:hAnsi="Times New Roman" w:eastAsia="仿宋_GB2312" w:cs="Times New Roman"/>
          <w:b/>
          <w:color w:val="000000" w:themeColor="text1"/>
          <w:sz w:val="32"/>
          <w:szCs w:val="32"/>
          <w:u w:val="none"/>
          <w:lang w:val="en-US" w:eastAsia="zh-CN" w:bidi="ar-SA"/>
          <w14:textFill>
            <w14:solidFill>
              <w14:schemeClr w14:val="tx1"/>
            </w14:solidFill>
          </w14:textFill>
        </w:rPr>
        <w:t>数字创意产业。</w:t>
      </w:r>
      <w:r>
        <w:rPr>
          <w:rStyle w:val="19"/>
          <w:rFonts w:hint="eastAsia" w:ascii="仿宋_GB2312" w:hAnsi="微软雅黑" w:eastAsia="仿宋_GB2312" w:cs="Times New Roman"/>
          <w:color w:val="000000" w:themeColor="text1"/>
          <w:sz w:val="32"/>
          <w:szCs w:val="32"/>
          <w:u w:val="none"/>
          <w:shd w:val="clear" w:color="auto" w:fill="FFFFFF"/>
          <w:lang w:val="en-US" w:eastAsia="zh-CN" w:bidi="ar-SA"/>
          <w14:textFill>
            <w14:solidFill>
              <w14:schemeClr w14:val="tx1"/>
            </w14:solidFill>
          </w14:textFill>
        </w:rPr>
        <w:t>大力推进数字技术在工业设计的应用，</w:t>
      </w:r>
      <w:r>
        <w:rPr>
          <w:rFonts w:hint="eastAsia" w:ascii="仿宋_GB2312" w:hAnsi="微软雅黑" w:eastAsia="仿宋_GB2312" w:cs="Times New Roman"/>
          <w:color w:val="000000" w:themeColor="text1"/>
          <w:sz w:val="32"/>
          <w:szCs w:val="32"/>
          <w:u w:val="none"/>
          <w:shd w:val="clear" w:color="auto" w:fill="FFFFFF"/>
          <w:lang w:val="en-US" w:eastAsia="zh-CN" w:bidi="ar-SA"/>
          <w14:textFill>
            <w14:solidFill>
              <w14:schemeClr w14:val="tx1"/>
            </w14:solidFill>
          </w14:textFill>
        </w:rPr>
        <w:t>积极推进系统设计与仿真设计技术研发，鼓励设计企业参与制造全流程协同创新</w:t>
      </w:r>
      <w:r>
        <w:rPr>
          <w:rFonts w:hint="eastAsia" w:ascii="仿宋_GB2312" w:hAnsi="Times New Roman" w:eastAsia="仿宋_GB2312" w:cs="Times New Roman"/>
          <w:color w:val="000000" w:themeColor="text1"/>
          <w:sz w:val="32"/>
          <w:szCs w:val="32"/>
          <w:u w:val="none"/>
          <w:lang w:val="en-US" w:eastAsia="zh-CN" w:bidi="ar-SA"/>
          <w14:textFill>
            <w14:solidFill>
              <w14:schemeClr w14:val="tx1"/>
            </w14:solidFill>
          </w14:textFill>
        </w:rPr>
        <w:t>。支持数字内容原创研发，大力推动影视动漫、新媒体及软件游戏、数字出版等行业发展，</w:t>
      </w:r>
      <w:r>
        <w:rPr>
          <w:rFonts w:hint="eastAsia" w:ascii="仿宋_GB2312" w:hAnsi="微软雅黑" w:eastAsia="仿宋_GB2312" w:cs="Times New Roman"/>
          <w:color w:val="000000" w:themeColor="text1"/>
          <w:sz w:val="32"/>
          <w:szCs w:val="32"/>
          <w:u w:val="none"/>
          <w:shd w:val="clear" w:color="auto" w:fill="FFFFFF"/>
          <w:lang w:val="en-US" w:eastAsia="zh-CN" w:bidi="ar-SA"/>
          <w14:textFill>
            <w14:solidFill>
              <w14:schemeClr w14:val="tx1"/>
            </w14:solidFill>
          </w14:textFill>
        </w:rPr>
        <w:t>推动网络文学、影音、资讯等数字内容精品化发展。加快电竞产业融合创新发展，支持直播、短视频</w:t>
      </w:r>
      <w:r>
        <w:rPr>
          <w:rFonts w:hint="eastAsia" w:ascii="仿宋_GB2312" w:hAnsi="Times New Roman" w:eastAsia="仿宋_GB2312" w:cs="Times New Roman"/>
          <w:color w:val="000000" w:themeColor="text1"/>
          <w:sz w:val="32"/>
          <w:szCs w:val="32"/>
          <w:u w:val="none"/>
          <w:lang w:val="en-US" w:eastAsia="zh-CN" w:bidi="ar-SA"/>
          <w14:textFill>
            <w14:solidFill>
              <w14:schemeClr w14:val="tx1"/>
            </w14:solidFill>
          </w14:textFill>
        </w:rPr>
        <w:t>、</w:t>
      </w:r>
      <w:r>
        <w:rPr>
          <w:rFonts w:hint="eastAsia" w:ascii="仿宋_GB2312" w:hAnsi="微软雅黑" w:eastAsia="仿宋_GB2312" w:cs="Times New Roman"/>
          <w:color w:val="000000" w:themeColor="text1"/>
          <w:sz w:val="32"/>
          <w:szCs w:val="32"/>
          <w:u w:val="none"/>
          <w:shd w:val="clear" w:color="auto" w:fill="FFFFFF"/>
          <w:lang w:val="en-US" w:eastAsia="zh-CN" w:bidi="ar-SA"/>
          <w14:textFill>
            <w14:solidFill>
              <w14:schemeClr w14:val="tx1"/>
            </w14:solidFill>
          </w14:textFill>
        </w:rPr>
        <w:t>云游戏平台企业发展，</w:t>
      </w:r>
      <w:r>
        <w:rPr>
          <w:rFonts w:hint="eastAsia" w:ascii="仿宋_GB2312" w:hAnsi="Times New Roman" w:eastAsia="仿宋_GB2312" w:cs="Times New Roman"/>
          <w:color w:val="000000" w:themeColor="text1"/>
          <w:sz w:val="32"/>
          <w:szCs w:val="32"/>
          <w:u w:val="none"/>
          <w:lang w:val="en-US" w:eastAsia="zh-CN" w:bidi="ar-SA"/>
          <w14:textFill>
            <w14:solidFill>
              <w14:schemeClr w14:val="tx1"/>
            </w14:solidFill>
          </w14:textFill>
        </w:rPr>
        <w:t>提速发展电竞、直播、短视频等新业态。</w:t>
      </w:r>
      <w:r>
        <w:rPr>
          <w:rFonts w:hint="eastAsia" w:ascii="仿宋_GB2312" w:hAnsi="微软雅黑" w:eastAsia="仿宋_GB2312" w:cs="Times New Roman"/>
          <w:color w:val="000000" w:themeColor="text1"/>
          <w:sz w:val="32"/>
          <w:szCs w:val="32"/>
          <w:u w:val="none"/>
          <w:shd w:val="clear" w:color="auto" w:fill="FFFFFF"/>
          <w:lang w:val="en-US" w:eastAsia="zh-CN" w:bidi="ar-SA"/>
          <w14:textFill>
            <w14:solidFill>
              <w14:schemeClr w14:val="tx1"/>
            </w14:solidFill>
          </w14:textFill>
        </w:rPr>
        <w:t>加速文化服务业企业数字化转型，创新服务内容和模式，促进数字创意消费，为数字经济拓展新空间。推动数字创意与生产制造、文化教育、旅游会展、生活健康等各领域的融合渗透，鼓励跨行业跨领域合作，提高产品附加值。</w:t>
      </w:r>
    </w:p>
    <w:tbl>
      <w:tblPr>
        <w:tblStyle w:val="17"/>
        <w:tblpPr w:leftFromText="180" w:rightFromText="180" w:vertAnchor="text" w:horzAnchor="margin" w:tblpY="338"/>
        <w:tblW w:w="83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2"/>
      </w:tblGrid>
      <w:tr w14:paraId="679E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382" w:type="dxa"/>
          </w:tcPr>
          <w:p w14:paraId="3C7A853C">
            <w:pPr>
              <w:tabs>
                <w:tab w:val="left" w:pos="567"/>
                <w:tab w:val="left" w:pos="1230"/>
                <w:tab w:val="left" w:pos="1389"/>
              </w:tabs>
              <w:snapToGrid w:val="0"/>
              <w:spacing w:line="560" w:lineRule="exact"/>
              <w:jc w:val="center"/>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专栏</w:t>
            </w:r>
            <w:r>
              <w:rPr>
                <w:rFonts w:hint="eastAsia" w:ascii="宋体" w:hAnsi="宋体"/>
                <w:b/>
                <w:color w:val="000000" w:themeColor="text1"/>
                <w:sz w:val="24"/>
                <w:szCs w:val="24"/>
                <w:highlight w:val="none"/>
                <w:u w:val="none"/>
                <w:lang w:val="en-US" w:eastAsia="zh-CN"/>
                <w14:textFill>
                  <w14:solidFill>
                    <w14:schemeClr w14:val="tx1"/>
                  </w14:solidFill>
                </w14:textFill>
              </w:rPr>
              <w:t>2</w:t>
            </w:r>
            <w:r>
              <w:rPr>
                <w:rFonts w:hint="eastAsia" w:ascii="宋体" w:hAnsi="宋体"/>
                <w:b/>
                <w:color w:val="000000" w:themeColor="text1"/>
                <w:sz w:val="24"/>
                <w:szCs w:val="24"/>
                <w:highlight w:val="none"/>
                <w:u w:val="none"/>
                <w14:textFill>
                  <w14:solidFill>
                    <w14:schemeClr w14:val="tx1"/>
                  </w14:solidFill>
                </w14:textFill>
              </w:rPr>
              <w:t>：</w:t>
            </w:r>
            <w:r>
              <w:rPr>
                <w:rFonts w:hint="eastAsia" w:ascii="宋体" w:hAnsi="宋体"/>
                <w:b/>
                <w:color w:val="000000" w:themeColor="text1"/>
                <w:sz w:val="24"/>
                <w:szCs w:val="24"/>
                <w:highlight w:val="none"/>
                <w:u w:val="none"/>
                <w:lang w:eastAsia="zh-CN"/>
                <w14:textFill>
                  <w14:solidFill>
                    <w14:schemeClr w14:val="tx1"/>
                  </w14:solidFill>
                </w14:textFill>
              </w:rPr>
              <w:t>数字经济</w:t>
            </w:r>
            <w:r>
              <w:rPr>
                <w:rFonts w:hint="eastAsia" w:ascii="宋体" w:hAnsi="宋体"/>
                <w:b/>
                <w:color w:val="000000" w:themeColor="text1"/>
                <w:sz w:val="24"/>
                <w:szCs w:val="24"/>
                <w:highlight w:val="none"/>
                <w:u w:val="none"/>
                <w14:textFill>
                  <w14:solidFill>
                    <w14:schemeClr w14:val="tx1"/>
                  </w14:solidFill>
                </w14:textFill>
              </w:rPr>
              <w:t xml:space="preserve">重点项目 </w:t>
            </w:r>
          </w:p>
          <w:p w14:paraId="4B51F951">
            <w:pPr>
              <w:tabs>
                <w:tab w:val="left" w:pos="567"/>
                <w:tab w:val="left" w:pos="1230"/>
                <w:tab w:val="left" w:pos="1389"/>
              </w:tabs>
              <w:snapToGrid w:val="0"/>
              <w:spacing w:line="560" w:lineRule="exact"/>
              <w:ind w:firstLine="602" w:firstLineChars="25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——大数据云计算产业。</w:t>
            </w:r>
            <w:r>
              <w:rPr>
                <w:rFonts w:hint="eastAsia" w:ascii="宋体" w:hAnsi="宋体"/>
                <w:color w:val="000000" w:themeColor="text1"/>
                <w:sz w:val="24"/>
                <w:szCs w:val="24"/>
                <w:highlight w:val="none"/>
                <w:u w:val="none"/>
                <w14:textFill>
                  <w14:solidFill>
                    <w14:schemeClr w14:val="tx1"/>
                  </w14:solidFill>
                </w14:textFill>
              </w:rPr>
              <w:t>加</w:t>
            </w:r>
            <w:r>
              <w:rPr>
                <w:rFonts w:ascii="宋体" w:hAnsi="宋体"/>
                <w:color w:val="000000" w:themeColor="text1"/>
                <w:sz w:val="24"/>
                <w:szCs w:val="24"/>
                <w:highlight w:val="none"/>
                <w:u w:val="none"/>
                <w14:textFill>
                  <w14:solidFill>
                    <w14:schemeClr w14:val="tx1"/>
                  </w14:solidFill>
                </w14:textFill>
              </w:rPr>
              <w:t>快</w:t>
            </w:r>
            <w:r>
              <w:rPr>
                <w:rFonts w:hint="eastAsia" w:ascii="宋体" w:hAnsi="宋体"/>
                <w:color w:val="000000" w:themeColor="text1"/>
                <w:sz w:val="24"/>
                <w:szCs w:val="24"/>
                <w:highlight w:val="none"/>
                <w:u w:val="none"/>
                <w14:textFill>
                  <w14:solidFill>
                    <w14:schemeClr w14:val="tx1"/>
                  </w14:solidFill>
                </w14:textFill>
              </w:rPr>
              <w:t>绿色数据中心关键基础设施产业基地</w:t>
            </w:r>
            <w:r>
              <w:rPr>
                <w:rFonts w:hint="eastAsia" w:ascii="宋体" w:hAnsi="宋体"/>
                <w:color w:val="000000" w:themeColor="text1"/>
                <w:sz w:val="24"/>
                <w:szCs w:val="24"/>
                <w:highlight w:val="none"/>
                <w:u w:val="none"/>
                <w:lang w:eastAsia="zh-CN"/>
                <w14:textFill>
                  <w14:solidFill>
                    <w14:schemeClr w14:val="tx1"/>
                  </w14:solidFill>
                </w14:textFill>
              </w:rPr>
              <w:t>、光明科学城大数据中心</w:t>
            </w:r>
            <w:r>
              <w:rPr>
                <w:rFonts w:ascii="宋体" w:hAnsi="宋体"/>
                <w:color w:val="000000" w:themeColor="text1"/>
                <w:sz w:val="24"/>
                <w:szCs w:val="24"/>
                <w:highlight w:val="none"/>
                <w:u w:val="none"/>
                <w14:textFill>
                  <w14:solidFill>
                    <w14:schemeClr w14:val="tx1"/>
                  </w14:solidFill>
                </w14:textFill>
              </w:rPr>
              <w:t>建设</w:t>
            </w:r>
            <w:r>
              <w:rPr>
                <w:rFonts w:hint="eastAsia" w:ascii="宋体" w:hAnsi="宋体"/>
                <w:color w:val="000000" w:themeColor="text1"/>
                <w:sz w:val="24"/>
                <w:szCs w:val="24"/>
                <w:highlight w:val="none"/>
                <w:u w:val="none"/>
                <w14:textFill>
                  <w14:solidFill>
                    <w14:schemeClr w14:val="tx1"/>
                  </w14:solidFill>
                </w14:textFill>
              </w:rPr>
              <w:t>。</w:t>
            </w:r>
          </w:p>
          <w:p w14:paraId="64EBBEF0">
            <w:pPr>
              <w:tabs>
                <w:tab w:val="left" w:pos="567"/>
                <w:tab w:val="left" w:pos="1230"/>
                <w:tab w:val="left" w:pos="1389"/>
              </w:tabs>
              <w:snapToGrid w:val="0"/>
              <w:spacing w:line="560" w:lineRule="exact"/>
              <w:ind w:firstLine="482" w:firstLineChars="20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——工业互联网产业。</w:t>
            </w:r>
            <w:r>
              <w:rPr>
                <w:rFonts w:hint="default" w:ascii="宋体" w:hAnsi="宋体" w:eastAsia="宋体" w:cs="Times New Roman"/>
                <w:color w:val="000000" w:themeColor="text1"/>
                <w:sz w:val="24"/>
                <w:szCs w:val="24"/>
                <w:highlight w:val="none"/>
                <w:u w:val="none"/>
                <w14:textFill>
                  <w14:solidFill>
                    <w14:schemeClr w14:val="tx1"/>
                  </w14:solidFill>
                </w14:textFill>
              </w:rPr>
              <w:t>规划建设工业互联网代码安全检测公共服务平台</w:t>
            </w:r>
            <w:r>
              <w:rPr>
                <w:rFonts w:hint="eastAsia" w:ascii="宋体" w:hAnsi="宋体" w:cs="Times New Roman"/>
                <w:color w:val="000000" w:themeColor="text1"/>
                <w:sz w:val="24"/>
                <w:szCs w:val="24"/>
                <w:highlight w:val="none"/>
                <w:u w:val="none"/>
                <w:lang w:eastAsia="zh-CN"/>
                <w14:textFill>
                  <w14:solidFill>
                    <w14:schemeClr w14:val="tx1"/>
                  </w14:solidFill>
                </w14:textFill>
              </w:rPr>
              <w:t>以及</w:t>
            </w:r>
            <w:r>
              <w:rPr>
                <w:rFonts w:hint="default" w:ascii="宋体" w:hAnsi="宋体" w:eastAsia="宋体" w:cs="Times New Roman"/>
                <w:color w:val="000000" w:themeColor="text1"/>
                <w:sz w:val="24"/>
                <w:szCs w:val="24"/>
                <w:highlight w:val="none"/>
                <w:u w:val="none"/>
                <w14:textFill>
                  <w14:solidFill>
                    <w14:schemeClr w14:val="tx1"/>
                  </w14:solidFill>
                </w14:textFill>
              </w:rPr>
              <w:t>云上大数据治理</w:t>
            </w:r>
            <w:r>
              <w:rPr>
                <w:rFonts w:hint="eastAsia" w:ascii="宋体" w:hAnsi="宋体" w:cs="Times New Roman"/>
                <w:color w:val="000000" w:themeColor="text1"/>
                <w:sz w:val="24"/>
                <w:szCs w:val="24"/>
                <w:highlight w:val="none"/>
                <w:u w:val="none"/>
                <w:lang w:eastAsia="zh-CN"/>
                <w14:textFill>
                  <w14:solidFill>
                    <w14:schemeClr w14:val="tx1"/>
                  </w14:solidFill>
                </w14:textFill>
              </w:rPr>
              <w:t>与</w:t>
            </w:r>
            <w:r>
              <w:rPr>
                <w:rFonts w:hint="default" w:ascii="宋体" w:hAnsi="宋体" w:eastAsia="宋体" w:cs="Times New Roman"/>
                <w:color w:val="000000" w:themeColor="text1"/>
                <w:sz w:val="24"/>
                <w:szCs w:val="24"/>
                <w:highlight w:val="none"/>
                <w:u w:val="none"/>
                <w14:textFill>
                  <w14:solidFill>
                    <w14:schemeClr w14:val="tx1"/>
                  </w14:solidFill>
                </w14:textFill>
              </w:rPr>
              <w:t>分析运营服务平台</w:t>
            </w:r>
            <w:r>
              <w:rPr>
                <w:rFonts w:hint="eastAsia" w:ascii="宋体" w:hAnsi="宋体"/>
                <w:color w:val="000000" w:themeColor="text1"/>
                <w:sz w:val="24"/>
                <w:szCs w:val="24"/>
                <w:highlight w:val="none"/>
                <w:u w:val="none"/>
                <w14:textFill>
                  <w14:solidFill>
                    <w14:schemeClr w14:val="tx1"/>
                  </w14:solidFill>
                </w14:textFill>
              </w:rPr>
              <w:t>。</w:t>
            </w:r>
          </w:p>
        </w:tc>
      </w:tr>
    </w:tbl>
    <w:p w14:paraId="2FE2D431">
      <w:pPr>
        <w:autoSpaceDE w:val="0"/>
        <w:snapToGrid w:val="0"/>
        <w:spacing w:line="560" w:lineRule="exact"/>
        <w:ind w:firstLine="640" w:firstLineChars="200"/>
        <w:rPr>
          <w:rFonts w:hint="eastAsia" w:ascii="仿宋_GB2312" w:hAnsi="微软雅黑" w:eastAsia="仿宋_GB2312" w:cs="Times New Roman"/>
          <w:color w:val="000000" w:themeColor="text1"/>
          <w:sz w:val="32"/>
          <w:szCs w:val="32"/>
          <w:u w:val="none"/>
          <w:shd w:val="clear" w:color="auto" w:fill="FFFFFF"/>
          <w:lang w:val="en-US" w:eastAsia="zh-CN" w:bidi="ar-SA"/>
          <w14:textFill>
            <w14:solidFill>
              <w14:schemeClr w14:val="tx1"/>
            </w14:solidFill>
          </w14:textFill>
        </w:rPr>
      </w:pPr>
    </w:p>
    <w:p w14:paraId="2C4FA5A6">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00" w:name="_Toc9467"/>
      <w:bookmarkStart w:id="101" w:name="_Toc7315"/>
      <w:bookmarkStart w:id="102" w:name="_Toc56442305"/>
      <w:bookmarkStart w:id="103" w:name="_Toc18458"/>
      <w:bookmarkStart w:id="104" w:name="_Toc29620"/>
      <w:bookmarkStart w:id="105" w:name="_Toc53583309"/>
      <w:r>
        <w:rPr>
          <w:rFonts w:hint="eastAsia" w:ascii="楷体_GB2312" w:hAnsi="楷体_GB2312" w:eastAsia="楷体_GB2312" w:cs="楷体_GB2312"/>
          <w:color w:val="000000" w:themeColor="text1"/>
          <w:highlight w:val="none"/>
          <w:u w:val="none"/>
          <w14:textFill>
            <w14:solidFill>
              <w14:schemeClr w14:val="tx1"/>
            </w14:solidFill>
          </w14:textFill>
        </w:rPr>
        <w:t>（</w:t>
      </w:r>
      <w:r>
        <w:rPr>
          <w:rFonts w:hint="eastAsia" w:ascii="楷体_GB2312" w:hAnsi="楷体_GB2312" w:eastAsia="楷体_GB2312" w:cs="楷体_GB2312"/>
          <w:color w:val="000000" w:themeColor="text1"/>
          <w:highlight w:val="none"/>
          <w:u w:val="none"/>
          <w:lang w:eastAsia="zh-CN"/>
          <w14:textFill>
            <w14:solidFill>
              <w14:schemeClr w14:val="tx1"/>
            </w14:solidFill>
          </w14:textFill>
        </w:rPr>
        <w:t>三</w:t>
      </w:r>
      <w:r>
        <w:rPr>
          <w:rFonts w:hint="eastAsia" w:ascii="楷体_GB2312" w:hAnsi="楷体_GB2312" w:eastAsia="楷体_GB2312" w:cs="楷体_GB2312"/>
          <w:color w:val="000000" w:themeColor="text1"/>
          <w:highlight w:val="none"/>
          <w:u w:val="none"/>
          <w14:textFill>
            <w14:solidFill>
              <w14:schemeClr w14:val="tx1"/>
            </w14:solidFill>
          </w14:textFill>
        </w:rPr>
        <w:t>）高端装备产业</w:t>
      </w:r>
      <w:bookmarkEnd w:id="100"/>
      <w:bookmarkEnd w:id="101"/>
      <w:bookmarkEnd w:id="102"/>
      <w:bookmarkEnd w:id="103"/>
      <w:bookmarkEnd w:id="104"/>
    </w:p>
    <w:bookmarkEnd w:id="105"/>
    <w:p w14:paraId="01E51495">
      <w:pPr>
        <w:snapToGrid w:val="0"/>
        <w:spacing w:line="560" w:lineRule="exact"/>
        <w:ind w:firstLine="640" w:firstLineChars="200"/>
        <w:rPr>
          <w:rFonts w:hint="eastAsia" w:ascii="仿宋_GB2312" w:hAnsi="仿宋_GB2312" w:eastAsia="仿宋_GB2312" w:cs="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以智能装备产业作为光明区产业发展新引擎，推动人工智能技术研发和应用，大力发展高端智能装备产品，增强关键部件制造能力，到2025年，打造一批优势明显、引领作用强的智能产业龙头企业，形成千亿级智能产品制造产业集群。</w:t>
      </w:r>
    </w:p>
    <w:p w14:paraId="24852928">
      <w:pPr>
        <w:snapToGrid w:val="0"/>
        <w:spacing w:line="560" w:lineRule="exact"/>
        <w:ind w:firstLine="645"/>
        <w:rPr>
          <w:rFonts w:ascii="仿宋_GB2312" w:hAnsi="Times New Roman" w:eastAsia="仿宋_GB2312"/>
          <w:color w:val="000000" w:themeColor="text1"/>
          <w:sz w:val="32"/>
          <w:szCs w:val="32"/>
          <w:highlight w:val="none"/>
          <w:u w:val="none"/>
          <w14:textFill>
            <w14:solidFill>
              <w14:schemeClr w14:val="tx1"/>
            </w14:solidFill>
          </w14:textFill>
        </w:rPr>
      </w:pPr>
      <w:r>
        <w:rPr>
          <w:rFonts w:hint="eastAsia" w:ascii="仿宋_GB2312" w:hAnsi="Times New Roman" w:eastAsia="仿宋_GB2312"/>
          <w:b/>
          <w:color w:val="000000" w:themeColor="text1"/>
          <w:sz w:val="32"/>
          <w:szCs w:val="32"/>
          <w:highlight w:val="none"/>
          <w:u w:val="none"/>
          <w14:textFill>
            <w14:solidFill>
              <w14:schemeClr w14:val="tx1"/>
            </w14:solidFill>
          </w14:textFill>
        </w:rPr>
        <w:t>智能机器</w:t>
      </w:r>
      <w:r>
        <w:rPr>
          <w:rFonts w:ascii="仿宋_GB2312" w:hAnsi="Times New Roman" w:eastAsia="仿宋_GB2312"/>
          <w:b/>
          <w:color w:val="000000" w:themeColor="text1"/>
          <w:sz w:val="32"/>
          <w:szCs w:val="32"/>
          <w:highlight w:val="none"/>
          <w:u w:val="none"/>
          <w14:textFill>
            <w14:solidFill>
              <w14:schemeClr w14:val="tx1"/>
            </w14:solidFill>
          </w14:textFill>
        </w:rPr>
        <w:t>人</w:t>
      </w:r>
      <w:r>
        <w:rPr>
          <w:rFonts w:ascii="仿宋_GB2312" w:hAnsi="Times New Roman" w:eastAsia="仿宋_GB2312"/>
          <w:color w:val="000000" w:themeColor="text1"/>
          <w:sz w:val="32"/>
          <w:szCs w:val="32"/>
          <w:highlight w:val="none"/>
          <w:u w:val="none"/>
          <w14:textFill>
            <w14:solidFill>
              <w14:schemeClr w14:val="tx1"/>
            </w14:solidFill>
          </w14:textFill>
        </w:rPr>
        <w:t>。</w:t>
      </w:r>
      <w:r>
        <w:rPr>
          <w:rFonts w:hint="eastAsia" w:ascii="仿宋_GB2312" w:hAnsi="Times New Roman" w:eastAsia="仿宋_GB2312"/>
          <w:color w:val="000000" w:themeColor="text1"/>
          <w:sz w:val="32"/>
          <w:szCs w:val="32"/>
          <w:highlight w:val="none"/>
          <w:u w:val="none"/>
          <w14:textFill>
            <w14:solidFill>
              <w14:schemeClr w14:val="tx1"/>
            </w14:solidFill>
          </w14:textFill>
        </w:rPr>
        <w:t>以需求为导向，重点发展具备人机协调、自然交互、自主学习功能的新一代工业机器人和服务机器人，加快研制空间机器人、海洋机器人、极地机器人等特种机器人。支持开展关键机器人装备和系统研发，着力突破机器人协同装配、工业视觉检测等共性技术。加强人工智能等先进技术在机器人领域的融合，提升机器人在深度感知、自主控制、精准执行、人机交互、安全运维方面的能力水平。完善检验检测认证服务能力，高水平建设一批机器人技术研发、成果转化等方面的产业支撑平台。培育一批深度应用场景，开展机器人应用试点示范，拓展机器人应用领域。</w:t>
      </w:r>
    </w:p>
    <w:p w14:paraId="0C9A91BA">
      <w:pPr>
        <w:snapToGrid w:val="0"/>
        <w:spacing w:line="560" w:lineRule="exact"/>
        <w:ind w:firstLine="645"/>
        <w:rPr>
          <w:rFonts w:ascii="仿宋_GB2312" w:hAnsi="Times New Roman" w:eastAsia="仿宋_GB2312"/>
          <w:color w:val="000000" w:themeColor="text1"/>
          <w:sz w:val="32"/>
          <w:szCs w:val="32"/>
          <w:highlight w:val="none"/>
          <w:u w:val="none"/>
          <w14:textFill>
            <w14:solidFill>
              <w14:schemeClr w14:val="tx1"/>
            </w14:solidFill>
          </w14:textFill>
        </w:rPr>
      </w:pPr>
      <w:r>
        <w:rPr>
          <w:rFonts w:hint="eastAsia" w:ascii="仿宋_GB2312" w:hAnsi="Times New Roman" w:eastAsia="仿宋_GB2312"/>
          <w:b/>
          <w:color w:val="000000" w:themeColor="text1"/>
          <w:sz w:val="32"/>
          <w:szCs w:val="32"/>
          <w:highlight w:val="none"/>
          <w:u w:val="none"/>
          <w14:textFill>
            <w14:solidFill>
              <w14:schemeClr w14:val="tx1"/>
            </w14:solidFill>
          </w14:textFill>
        </w:rPr>
        <w:t>智能关键器件</w:t>
      </w:r>
      <w:r>
        <w:rPr>
          <w:rFonts w:ascii="仿宋_GB2312" w:hAnsi="Times New Roman" w:eastAsia="仿宋_GB2312"/>
          <w:b/>
          <w:color w:val="000000" w:themeColor="text1"/>
          <w:sz w:val="32"/>
          <w:szCs w:val="32"/>
          <w:highlight w:val="none"/>
          <w:u w:val="none"/>
          <w14:textFill>
            <w14:solidFill>
              <w14:schemeClr w14:val="tx1"/>
            </w14:solidFill>
          </w14:textFill>
        </w:rPr>
        <w:t>。</w:t>
      </w:r>
      <w:r>
        <w:rPr>
          <w:rFonts w:hint="eastAsia" w:ascii="仿宋_GB2312" w:hAnsi="Times New Roman" w:eastAsia="仿宋_GB2312"/>
          <w:color w:val="000000" w:themeColor="text1"/>
          <w:sz w:val="32"/>
          <w:szCs w:val="32"/>
          <w:highlight w:val="none"/>
          <w:u w:val="none"/>
          <w14:textFill>
            <w14:solidFill>
              <w14:schemeClr w14:val="tx1"/>
            </w14:solidFill>
          </w14:textFill>
        </w:rPr>
        <w:t>支</w:t>
      </w:r>
      <w:r>
        <w:rPr>
          <w:rFonts w:ascii="仿宋_GB2312" w:hAnsi="Times New Roman" w:eastAsia="仿宋_GB2312"/>
          <w:color w:val="000000" w:themeColor="text1"/>
          <w:sz w:val="32"/>
          <w:szCs w:val="32"/>
          <w:highlight w:val="none"/>
          <w:u w:val="none"/>
          <w14:textFill>
            <w14:solidFill>
              <w14:schemeClr w14:val="tx1"/>
            </w14:solidFill>
          </w14:textFill>
        </w:rPr>
        <w:t>持</w:t>
      </w:r>
      <w:r>
        <w:rPr>
          <w:rFonts w:hint="eastAsia" w:ascii="仿宋_GB2312" w:hAnsi="Times New Roman" w:eastAsia="仿宋_GB2312"/>
          <w:color w:val="000000" w:themeColor="text1"/>
          <w:sz w:val="32"/>
          <w:szCs w:val="32"/>
          <w:highlight w:val="none"/>
          <w:u w:val="none"/>
          <w14:textFill>
            <w14:solidFill>
              <w14:schemeClr w14:val="tx1"/>
            </w14:solidFill>
          </w14:textFill>
        </w:rPr>
        <w:t>智能传感器研发制造，提升智能传感器设计、制造、封装与集成、多传感器集成与数据融合及可靠性领域技术水平，重点发展光学、压力、惯性、微机电、自检校自诊断自补偿等类型的智能传感器，加快发展工业环境、动植物环境、生命本体环境等专用传感器，大力开发激光雷达车用传感器和医用传感器产品，提升消费电子智能传感器一体化解决方案供给能力。研发具有新型传动原理、新型结构的减速器，满足机器人关节大减速比、高精度、高刚度、高效率、高可靠性要求。研发高性能、模块化、通用型控制器产品，提升控制器多维度保障水平。研制高性能、高可靠性的伺服电机和驱动器产品，不断提高伺服电机效率。</w:t>
      </w:r>
    </w:p>
    <w:p w14:paraId="2611DA46">
      <w:pPr>
        <w:snapToGrid w:val="0"/>
        <w:spacing w:line="560" w:lineRule="exact"/>
        <w:ind w:firstLine="645"/>
        <w:rPr>
          <w:rFonts w:ascii="仿宋_GB2312" w:hAnsi="Times New Roman" w:eastAsia="仿宋_GB2312"/>
          <w:color w:val="000000" w:themeColor="text1"/>
          <w:sz w:val="32"/>
          <w:szCs w:val="32"/>
          <w:highlight w:val="none"/>
          <w:u w:val="none"/>
          <w14:textFill>
            <w14:solidFill>
              <w14:schemeClr w14:val="tx1"/>
            </w14:solidFill>
          </w14:textFill>
        </w:rPr>
      </w:pPr>
      <w:r>
        <w:rPr>
          <w:rFonts w:hint="eastAsia" w:ascii="仿宋_GB2312" w:hAnsi="Times New Roman" w:eastAsia="仿宋_GB2312"/>
          <w:b/>
          <w:color w:val="000000" w:themeColor="text1"/>
          <w:sz w:val="32"/>
          <w:szCs w:val="32"/>
          <w:highlight w:val="none"/>
          <w:u w:val="none"/>
          <w14:textFill>
            <w14:solidFill>
              <w14:schemeClr w14:val="tx1"/>
            </w14:solidFill>
          </w14:textFill>
        </w:rPr>
        <w:t>专用装备制造。</w:t>
      </w:r>
      <w:r>
        <w:rPr>
          <w:rFonts w:hint="eastAsia" w:ascii="仿宋_GB2312" w:hAnsi="Times New Roman" w:eastAsia="仿宋_GB2312"/>
          <w:color w:val="000000" w:themeColor="text1"/>
          <w:sz w:val="32"/>
          <w:szCs w:val="32"/>
          <w:highlight w:val="none"/>
          <w:u w:val="none"/>
          <w14:textFill>
            <w14:solidFill>
              <w14:schemeClr w14:val="tx1"/>
            </w14:solidFill>
          </w14:textFill>
        </w:rPr>
        <w:t>推动低轨数据卫星通信模块、无线局域网等研发和应用，支持微小卫星以及导航、测绘、气象等空天海洋智能仪器设备制造业发展。开发</w:t>
      </w:r>
      <w:r>
        <w:rPr>
          <w:rFonts w:ascii="仿宋_GB2312" w:hAnsi="Times New Roman" w:eastAsia="仿宋_GB2312"/>
          <w:color w:val="000000" w:themeColor="text1"/>
          <w:sz w:val="32"/>
          <w:szCs w:val="32"/>
          <w:highlight w:val="none"/>
          <w:u w:val="none"/>
          <w14:textFill>
            <w14:solidFill>
              <w14:schemeClr w14:val="tx1"/>
            </w14:solidFill>
          </w14:textFill>
        </w:rPr>
        <w:t>面向面板工艺制造的半导体制备设备、</w:t>
      </w:r>
      <w:r>
        <w:rPr>
          <w:rFonts w:hint="eastAsia" w:ascii="仿宋_GB2312" w:hAnsi="Times New Roman" w:eastAsia="仿宋_GB2312"/>
          <w:color w:val="000000" w:themeColor="text1"/>
          <w:sz w:val="32"/>
          <w:szCs w:val="32"/>
          <w:highlight w:val="none"/>
          <w:u w:val="none"/>
          <w14:textFill>
            <w14:solidFill>
              <w14:schemeClr w14:val="tx1"/>
            </w14:solidFill>
          </w14:textFill>
        </w:rPr>
        <w:t xml:space="preserve">高世代液晶玻璃基板成套设备和5.5代及以上蒸镀、成膜、激光退火等关键设备。积极推进缺陷检测设备、激光加工设备、半导体芯片巨量组装设备等整机设备生产。积极引进国内外沉积设备、刻蚀设备、等离子清洗机、薄膜制备设备等领域的龙头企业。扶持工程机械、精密数控机床、增材制造、激光加工、电池制造、智能物流、空天海洋、轨道交道等智能装备产业发展。 </w:t>
      </w:r>
    </w:p>
    <w:p w14:paraId="4AA24DD7">
      <w:pPr>
        <w:spacing w:line="560" w:lineRule="exact"/>
        <w:ind w:firstLine="640" w:firstLineChars="200"/>
        <w:rPr>
          <w:rFonts w:ascii="仿宋_GB2312" w:hAnsi="Times New Roman" w:eastAsia="仿宋_GB2312"/>
          <w:color w:val="000000" w:themeColor="text1"/>
          <w:sz w:val="32"/>
          <w:szCs w:val="32"/>
          <w:highlight w:val="none"/>
          <w:u w:val="none"/>
          <w14:textFill>
            <w14:solidFill>
              <w14:schemeClr w14:val="tx1"/>
            </w14:solidFill>
          </w14:textFill>
        </w:rPr>
      </w:pPr>
    </w:p>
    <w:tbl>
      <w:tblPr>
        <w:tblStyle w:val="17"/>
        <w:tblW w:w="83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2"/>
      </w:tblGrid>
      <w:tr w14:paraId="091C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8382" w:type="dxa"/>
          </w:tcPr>
          <w:p w14:paraId="4E5A6A0D">
            <w:pPr>
              <w:tabs>
                <w:tab w:val="left" w:pos="567"/>
                <w:tab w:val="left" w:pos="1230"/>
                <w:tab w:val="left" w:pos="1389"/>
              </w:tabs>
              <w:snapToGrid w:val="0"/>
              <w:spacing w:line="560" w:lineRule="exact"/>
              <w:jc w:val="center"/>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专栏</w:t>
            </w:r>
            <w:r>
              <w:rPr>
                <w:rFonts w:hint="eastAsia" w:ascii="宋体" w:hAnsi="宋体"/>
                <w:b/>
                <w:color w:val="000000" w:themeColor="text1"/>
                <w:sz w:val="24"/>
                <w:szCs w:val="24"/>
                <w:highlight w:val="none"/>
                <w:u w:val="none"/>
                <w:lang w:val="en-US" w:eastAsia="zh-CN"/>
                <w14:textFill>
                  <w14:solidFill>
                    <w14:schemeClr w14:val="tx1"/>
                  </w14:solidFill>
                </w14:textFill>
              </w:rPr>
              <w:t>3</w:t>
            </w:r>
            <w:r>
              <w:rPr>
                <w:rFonts w:hint="eastAsia" w:ascii="宋体" w:hAnsi="宋体"/>
                <w:b/>
                <w:color w:val="000000" w:themeColor="text1"/>
                <w:sz w:val="24"/>
                <w:szCs w:val="24"/>
                <w:highlight w:val="none"/>
                <w:u w:val="none"/>
                <w14:textFill>
                  <w14:solidFill>
                    <w14:schemeClr w14:val="tx1"/>
                  </w14:solidFill>
                </w14:textFill>
              </w:rPr>
              <w:t xml:space="preserve">：智能装备产业重点项目 </w:t>
            </w:r>
          </w:p>
          <w:p w14:paraId="2F303449">
            <w:pPr>
              <w:tabs>
                <w:tab w:val="left" w:pos="567"/>
                <w:tab w:val="left" w:pos="1230"/>
                <w:tab w:val="left" w:pos="1389"/>
              </w:tabs>
              <w:snapToGrid w:val="0"/>
              <w:spacing w:line="560" w:lineRule="exact"/>
              <w:ind w:firstLine="361" w:firstLineChars="15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——人工智能终端。</w:t>
            </w:r>
            <w:r>
              <w:rPr>
                <w:rFonts w:hint="eastAsia" w:ascii="宋体" w:hAnsi="宋体"/>
                <w:color w:val="000000" w:themeColor="text1"/>
                <w:sz w:val="24"/>
                <w:szCs w:val="24"/>
                <w:highlight w:val="none"/>
                <w:u w:val="none"/>
                <w14:textFill>
                  <w14:solidFill>
                    <w14:schemeClr w14:val="tx1"/>
                  </w14:solidFill>
                </w14:textFill>
              </w:rPr>
              <w:t>加</w:t>
            </w:r>
            <w:r>
              <w:rPr>
                <w:rFonts w:ascii="宋体" w:hAnsi="宋体"/>
                <w:color w:val="000000" w:themeColor="text1"/>
                <w:sz w:val="24"/>
                <w:szCs w:val="24"/>
                <w:highlight w:val="none"/>
                <w:u w:val="none"/>
                <w14:textFill>
                  <w14:solidFill>
                    <w14:schemeClr w14:val="tx1"/>
                  </w14:solidFill>
                </w14:textFill>
              </w:rPr>
              <w:t>快推进</w:t>
            </w:r>
            <w:r>
              <w:rPr>
                <w:rFonts w:hint="eastAsia" w:ascii="宋体" w:hAnsi="宋体"/>
                <w:color w:val="000000" w:themeColor="text1"/>
                <w:sz w:val="24"/>
                <w:szCs w:val="24"/>
                <w:highlight w:val="none"/>
                <w:u w:val="none"/>
                <w14:textFill>
                  <w14:solidFill>
                    <w14:schemeClr w14:val="tx1"/>
                  </w14:solidFill>
                </w14:textFill>
              </w:rPr>
              <w:t>智能飞控全球创新中心、金融人工智能装备增产扩效等项目</w:t>
            </w:r>
            <w:r>
              <w:rPr>
                <w:rFonts w:ascii="宋体" w:hAnsi="宋体"/>
                <w:color w:val="000000" w:themeColor="text1"/>
                <w:sz w:val="24"/>
                <w:szCs w:val="24"/>
                <w:highlight w:val="none"/>
                <w:u w:val="none"/>
                <w14:textFill>
                  <w14:solidFill>
                    <w14:schemeClr w14:val="tx1"/>
                  </w14:solidFill>
                </w14:textFill>
              </w:rPr>
              <w:t>建设</w:t>
            </w:r>
            <w:r>
              <w:rPr>
                <w:rFonts w:hint="eastAsia" w:ascii="宋体" w:hAnsi="宋体"/>
                <w:color w:val="000000" w:themeColor="text1"/>
                <w:sz w:val="24"/>
                <w:szCs w:val="24"/>
                <w:highlight w:val="none"/>
                <w:u w:val="none"/>
                <w14:textFill>
                  <w14:solidFill>
                    <w14:schemeClr w14:val="tx1"/>
                  </w14:solidFill>
                </w14:textFill>
              </w:rPr>
              <w:t>。</w:t>
            </w:r>
          </w:p>
        </w:tc>
      </w:tr>
    </w:tbl>
    <w:p w14:paraId="6EC8D99F">
      <w:pPr>
        <w:snapToGrid w:val="0"/>
        <w:spacing w:line="560" w:lineRule="exact"/>
        <w:ind w:firstLine="643" w:firstLineChars="200"/>
        <w:rPr>
          <w:rFonts w:ascii="仿宋_GB2312" w:hAnsi="楷体" w:eastAsia="仿宋_GB2312"/>
          <w:b/>
          <w:color w:val="000000" w:themeColor="text1"/>
          <w:sz w:val="32"/>
          <w:szCs w:val="32"/>
          <w:highlight w:val="none"/>
          <w:u w:val="none"/>
          <w14:textFill>
            <w14:solidFill>
              <w14:schemeClr w14:val="tx1"/>
            </w14:solidFill>
          </w14:textFill>
        </w:rPr>
      </w:pPr>
    </w:p>
    <w:p w14:paraId="00D3710B">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06" w:name="_Toc26639"/>
      <w:bookmarkStart w:id="107" w:name="_Toc23620"/>
      <w:bookmarkStart w:id="108" w:name="_Toc53583310"/>
      <w:bookmarkStart w:id="109" w:name="_Toc17806"/>
      <w:bookmarkStart w:id="110" w:name="_Toc56442306"/>
      <w:bookmarkStart w:id="111" w:name="_Toc10334"/>
      <w:r>
        <w:rPr>
          <w:rFonts w:hint="eastAsia" w:ascii="楷体_GB2312" w:hAnsi="楷体_GB2312" w:eastAsia="楷体_GB2312" w:cs="楷体_GB2312"/>
          <w:color w:val="000000" w:themeColor="text1"/>
          <w:highlight w:val="none"/>
          <w:u w:val="none"/>
          <w14:textFill>
            <w14:solidFill>
              <w14:schemeClr w14:val="tx1"/>
            </w14:solidFill>
          </w14:textFill>
        </w:rPr>
        <w:t>（</w:t>
      </w:r>
      <w:r>
        <w:rPr>
          <w:rFonts w:hint="eastAsia" w:ascii="楷体_GB2312" w:hAnsi="楷体_GB2312" w:eastAsia="楷体_GB2312" w:cs="楷体_GB2312"/>
          <w:color w:val="000000" w:themeColor="text1"/>
          <w:highlight w:val="none"/>
          <w:u w:val="none"/>
          <w:lang w:eastAsia="zh-CN"/>
          <w14:textFill>
            <w14:solidFill>
              <w14:schemeClr w14:val="tx1"/>
            </w14:solidFill>
          </w14:textFill>
        </w:rPr>
        <w:t>四</w:t>
      </w:r>
      <w:r>
        <w:rPr>
          <w:rFonts w:hint="eastAsia" w:ascii="楷体_GB2312" w:hAnsi="楷体_GB2312" w:eastAsia="楷体_GB2312" w:cs="楷体_GB2312"/>
          <w:color w:val="000000" w:themeColor="text1"/>
          <w:highlight w:val="none"/>
          <w:u w:val="none"/>
          <w14:textFill>
            <w14:solidFill>
              <w14:schemeClr w14:val="tx1"/>
            </w14:solidFill>
          </w14:textFill>
        </w:rPr>
        <w:t>）新材料产业</w:t>
      </w:r>
      <w:bookmarkEnd w:id="96"/>
      <w:bookmarkEnd w:id="97"/>
      <w:bookmarkEnd w:id="98"/>
      <w:bookmarkEnd w:id="106"/>
      <w:bookmarkEnd w:id="107"/>
      <w:bookmarkEnd w:id="108"/>
      <w:bookmarkEnd w:id="109"/>
      <w:bookmarkEnd w:id="110"/>
      <w:bookmarkEnd w:id="111"/>
    </w:p>
    <w:p w14:paraId="561F336F">
      <w:pPr>
        <w:spacing w:line="560" w:lineRule="exact"/>
        <w:ind w:firstLine="640" w:firstLineChars="200"/>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依托材料基因组大科学装置，针对</w:t>
      </w:r>
      <w:r>
        <w:rPr>
          <w:rFonts w:hint="eastAsia" w:ascii="仿宋_GB2312" w:hAnsi="仿宋_GB2312" w:eastAsia="仿宋_GB2312"/>
          <w:color w:val="000000" w:themeColor="text1"/>
          <w:sz w:val="32"/>
          <w:szCs w:val="32"/>
          <w:highlight w:val="none"/>
          <w:u w:val="none"/>
          <w14:textFill>
            <w14:solidFill>
              <w14:schemeClr w14:val="tx1"/>
            </w14:solidFill>
          </w14:textFill>
        </w:rPr>
        <w:t>新一代信息技术、智能装备等战略</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性</w:t>
      </w:r>
      <w:r>
        <w:rPr>
          <w:rFonts w:hint="eastAsia" w:ascii="仿宋_GB2312" w:hAnsi="仿宋_GB2312" w:eastAsia="仿宋_GB2312"/>
          <w:color w:val="000000" w:themeColor="text1"/>
          <w:sz w:val="32"/>
          <w:szCs w:val="32"/>
          <w:highlight w:val="none"/>
          <w:u w:val="none"/>
          <w14:textFill>
            <w14:solidFill>
              <w14:schemeClr w14:val="tx1"/>
            </w14:solidFill>
          </w14:textFill>
        </w:rPr>
        <w:t>新兴产业重大需求，搭建新材料测试评价平台和技术转化平台，加快建设新材料中试转化基地，重点发展半导体材料、光电材料、新能源材料和前沿材料，</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提升新材料创新研发及产业化水平。</w:t>
      </w:r>
      <w:r>
        <w:rPr>
          <w:rFonts w:hint="eastAsia" w:ascii="仿宋_GB2312" w:hAnsi="仿宋_GB2312" w:eastAsia="仿宋_GB2312"/>
          <w:color w:val="000000" w:themeColor="text1"/>
          <w:sz w:val="32"/>
          <w:szCs w:val="32"/>
          <w:highlight w:val="none"/>
          <w:u w:val="none"/>
          <w14:textFill>
            <w14:solidFill>
              <w14:schemeClr w14:val="tx1"/>
            </w14:solidFill>
          </w14:textFill>
        </w:rPr>
        <w:t>到2025年，</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新材料产业规模达到780亿元。</w:t>
      </w:r>
    </w:p>
    <w:p w14:paraId="152BC4A3">
      <w:pPr>
        <w:spacing w:line="560" w:lineRule="exact"/>
        <w:ind w:firstLine="643" w:firstLineChars="200"/>
        <w:rPr>
          <w:rFonts w:ascii="仿宋_GB2312" w:hAnsi="仿宋" w:eastAsia="仿宋_GB2312" w:cs="Calibri"/>
          <w:color w:val="000000" w:themeColor="text1"/>
          <w:sz w:val="32"/>
          <w:szCs w:val="32"/>
          <w:highlight w:val="none"/>
          <w:u w:val="none"/>
          <w14:textFill>
            <w14:solidFill>
              <w14:schemeClr w14:val="tx1"/>
            </w14:solidFill>
          </w14:textFill>
        </w:rPr>
      </w:pPr>
      <w:bookmarkStart w:id="112" w:name="_Toc48953655"/>
      <w:r>
        <w:rPr>
          <w:rFonts w:hint="eastAsia" w:ascii="仿宋_GB2312" w:hAnsi="Times New Roman" w:eastAsia="仿宋_GB2312"/>
          <w:b/>
          <w:color w:val="000000" w:themeColor="text1"/>
          <w:kern w:val="0"/>
          <w:sz w:val="32"/>
          <w:szCs w:val="32"/>
          <w:highlight w:val="none"/>
          <w:u w:val="none"/>
          <w14:textFill>
            <w14:solidFill>
              <w14:schemeClr w14:val="tx1"/>
            </w14:solidFill>
          </w14:textFill>
        </w:rPr>
        <w:t>半导体材料。</w:t>
      </w:r>
      <w:r>
        <w:rPr>
          <w:rFonts w:hint="eastAsia" w:ascii="仿宋_GB2312" w:hAnsi="仿宋_GB2312" w:eastAsia="仿宋_GB2312"/>
          <w:color w:val="000000" w:themeColor="text1"/>
          <w:sz w:val="32"/>
          <w:szCs w:val="32"/>
          <w:highlight w:val="none"/>
          <w:u w:val="none"/>
          <w14:textFill>
            <w14:solidFill>
              <w14:schemeClr w14:val="tx1"/>
            </w14:solidFill>
          </w14:textFill>
        </w:rPr>
        <w:t>以深圳电子信息产业巨大需求为牵引，抢抓第三代半导体材料产业大发展机遇，以发展碳化硅（SiC）、氮化镓（GaN）、氧化锌（ZnO）</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等</w:t>
      </w:r>
      <w:r>
        <w:rPr>
          <w:rFonts w:hint="eastAsia" w:ascii="仿宋_GB2312" w:hAnsi="仿宋_GB2312" w:eastAsia="仿宋_GB2312"/>
          <w:color w:val="000000" w:themeColor="text1"/>
          <w:sz w:val="32"/>
          <w:szCs w:val="32"/>
          <w:highlight w:val="none"/>
          <w:u w:val="none"/>
          <w14:textFill>
            <w14:solidFill>
              <w14:schemeClr w14:val="tx1"/>
            </w14:solidFill>
          </w14:textFill>
        </w:rPr>
        <w:t>为代表的新型半导体材料产业为重点，加</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快推进平方公里级的第三代半导体产业基地建设，加强国内外知名半导体材料企业的招商引资，吸引大批硅片、靶材、基材、光刻胶、专用气体等关键核心材料及器件生产企业集聚，带动材料、装备、封装测试、应用等上下游领域的发展，形成规模经济效应。推动国内外高校院所半导体材料科技成果在光明区转化，鼓励支持</w:t>
      </w:r>
      <w:r>
        <w:rPr>
          <w:rFonts w:hint="eastAsia" w:ascii="仿宋_GB2312" w:hAnsi="仿宋" w:eastAsia="仿宋_GB2312" w:cs="Calibri"/>
          <w:color w:val="000000" w:themeColor="text1"/>
          <w:sz w:val="32"/>
          <w:szCs w:val="32"/>
          <w:highlight w:val="none"/>
          <w:u w:val="none"/>
          <w14:textFill>
            <w14:solidFill>
              <w14:schemeClr w14:val="tx1"/>
            </w14:solidFill>
          </w14:textFill>
        </w:rPr>
        <w:t>第三代半导体材料高水平研发机构和创新团队落户，重点研发大尺寸碳化硅衬底材料、外延片等工艺技术，推进</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黑磷等革命性半导体新材料的研发和产业化。</w:t>
      </w:r>
    </w:p>
    <w:p w14:paraId="607049A3">
      <w:pPr>
        <w:spacing w:line="560" w:lineRule="exact"/>
        <w:ind w:firstLine="643" w:firstLineChars="200"/>
        <w:rPr>
          <w:rFonts w:ascii="仿宋_GB2312" w:hAnsi="Times New Roman" w:eastAsia="仿宋_GB2312"/>
          <w:color w:val="000000" w:themeColor="text1"/>
          <w:kern w:val="0"/>
          <w:sz w:val="32"/>
          <w:szCs w:val="32"/>
          <w:highlight w:val="none"/>
          <w:u w:val="none"/>
          <w14:textFill>
            <w14:solidFill>
              <w14:schemeClr w14:val="tx1"/>
            </w14:solidFill>
          </w14:textFill>
        </w:rPr>
      </w:pPr>
      <w:r>
        <w:rPr>
          <w:rFonts w:hint="eastAsia" w:ascii="仿宋_GB2312" w:hAnsi="仿宋_GB2312" w:eastAsia="仿宋_GB2312"/>
          <w:b/>
          <w:color w:val="000000" w:themeColor="text1"/>
          <w:sz w:val="32"/>
          <w:szCs w:val="32"/>
          <w:highlight w:val="none"/>
          <w:u w:val="none"/>
          <w14:textFill>
            <w14:solidFill>
              <w14:schemeClr w14:val="tx1"/>
            </w14:solidFill>
          </w14:textFill>
        </w:rPr>
        <w:t>光电材料</w:t>
      </w:r>
      <w:bookmarkEnd w:id="112"/>
      <w:r>
        <w:rPr>
          <w:rFonts w:hint="eastAsia" w:ascii="仿宋_GB2312" w:hAnsi="仿宋_GB2312" w:eastAsia="仿宋_GB2312"/>
          <w:b/>
          <w:color w:val="000000" w:themeColor="text1"/>
          <w:sz w:val="32"/>
          <w:szCs w:val="32"/>
          <w:highlight w:val="none"/>
          <w:u w:val="none"/>
          <w14:textFill>
            <w14:solidFill>
              <w14:schemeClr w14:val="tx1"/>
            </w14:solidFill>
          </w14:textFill>
        </w:rPr>
        <w:t>。</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聚焦光电产业链，重点发展新型显示材料、激光材料、光通信材料、</w:t>
      </w:r>
      <w:r>
        <w:rPr>
          <w:rFonts w:hint="eastAsia" w:ascii="仿宋_GB2312" w:hAnsi="仿宋" w:eastAsia="仿宋_GB2312"/>
          <w:color w:val="000000" w:themeColor="text1"/>
          <w:kern w:val="0"/>
          <w:sz w:val="32"/>
          <w:szCs w:val="32"/>
          <w:highlight w:val="none"/>
          <w:u w:val="none"/>
          <w14:textFill>
            <w14:solidFill>
              <w14:schemeClr w14:val="tx1"/>
            </w14:solidFill>
          </w14:textFill>
        </w:rPr>
        <w:t>LED</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及半导体照明材料等产业，组织实施一批带动性强的重大项目，实现技术与规模的双跨越。推进</w:t>
      </w:r>
      <w:r>
        <w:rPr>
          <w:rFonts w:hint="eastAsia" w:ascii="仿宋_GB2312" w:hAnsi="仿宋_GB2312" w:eastAsia="仿宋_GB2312"/>
          <w:color w:val="000000" w:themeColor="text1"/>
          <w:sz w:val="32"/>
          <w:szCs w:val="32"/>
          <w:highlight w:val="none"/>
          <w:u w:val="none"/>
          <w14:textFill>
            <w14:solidFill>
              <w14:schemeClr w14:val="tx1"/>
            </w14:solidFill>
          </w14:textFill>
        </w:rPr>
        <w:t>第11代TFT-LCD用玻璃基板生产线等重大项目建设，</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进一步巩固液晶玻璃基板、封装胶等基础材料的技术优势</w:t>
      </w:r>
      <w:r>
        <w:rPr>
          <w:rFonts w:hint="eastAsia" w:ascii="仿宋_GB2312" w:hAnsi="仿宋_GB2312" w:eastAsia="仿宋_GB2312"/>
          <w:color w:val="000000" w:themeColor="text1"/>
          <w:sz w:val="32"/>
          <w:szCs w:val="32"/>
          <w:highlight w:val="none"/>
          <w:u w:val="none"/>
          <w14:textFill>
            <w14:solidFill>
              <w14:schemeClr w14:val="tx1"/>
            </w14:solidFill>
          </w14:textFill>
        </w:rPr>
        <w:t>，</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形成以液晶材料、偏光片、功能膜材料、玻璃基板、有机发光（</w:t>
      </w:r>
      <w:r>
        <w:rPr>
          <w:rFonts w:hint="eastAsia" w:ascii="仿宋_GB2312" w:hAnsi="宋体" w:eastAsia="仿宋_GB2312"/>
          <w:color w:val="000000" w:themeColor="text1"/>
          <w:kern w:val="0"/>
          <w:sz w:val="32"/>
          <w:szCs w:val="32"/>
          <w:highlight w:val="none"/>
          <w:u w:val="none"/>
          <w14:textFill>
            <w14:solidFill>
              <w14:schemeClr w14:val="tx1"/>
            </w14:solidFill>
          </w14:textFill>
        </w:rPr>
        <w:t>OLED</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）材料等新型显示</w:t>
      </w:r>
      <w:r>
        <w:rPr>
          <w:rFonts w:hint="eastAsia" w:ascii="仿宋_GB2312" w:eastAsia="仿宋_GB2312"/>
          <w:color w:val="000000" w:themeColor="text1"/>
          <w:kern w:val="0"/>
          <w:sz w:val="32"/>
          <w:szCs w:val="32"/>
          <w:highlight w:val="none"/>
          <w:u w:val="none"/>
          <w14:textFill>
            <w14:solidFill>
              <w14:schemeClr w14:val="tx1"/>
            </w14:solidFill>
          </w14:textFill>
        </w:rPr>
        <w:t>上游关键材料</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为重点的产业集群。加快发展激光材料产业，实现激光增益光纤、激光薄片晶体、激光非线性频率转换晶体、激光用石英玻璃等激光材料突破发展。针对新基建、5G应用发展需求，优先发展超高速率、超大容量数据网络光纤，大力发展空天海洋、医疗器械、智能装备等专用传感传能特种光纤。规模发展</w:t>
      </w:r>
      <w:r>
        <w:rPr>
          <w:rFonts w:hint="eastAsia" w:ascii="仿宋_GB2312" w:hAnsi="仿宋" w:eastAsia="仿宋_GB2312"/>
          <w:color w:val="000000" w:themeColor="text1"/>
          <w:kern w:val="0"/>
          <w:sz w:val="32"/>
          <w:szCs w:val="32"/>
          <w:highlight w:val="none"/>
          <w:u w:val="none"/>
          <w14:textFill>
            <w14:solidFill>
              <w14:schemeClr w14:val="tx1"/>
            </w14:solidFill>
          </w14:textFill>
        </w:rPr>
        <w:t>LED</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芯片高端产品，推进蓝宝石衬底材料、碳化硅衬底材料和封装散热材料等领域研发</w:t>
      </w:r>
      <w:bookmarkStart w:id="113" w:name="_Toc48953657"/>
      <w:r>
        <w:rPr>
          <w:rFonts w:hint="eastAsia" w:ascii="仿宋_GB2312" w:hAnsi="Times New Roman" w:eastAsia="仿宋_GB2312"/>
          <w:color w:val="000000" w:themeColor="text1"/>
          <w:kern w:val="0"/>
          <w:sz w:val="32"/>
          <w:szCs w:val="32"/>
          <w:highlight w:val="none"/>
          <w:u w:val="none"/>
          <w14:textFill>
            <w14:solidFill>
              <w14:schemeClr w14:val="tx1"/>
            </w14:solidFill>
          </w14:textFill>
        </w:rPr>
        <w:t>制造。</w:t>
      </w:r>
    </w:p>
    <w:p w14:paraId="1D5E11E4">
      <w:pPr>
        <w:spacing w:line="560" w:lineRule="exact"/>
        <w:ind w:firstLine="643" w:firstLineChars="200"/>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仿宋_GB2312" w:hAnsi="Times New Roman" w:eastAsia="仿宋_GB2312"/>
          <w:b/>
          <w:color w:val="000000" w:themeColor="text1"/>
          <w:kern w:val="0"/>
          <w:sz w:val="32"/>
          <w:szCs w:val="32"/>
          <w:highlight w:val="none"/>
          <w:u w:val="none"/>
          <w14:textFill>
            <w14:solidFill>
              <w14:schemeClr w14:val="tx1"/>
            </w14:solidFill>
          </w14:textFill>
        </w:rPr>
        <w:t>新能源材料</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。围绕消费电子、电动汽车、光伏发电等新能源产业领域，重点发展新型锂离子电池、新型燃料电池和新型太阳能电池等高功率、高容量新能源材料。</w:t>
      </w:r>
      <w:r>
        <w:rPr>
          <w:rFonts w:hint="eastAsia" w:ascii="仿宋_GB2312" w:hAnsi="仿宋" w:eastAsia="仿宋_GB2312" w:cs="Calibri"/>
          <w:color w:val="000000" w:themeColor="text1"/>
          <w:sz w:val="32"/>
          <w:szCs w:val="32"/>
          <w:highlight w:val="none"/>
          <w:u w:val="none"/>
          <w14:textFill>
            <w14:solidFill>
              <w14:schemeClr w14:val="tx1"/>
            </w14:solidFill>
          </w14:textFill>
        </w:rPr>
        <w:t>重点发展高容量正负极材料、耐高温低电阻隔膜等锂离子电池关键材料，提高锂离子电池能量密度、安全性能与循环寿命。着力突破电池成组和系统集成技术，超前布局研发下一代动力电池和新体系动力电池，加速开发储氢材料、全固态锂离子电池、金属空气电池、锂硫电池等产品。</w:t>
      </w:r>
      <w:r>
        <w:rPr>
          <w:rFonts w:hint="eastAsia" w:ascii="仿宋_GB2312" w:hAnsi="仿宋_GB2312" w:eastAsia="仿宋_GB2312"/>
          <w:color w:val="000000" w:themeColor="text1"/>
          <w:sz w:val="32"/>
          <w:szCs w:val="32"/>
          <w:highlight w:val="none"/>
          <w:u w:val="none"/>
          <w14:textFill>
            <w14:solidFill>
              <w14:schemeClr w14:val="tx1"/>
            </w14:solidFill>
          </w14:textFill>
        </w:rPr>
        <w:t xml:space="preserve">积极发展聚光太阳能电池、柔性硅基薄膜太阳能电池、有机薄膜太阳能电池、CIGS薄膜太阳能电池等。培育发展一批具有持续创新能力的新能源材料龙头企业，建立上下游企业联动的新能源电池产业链。 </w:t>
      </w:r>
    </w:p>
    <w:p w14:paraId="38350F6C">
      <w:pPr>
        <w:spacing w:line="560" w:lineRule="exact"/>
        <w:ind w:firstLine="643" w:firstLineChars="200"/>
        <w:rPr>
          <w:rFonts w:ascii="仿宋_GB2312" w:hAnsi="仿宋" w:eastAsia="仿宋_GB2312" w:cs="Calibri"/>
          <w:color w:val="000000" w:themeColor="text1"/>
          <w:sz w:val="32"/>
          <w:szCs w:val="32"/>
          <w:highlight w:val="none"/>
          <w:u w:val="none"/>
          <w14:textFill>
            <w14:solidFill>
              <w14:schemeClr w14:val="tx1"/>
            </w14:solidFill>
          </w14:textFill>
        </w:rPr>
      </w:pPr>
      <w:r>
        <w:rPr>
          <w:rFonts w:hint="eastAsia" w:ascii="仿宋_GB2312" w:hAnsi="仿宋_GB2312" w:eastAsia="仿宋_GB2312"/>
          <w:b/>
          <w:color w:val="000000" w:themeColor="text1"/>
          <w:sz w:val="32"/>
          <w:szCs w:val="32"/>
          <w:highlight w:val="none"/>
          <w:u w:val="none"/>
          <w14:textFill>
            <w14:solidFill>
              <w14:schemeClr w14:val="tx1"/>
            </w14:solidFill>
          </w14:textFill>
        </w:rPr>
        <w:t>前沿材料。</w:t>
      </w:r>
      <w:r>
        <w:rPr>
          <w:rFonts w:hint="eastAsia" w:ascii="仿宋_GB2312" w:hAnsi="仿宋_GB2312" w:eastAsia="仿宋_GB2312"/>
          <w:color w:val="000000" w:themeColor="text1"/>
          <w:sz w:val="32"/>
          <w:szCs w:val="32"/>
          <w:highlight w:val="none"/>
          <w:u w:val="none"/>
          <w14:textFill>
            <w14:solidFill>
              <w14:schemeClr w14:val="tx1"/>
            </w14:solidFill>
          </w14:textFill>
        </w:rPr>
        <w:t>推进石墨烯制造业创新中心、石墨烯材料与器件测试评价公共服务平台等项目建设，加强</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石墨烯材料技术产业化应用，支持</w:t>
      </w:r>
      <w:r>
        <w:rPr>
          <w:rFonts w:hint="eastAsia" w:ascii="仿宋_GB2312" w:hAnsi="仿宋_GB2312" w:eastAsia="仿宋_GB2312"/>
          <w:color w:val="000000" w:themeColor="text1"/>
          <w:sz w:val="32"/>
          <w:szCs w:val="32"/>
          <w:highlight w:val="none"/>
          <w:u w:val="none"/>
          <w14:textFill>
            <w14:solidFill>
              <w14:schemeClr w14:val="tx1"/>
            </w14:solidFill>
          </w14:textFill>
        </w:rPr>
        <w:t>基于石墨烯材料的传感器、触控器件、储能器件、电子元器件等的研制，大力发展推广石墨烯改性的功能涂料、改性橡胶、热工产品以及特种功能产品。促进3D打印材料产业发展，重点</w:t>
      </w:r>
      <w:r>
        <w:rPr>
          <w:rFonts w:hint="eastAsia" w:ascii="仿宋_GB2312" w:hAnsi="仿宋" w:eastAsia="仿宋_GB2312" w:cs="Calibri"/>
          <w:color w:val="000000" w:themeColor="text1"/>
          <w:sz w:val="32"/>
          <w:szCs w:val="32"/>
          <w:highlight w:val="none"/>
          <w:u w:val="none"/>
          <w14:textFill>
            <w14:solidFill>
              <w14:schemeClr w14:val="tx1"/>
            </w14:solidFill>
          </w14:textFill>
        </w:rPr>
        <w:t>发展3D打印专用超高分子量聚合物材料，推进氧化铝、碳化硅等3D打印材料的开发应用，</w:t>
      </w:r>
      <w:r>
        <w:rPr>
          <w:rFonts w:hint="eastAsia" w:ascii="仿宋_GB2312" w:hAnsi="仿宋_GB2312" w:eastAsia="仿宋_GB2312"/>
          <w:color w:val="000000" w:themeColor="text1"/>
          <w:sz w:val="32"/>
          <w:szCs w:val="32"/>
          <w:highlight w:val="none"/>
          <w:u w:val="none"/>
          <w14:textFill>
            <w14:solidFill>
              <w14:schemeClr w14:val="tx1"/>
            </w14:solidFill>
          </w14:textFill>
        </w:rPr>
        <w:t>突破钛合金、高强合金钢、高温合金等增材制造专用材料，</w:t>
      </w:r>
      <w:r>
        <w:rPr>
          <w:rFonts w:hint="eastAsia" w:ascii="仿宋_GB2312" w:hAnsi="仿宋" w:eastAsia="仿宋_GB2312" w:cs="Calibri"/>
          <w:color w:val="000000" w:themeColor="text1"/>
          <w:sz w:val="32"/>
          <w:szCs w:val="32"/>
          <w:highlight w:val="none"/>
          <w:u w:val="none"/>
          <w14:textFill>
            <w14:solidFill>
              <w14:schemeClr w14:val="tx1"/>
            </w14:solidFill>
          </w14:textFill>
        </w:rPr>
        <w:t>形成深圳3D打印材料产业研发制造体系。积极开发高端纳米滤膜、纳米技术及纳米复合材料，拓展纳米材料在光电子、新能源、生物医药等领域应用范围。推动发展高分子基、碳基、金属基及陶瓷基复合材料，加强高性能增强纤维。支持纳米材料和超导材料技术引进和产业化，积极拓展智能材料、仿生材料、超材料和新型超导材料领域，加大空天、深海、深地等极端环境所需材料研发力度。</w:t>
      </w:r>
    </w:p>
    <w:p w14:paraId="4449BFF5">
      <w:pPr>
        <w:spacing w:line="560" w:lineRule="exact"/>
        <w:ind w:firstLine="643" w:firstLineChars="200"/>
        <w:rPr>
          <w:rFonts w:ascii="仿宋_GB2312" w:hAnsi="仿宋_GB2312" w:eastAsia="仿宋_GB2312"/>
          <w:b/>
          <w:color w:val="000000" w:themeColor="text1"/>
          <w:sz w:val="32"/>
          <w:szCs w:val="32"/>
          <w:highlight w:val="none"/>
          <w:u w:val="none"/>
          <w14:textFill>
            <w14:solidFill>
              <w14:schemeClr w14:val="tx1"/>
            </w14:solidFill>
          </w14:textFill>
        </w:rPr>
      </w:pPr>
    </w:p>
    <w:tbl>
      <w:tblPr>
        <w:tblStyle w:val="17"/>
        <w:tblW w:w="83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2"/>
      </w:tblGrid>
      <w:tr w14:paraId="09B02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4" w:hRule="atLeast"/>
        </w:trPr>
        <w:tc>
          <w:tcPr>
            <w:tcW w:w="8382" w:type="dxa"/>
          </w:tcPr>
          <w:p w14:paraId="44776AF1">
            <w:pPr>
              <w:tabs>
                <w:tab w:val="left" w:pos="567"/>
                <w:tab w:val="left" w:pos="1230"/>
                <w:tab w:val="left" w:pos="1389"/>
              </w:tabs>
              <w:snapToGrid w:val="0"/>
              <w:spacing w:line="560" w:lineRule="exact"/>
              <w:ind w:firstLine="482" w:firstLineChars="200"/>
              <w:jc w:val="center"/>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专栏</w:t>
            </w:r>
            <w:r>
              <w:rPr>
                <w:rFonts w:hint="eastAsia" w:ascii="宋体" w:hAnsi="宋体"/>
                <w:b/>
                <w:color w:val="000000" w:themeColor="text1"/>
                <w:sz w:val="24"/>
                <w:szCs w:val="24"/>
                <w:highlight w:val="none"/>
                <w:u w:val="none"/>
                <w:lang w:val="en-US" w:eastAsia="zh-CN"/>
                <w14:textFill>
                  <w14:solidFill>
                    <w14:schemeClr w14:val="tx1"/>
                  </w14:solidFill>
                </w14:textFill>
              </w:rPr>
              <w:t>4</w:t>
            </w:r>
            <w:r>
              <w:rPr>
                <w:rFonts w:hint="eastAsia" w:ascii="宋体" w:hAnsi="宋体"/>
                <w:b/>
                <w:color w:val="000000" w:themeColor="text1"/>
                <w:sz w:val="24"/>
                <w:szCs w:val="24"/>
                <w:highlight w:val="none"/>
                <w:u w:val="none"/>
                <w14:textFill>
                  <w14:solidFill>
                    <w14:schemeClr w14:val="tx1"/>
                  </w14:solidFill>
                </w14:textFill>
              </w:rPr>
              <w:t>：新材料产业重点项目</w:t>
            </w:r>
          </w:p>
          <w:p w14:paraId="27059865">
            <w:pPr>
              <w:tabs>
                <w:tab w:val="left" w:pos="567"/>
                <w:tab w:val="left" w:pos="1230"/>
                <w:tab w:val="left" w:pos="1389"/>
              </w:tabs>
              <w:snapToGrid w:val="0"/>
              <w:spacing w:line="560" w:lineRule="exact"/>
              <w:ind w:firstLine="482" w:firstLineChars="200"/>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——光电材料。</w:t>
            </w:r>
            <w:r>
              <w:rPr>
                <w:rFonts w:hint="eastAsia" w:ascii="宋体" w:hAnsi="宋体"/>
                <w:color w:val="000000" w:themeColor="text1"/>
                <w:sz w:val="24"/>
                <w:szCs w:val="24"/>
                <w:highlight w:val="none"/>
                <w:u w:val="none"/>
                <w14:textFill>
                  <w14:solidFill>
                    <w14:schemeClr w14:val="tx1"/>
                  </w14:solidFill>
                </w14:textFill>
              </w:rPr>
              <w:t>加快推进旭硝子第11代TFT-LCD用玻璃基板生产线、广业产业园提容等项</w:t>
            </w:r>
            <w:r>
              <w:rPr>
                <w:rFonts w:ascii="宋体" w:hAnsi="宋体"/>
                <w:color w:val="000000" w:themeColor="text1"/>
                <w:sz w:val="24"/>
                <w:szCs w:val="24"/>
                <w:highlight w:val="none"/>
                <w:u w:val="none"/>
                <w14:textFill>
                  <w14:solidFill>
                    <w14:schemeClr w14:val="tx1"/>
                  </w14:solidFill>
                </w14:textFill>
              </w:rPr>
              <w:t>目建设</w:t>
            </w:r>
            <w:r>
              <w:rPr>
                <w:rFonts w:hint="eastAsia" w:ascii="宋体" w:hAnsi="宋体"/>
                <w:color w:val="000000" w:themeColor="text1"/>
                <w:sz w:val="24"/>
                <w:szCs w:val="24"/>
                <w:highlight w:val="none"/>
                <w:u w:val="none"/>
                <w14:textFill>
                  <w14:solidFill>
                    <w14:schemeClr w14:val="tx1"/>
                  </w14:solidFill>
                </w14:textFill>
              </w:rPr>
              <w:t>。</w:t>
            </w:r>
          </w:p>
          <w:p w14:paraId="5111E75D">
            <w:pPr>
              <w:tabs>
                <w:tab w:val="left" w:pos="567"/>
                <w:tab w:val="left" w:pos="1230"/>
                <w:tab w:val="left" w:pos="1389"/>
              </w:tabs>
              <w:snapToGrid w:val="0"/>
              <w:spacing w:line="560" w:lineRule="exact"/>
              <w:ind w:firstLine="482" w:firstLineChars="200"/>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——新型能源材料。</w:t>
            </w:r>
            <w:r>
              <w:rPr>
                <w:rFonts w:hint="eastAsia" w:ascii="宋体" w:hAnsi="宋体"/>
                <w:color w:val="000000" w:themeColor="text1"/>
                <w:sz w:val="24"/>
                <w:szCs w:val="24"/>
                <w:highlight w:val="none"/>
                <w:u w:val="none"/>
                <w14:textFill>
                  <w14:solidFill>
                    <w14:schemeClr w14:val="tx1"/>
                  </w14:solidFill>
                </w14:textFill>
              </w:rPr>
              <w:t>加快推进贝特瑞新能源科技大厦、星源材质华南基地二期功能膜等项</w:t>
            </w:r>
            <w:r>
              <w:rPr>
                <w:rFonts w:ascii="宋体" w:hAnsi="宋体"/>
                <w:color w:val="000000" w:themeColor="text1"/>
                <w:sz w:val="24"/>
                <w:szCs w:val="24"/>
                <w:highlight w:val="none"/>
                <w:u w:val="none"/>
                <w14:textFill>
                  <w14:solidFill>
                    <w14:schemeClr w14:val="tx1"/>
                  </w14:solidFill>
                </w14:textFill>
              </w:rPr>
              <w:t>目建设</w:t>
            </w:r>
            <w:r>
              <w:rPr>
                <w:rFonts w:hint="eastAsia" w:ascii="宋体" w:hAnsi="宋体"/>
                <w:color w:val="000000" w:themeColor="text1"/>
                <w:sz w:val="24"/>
                <w:szCs w:val="24"/>
                <w:highlight w:val="none"/>
                <w:u w:val="none"/>
                <w14:textFill>
                  <w14:solidFill>
                    <w14:schemeClr w14:val="tx1"/>
                  </w14:solidFill>
                </w14:textFill>
              </w:rPr>
              <w:t>。</w:t>
            </w:r>
          </w:p>
          <w:p w14:paraId="070B8C5A">
            <w:pPr>
              <w:tabs>
                <w:tab w:val="left" w:pos="567"/>
                <w:tab w:val="left" w:pos="1230"/>
                <w:tab w:val="left" w:pos="1389"/>
              </w:tabs>
              <w:snapToGrid w:val="0"/>
              <w:spacing w:line="560" w:lineRule="exact"/>
              <w:ind w:firstLine="482" w:firstLineChars="200"/>
              <w:rPr>
                <w:rFonts w:ascii="仿宋_GB2312" w:hAnsi="宋体" w:eastAsia="仿宋_GB2312"/>
                <w:b/>
                <w:color w:val="000000" w:themeColor="text1"/>
                <w:sz w:val="32"/>
                <w:szCs w:val="32"/>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——前沿材料。</w:t>
            </w:r>
            <w:r>
              <w:rPr>
                <w:rFonts w:hint="eastAsia" w:ascii="宋体" w:hAnsi="宋体"/>
                <w:color w:val="000000" w:themeColor="text1"/>
                <w:sz w:val="24"/>
                <w:szCs w:val="24"/>
                <w:highlight w:val="none"/>
                <w:u w:val="none"/>
                <w14:textFill>
                  <w14:solidFill>
                    <w14:schemeClr w14:val="tx1"/>
                  </w14:solidFill>
                </w14:textFill>
              </w:rPr>
              <w:t>加快推进石墨烯制造业创新中心、先进功能陶瓷及装备生产研发等项</w:t>
            </w:r>
            <w:r>
              <w:rPr>
                <w:rFonts w:ascii="宋体" w:hAnsi="宋体"/>
                <w:color w:val="000000" w:themeColor="text1"/>
                <w:sz w:val="24"/>
                <w:szCs w:val="24"/>
                <w:highlight w:val="none"/>
                <w:u w:val="none"/>
                <w14:textFill>
                  <w14:solidFill>
                    <w14:schemeClr w14:val="tx1"/>
                  </w14:solidFill>
                </w14:textFill>
              </w:rPr>
              <w:t>目建设</w:t>
            </w:r>
            <w:r>
              <w:rPr>
                <w:rFonts w:hint="eastAsia" w:ascii="宋体" w:hAnsi="宋体"/>
                <w:color w:val="000000" w:themeColor="text1"/>
                <w:sz w:val="24"/>
                <w:szCs w:val="24"/>
                <w:highlight w:val="none"/>
                <w:u w:val="none"/>
                <w14:textFill>
                  <w14:solidFill>
                    <w14:schemeClr w14:val="tx1"/>
                  </w14:solidFill>
                </w14:textFill>
              </w:rPr>
              <w:t>。</w:t>
            </w:r>
          </w:p>
        </w:tc>
      </w:tr>
    </w:tbl>
    <w:p w14:paraId="421E7AB3">
      <w:pPr>
        <w:spacing w:line="560" w:lineRule="exact"/>
        <w:ind w:firstLine="640" w:firstLineChars="200"/>
        <w:rPr>
          <w:rFonts w:ascii="仿宋_GB2312" w:hAnsi="仿宋" w:eastAsia="仿宋_GB2312" w:cs="Calibri"/>
          <w:color w:val="000000" w:themeColor="text1"/>
          <w:sz w:val="32"/>
          <w:szCs w:val="32"/>
          <w:highlight w:val="none"/>
          <w:u w:val="none"/>
          <w14:textFill>
            <w14:solidFill>
              <w14:schemeClr w14:val="tx1"/>
            </w14:solidFill>
          </w14:textFill>
        </w:rPr>
      </w:pPr>
    </w:p>
    <w:bookmarkEnd w:id="113"/>
    <w:p w14:paraId="1CB657D1">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14" w:name="_Toc56442307"/>
      <w:bookmarkStart w:id="115" w:name="_Toc53583311"/>
      <w:bookmarkStart w:id="116" w:name="_Toc42762164"/>
      <w:bookmarkStart w:id="117" w:name="_Toc8439_WPSOffice_Level2"/>
      <w:bookmarkStart w:id="118" w:name="_Toc36286618"/>
      <w:bookmarkStart w:id="119" w:name="_Toc28196"/>
      <w:bookmarkStart w:id="120" w:name="_Toc18680"/>
      <w:bookmarkStart w:id="121" w:name="_Toc24968"/>
      <w:bookmarkStart w:id="122" w:name="_Toc23212"/>
      <w:r>
        <w:rPr>
          <w:rFonts w:hint="eastAsia" w:ascii="楷体_GB2312" w:hAnsi="楷体_GB2312" w:eastAsia="楷体_GB2312" w:cs="楷体_GB2312"/>
          <w:color w:val="000000" w:themeColor="text1"/>
          <w:highlight w:val="none"/>
          <w:u w:val="none"/>
          <w14:textFill>
            <w14:solidFill>
              <w14:schemeClr w14:val="tx1"/>
            </w14:solidFill>
          </w14:textFill>
        </w:rPr>
        <w:t>（</w:t>
      </w:r>
      <w:r>
        <w:rPr>
          <w:rFonts w:hint="eastAsia" w:ascii="楷体_GB2312" w:hAnsi="楷体_GB2312" w:eastAsia="楷体_GB2312" w:cs="楷体_GB2312"/>
          <w:color w:val="000000" w:themeColor="text1"/>
          <w:highlight w:val="none"/>
          <w:u w:val="none"/>
          <w:lang w:eastAsia="zh-CN"/>
          <w14:textFill>
            <w14:solidFill>
              <w14:schemeClr w14:val="tx1"/>
            </w14:solidFill>
          </w14:textFill>
        </w:rPr>
        <w:t>五</w:t>
      </w:r>
      <w:r>
        <w:rPr>
          <w:rFonts w:hint="eastAsia" w:ascii="楷体_GB2312" w:hAnsi="楷体_GB2312" w:eastAsia="楷体_GB2312" w:cs="楷体_GB2312"/>
          <w:color w:val="000000" w:themeColor="text1"/>
          <w:highlight w:val="none"/>
          <w:u w:val="none"/>
          <w14:textFill>
            <w14:solidFill>
              <w14:schemeClr w14:val="tx1"/>
            </w14:solidFill>
          </w14:textFill>
        </w:rPr>
        <w:t>）</w:t>
      </w:r>
      <w:r>
        <w:rPr>
          <w:rFonts w:hint="eastAsia" w:ascii="楷体_GB2312" w:hAnsi="楷体_GB2312" w:eastAsia="楷体_GB2312" w:cs="楷体_GB2312"/>
          <w:color w:val="000000" w:themeColor="text1"/>
          <w:highlight w:val="none"/>
          <w:u w:val="none"/>
          <w:lang w:eastAsia="zh-CN"/>
          <w14:textFill>
            <w14:solidFill>
              <w14:schemeClr w14:val="tx1"/>
            </w14:solidFill>
          </w14:textFill>
        </w:rPr>
        <w:t>生物医药</w:t>
      </w:r>
      <w:r>
        <w:rPr>
          <w:rFonts w:hint="eastAsia" w:ascii="楷体_GB2312" w:hAnsi="楷体_GB2312" w:eastAsia="楷体_GB2312" w:cs="楷体_GB2312"/>
          <w:color w:val="000000" w:themeColor="text1"/>
          <w:highlight w:val="none"/>
          <w:u w:val="none"/>
          <w14:textFill>
            <w14:solidFill>
              <w14:schemeClr w14:val="tx1"/>
            </w14:solidFill>
          </w14:textFill>
        </w:rPr>
        <w:t>产业</w:t>
      </w:r>
      <w:bookmarkEnd w:id="114"/>
      <w:bookmarkEnd w:id="115"/>
      <w:bookmarkEnd w:id="116"/>
      <w:bookmarkEnd w:id="117"/>
      <w:bookmarkEnd w:id="118"/>
      <w:bookmarkEnd w:id="119"/>
      <w:bookmarkEnd w:id="120"/>
      <w:bookmarkEnd w:id="121"/>
      <w:bookmarkEnd w:id="122"/>
    </w:p>
    <w:p w14:paraId="4520ED85">
      <w:pPr>
        <w:spacing w:line="560" w:lineRule="exact"/>
        <w:ind w:firstLine="640" w:firstLineChars="200"/>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仿宋_GB2312" w:eastAsia="仿宋_GB2312"/>
          <w:color w:val="000000" w:themeColor="text1"/>
          <w:sz w:val="32"/>
          <w:szCs w:val="32"/>
          <w:highlight w:val="none"/>
          <w:u w:val="none"/>
          <w14:textFill>
            <w14:solidFill>
              <w14:schemeClr w14:val="tx1"/>
            </w14:solidFill>
          </w14:textFill>
        </w:rPr>
        <w:t>依托</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生命科学与技术领域重大科技基础设施及</w:t>
      </w:r>
      <w:r>
        <w:rPr>
          <w:rFonts w:hint="eastAsia" w:ascii="仿宋_GB2312" w:eastAsia="仿宋_GB2312"/>
          <w:color w:val="000000" w:themeColor="text1"/>
          <w:sz w:val="32"/>
          <w:szCs w:val="32"/>
          <w:highlight w:val="none"/>
          <w:u w:val="none"/>
          <w14:textFill>
            <w14:solidFill>
              <w14:schemeClr w14:val="tx1"/>
            </w14:solidFill>
          </w14:textFill>
        </w:rPr>
        <w:t>光明高度集聚的优势医疗资源，不断提升生物制药、新型诊疗技术、高性能医疗器械产业发展水平，</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以凤凰城为核心片区，以一批龙头企业和重点项目为重点，</w:t>
      </w:r>
      <w:r>
        <w:rPr>
          <w:rFonts w:hint="eastAsia" w:ascii="仿宋_GB2312" w:eastAsia="仿宋_GB2312"/>
          <w:color w:val="000000" w:themeColor="text1"/>
          <w:sz w:val="32"/>
          <w:szCs w:val="32"/>
          <w:highlight w:val="none"/>
          <w:u w:val="none"/>
          <w14:textFill>
            <w14:solidFill>
              <w14:schemeClr w14:val="tx1"/>
            </w14:solidFill>
          </w14:textFill>
        </w:rPr>
        <w:t>谋划打造生物医学研究转化示范区。</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到2025年，</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生命科学产业规模达到</w:t>
      </w:r>
      <w:r>
        <w:rPr>
          <w:rFonts w:hint="eastAsia" w:ascii="仿宋_GB2312" w:hAnsi="Times New Roman" w:eastAsia="仿宋_GB2312"/>
          <w:color w:val="000000" w:themeColor="text1"/>
          <w:kern w:val="0"/>
          <w:sz w:val="32"/>
          <w:szCs w:val="32"/>
          <w:highlight w:val="none"/>
          <w:u w:val="none"/>
          <w:lang w:eastAsia="zh-CN"/>
          <w14:textFill>
            <w14:solidFill>
              <w14:schemeClr w14:val="tx1"/>
            </w14:solidFill>
          </w14:textFill>
        </w:rPr>
        <w:t>5</w:t>
      </w:r>
      <w:r>
        <w:rPr>
          <w:rFonts w:hint="eastAsia" w:ascii="仿宋_GB2312" w:hAnsi="Times New Roman" w:eastAsia="仿宋_GB2312"/>
          <w:color w:val="000000" w:themeColor="text1"/>
          <w:kern w:val="0"/>
          <w:sz w:val="32"/>
          <w:szCs w:val="32"/>
          <w:highlight w:val="none"/>
          <w:u w:val="none"/>
          <w:lang w:val="en-US" w:eastAsia="zh-CN"/>
          <w14:textFill>
            <w14:solidFill>
              <w14:schemeClr w14:val="tx1"/>
            </w14:solidFill>
          </w14:textFill>
        </w:rPr>
        <w:t>00</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亿元。</w:t>
      </w:r>
    </w:p>
    <w:p w14:paraId="2B91AB4A">
      <w:pPr>
        <w:widowControl/>
        <w:spacing w:line="560" w:lineRule="exact"/>
        <w:ind w:firstLine="643" w:firstLineChars="200"/>
        <w:rPr>
          <w:rFonts w:ascii="仿宋_GB2312" w:hAnsi="仿宋" w:eastAsia="仿宋_GB2312" w:cs="Calibri"/>
          <w:color w:val="000000" w:themeColor="text1"/>
          <w:sz w:val="32"/>
          <w:szCs w:val="32"/>
          <w:highlight w:val="none"/>
          <w:u w:val="none"/>
          <w14:textFill>
            <w14:solidFill>
              <w14:schemeClr w14:val="tx1"/>
            </w14:solidFill>
          </w14:textFill>
        </w:rPr>
      </w:pPr>
      <w:r>
        <w:rPr>
          <w:rFonts w:hint="eastAsia" w:ascii="仿宋_GB2312" w:hAnsi="仿宋_GB2312" w:eastAsia="仿宋_GB2312"/>
          <w:b/>
          <w:color w:val="000000" w:themeColor="text1"/>
          <w:sz w:val="32"/>
          <w:szCs w:val="32"/>
          <w:highlight w:val="none"/>
          <w:u w:val="none"/>
          <w14:textFill>
            <w14:solidFill>
              <w14:schemeClr w14:val="tx1"/>
            </w14:solidFill>
          </w14:textFill>
        </w:rPr>
        <w:t>生物制药。</w:t>
      </w:r>
      <w:r>
        <w:rPr>
          <w:rFonts w:hint="eastAsia" w:ascii="仿宋_GB2312" w:hAnsi="黑体" w:eastAsia="仿宋_GB2312"/>
          <w:color w:val="000000" w:themeColor="text1"/>
          <w:sz w:val="32"/>
          <w:szCs w:val="32"/>
          <w:highlight w:val="none"/>
          <w:u w:val="none"/>
          <w14:textFill>
            <w14:solidFill>
              <w14:schemeClr w14:val="tx1"/>
            </w14:solidFill>
          </w14:textFill>
        </w:rPr>
        <w:t>大力引进国内外顶级科学家，支</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持</w:t>
      </w:r>
      <w:r>
        <w:rPr>
          <w:rFonts w:hint="eastAsia" w:ascii="仿宋_GB2312" w:hAnsi="仿宋_GB2312" w:eastAsia="仿宋_GB2312"/>
          <w:color w:val="000000" w:themeColor="text1"/>
          <w:sz w:val="32"/>
          <w:szCs w:val="32"/>
          <w:highlight w:val="none"/>
          <w:u w:val="none"/>
          <w14:textFill>
            <w14:solidFill>
              <w14:schemeClr w14:val="tx1"/>
            </w14:solidFill>
          </w14:textFill>
        </w:rPr>
        <w:t>生物医药企业与高校院所产学研合作，</w:t>
      </w:r>
      <w:r>
        <w:rPr>
          <w:rFonts w:hint="eastAsia" w:ascii="仿宋_GB2312" w:hAnsi="黑体" w:eastAsia="仿宋_GB2312"/>
          <w:color w:val="000000" w:themeColor="text1"/>
          <w:sz w:val="32"/>
          <w:szCs w:val="32"/>
          <w:highlight w:val="none"/>
          <w:u w:val="none"/>
          <w14:textFill>
            <w14:solidFill>
              <w14:schemeClr w14:val="tx1"/>
            </w14:solidFill>
          </w14:textFill>
        </w:rPr>
        <w:t>形成新型疫苗、血液制品、抗体药物、免疫制剂等领域竞争优势</w:t>
      </w:r>
      <w:r>
        <w:rPr>
          <w:rFonts w:hint="eastAsia" w:ascii="仿宋_GB2312" w:hAnsi="黑体" w:eastAsia="仿宋_GB2312"/>
          <w:color w:val="000000" w:themeColor="text1"/>
          <w:sz w:val="32"/>
          <w:szCs w:val="32"/>
          <w:highlight w:val="none"/>
          <w:u w:val="none"/>
          <w:lang w:eastAsia="zh-CN"/>
          <w14:textFill>
            <w14:solidFill>
              <w14:schemeClr w14:val="tx1"/>
            </w14:solidFill>
          </w14:textFill>
        </w:rPr>
        <w:t>。</w:t>
      </w:r>
      <w:r>
        <w:rPr>
          <w:rFonts w:hint="eastAsia" w:ascii="仿宋_GB2312" w:hAnsi="黑体" w:eastAsia="仿宋_GB2312"/>
          <w:color w:val="000000" w:themeColor="text1"/>
          <w:sz w:val="32"/>
          <w:szCs w:val="32"/>
          <w:highlight w:val="none"/>
          <w:u w:val="none"/>
          <w14:textFill>
            <w14:solidFill>
              <w14:schemeClr w14:val="tx1"/>
            </w14:solidFill>
          </w14:textFill>
        </w:rPr>
        <w:t>加强</w:t>
      </w:r>
      <w:r>
        <w:rPr>
          <w:rFonts w:hint="eastAsia" w:ascii="仿宋_GB2312" w:hAnsi="仿宋" w:eastAsia="仿宋_GB2312" w:cs="Calibri"/>
          <w:color w:val="000000" w:themeColor="text1"/>
          <w:sz w:val="32"/>
          <w:szCs w:val="32"/>
          <w:highlight w:val="none"/>
          <w:u w:val="none"/>
          <w14:textFill>
            <w14:solidFill>
              <w14:schemeClr w14:val="tx1"/>
            </w14:solidFill>
          </w14:textFill>
        </w:rPr>
        <w:t>抗肿瘤类、心脑血管类、消化与代谢类等创新化学药物创制，推动</w:t>
      </w:r>
      <w:r>
        <w:rPr>
          <w:rFonts w:hint="eastAsia" w:ascii="仿宋_GB2312" w:hAnsi="仿宋_GB2312" w:eastAsia="仿宋_GB2312"/>
          <w:color w:val="000000" w:themeColor="text1"/>
          <w:sz w:val="32"/>
          <w:szCs w:val="32"/>
          <w:highlight w:val="none"/>
          <w:u w:val="none"/>
          <w14:textFill>
            <w14:solidFill>
              <w14:schemeClr w14:val="tx1"/>
            </w14:solidFill>
          </w14:textFill>
        </w:rPr>
        <w:t>新靶点化学药、高端仿制药、首仿药的</w:t>
      </w:r>
      <w:r>
        <w:rPr>
          <w:rFonts w:hint="eastAsia" w:ascii="仿宋_GB2312" w:hAnsi="仿宋" w:eastAsia="仿宋_GB2312" w:cs="Calibri"/>
          <w:color w:val="000000" w:themeColor="text1"/>
          <w:sz w:val="32"/>
          <w:szCs w:val="32"/>
          <w:highlight w:val="none"/>
          <w:u w:val="none"/>
          <w14:textFill>
            <w14:solidFill>
              <w14:schemeClr w14:val="tx1"/>
            </w14:solidFill>
          </w14:textFill>
        </w:rPr>
        <w:t>技术攻关和产品研发，</w:t>
      </w:r>
      <w:r>
        <w:rPr>
          <w:rFonts w:hint="eastAsia" w:ascii="仿宋_GB2312" w:hAnsi="仿宋_GB2312" w:eastAsia="仿宋_GB2312"/>
          <w:color w:val="000000" w:themeColor="text1"/>
          <w:sz w:val="32"/>
          <w:szCs w:val="32"/>
          <w:highlight w:val="none"/>
          <w:u w:val="none"/>
          <w14:textFill>
            <w14:solidFill>
              <w14:schemeClr w14:val="tx1"/>
            </w14:solidFill>
          </w14:textFill>
        </w:rPr>
        <w:t>不断扩大药品研发制造能级。</w:t>
      </w:r>
      <w:r>
        <w:rPr>
          <w:rFonts w:hint="eastAsia" w:ascii="仿宋_GB2312" w:hAnsi="Times New Roman" w:eastAsia="仿宋_GB2312"/>
          <w:color w:val="000000" w:themeColor="text1"/>
          <w:sz w:val="32"/>
          <w:szCs w:val="32"/>
          <w:highlight w:val="none"/>
          <w:u w:val="none"/>
          <w14:textFill>
            <w14:solidFill>
              <w14:schemeClr w14:val="tx1"/>
            </w14:solidFill>
          </w14:textFill>
        </w:rPr>
        <w:t>加大针对新冠肺炎等感染性疾病快速检测试剂、基因诊断试剂和疫苗的研制，</w:t>
      </w:r>
      <w:r>
        <w:rPr>
          <w:rFonts w:hint="eastAsia" w:ascii="仿宋_GB2312" w:hAnsi="仿宋" w:eastAsia="仿宋_GB2312" w:cs="Calibri"/>
          <w:color w:val="000000" w:themeColor="text1"/>
          <w:sz w:val="32"/>
          <w:szCs w:val="32"/>
          <w:highlight w:val="none"/>
          <w:u w:val="none"/>
          <w14:textFill>
            <w14:solidFill>
              <w14:schemeClr w14:val="tx1"/>
            </w14:solidFill>
          </w14:textFill>
        </w:rPr>
        <w:t>大力开展治疗性疫苗、重组疫苗等疫苗产品的开发，推进免疫规划疫苗升级换代。巩固提升血液制品优势，在人血白蛋白、免疫球蛋白类、凝血因子类等产品基础上，积极发展重组凝血因子、特殊因子类等药物。</w:t>
      </w:r>
      <w:r>
        <w:rPr>
          <w:rFonts w:hint="eastAsia" w:ascii="仿宋_GB2312" w:hAnsi="仿宋_GB2312" w:eastAsia="仿宋_GB2312"/>
          <w:color w:val="000000" w:themeColor="text1"/>
          <w:sz w:val="32"/>
          <w:szCs w:val="32"/>
          <w:highlight w:val="none"/>
          <w:u w:val="none"/>
          <w14:textFill>
            <w14:solidFill>
              <w14:schemeClr w14:val="tx1"/>
            </w14:solidFill>
          </w14:textFill>
        </w:rPr>
        <w:t>推动抗肿瘤和治疗心衰等重组细胞因子药物和新制剂的研制及产业化，探索支持核酸药物、干细胞等前沿技术创新。</w:t>
      </w:r>
      <w:bookmarkStart w:id="123" w:name="_Toc48953662"/>
      <w:r>
        <w:rPr>
          <w:rFonts w:hint="eastAsia" w:ascii="仿宋_GB2312" w:eastAsia="仿宋_GB2312"/>
          <w:color w:val="000000" w:themeColor="text1"/>
          <w:sz w:val="32"/>
          <w:szCs w:val="32"/>
          <w:highlight w:val="none"/>
          <w:u w:val="none"/>
          <w14:textFill>
            <w14:solidFill>
              <w14:schemeClr w14:val="tx1"/>
            </w14:solidFill>
          </w14:textFill>
        </w:rPr>
        <w:t>规划建设光明国际中医药港，</w:t>
      </w:r>
      <w:bookmarkEnd w:id="123"/>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鼓励</w:t>
      </w:r>
      <w:r>
        <w:rPr>
          <w:rFonts w:hint="eastAsia" w:ascii="仿宋_GB2312" w:hAnsi="仿宋_GB2312" w:eastAsia="仿宋_GB2312"/>
          <w:color w:val="000000" w:themeColor="text1"/>
          <w:sz w:val="32"/>
          <w:szCs w:val="32"/>
          <w:highlight w:val="none"/>
          <w:u w:val="none"/>
          <w14:textFill>
            <w14:solidFill>
              <w14:schemeClr w14:val="tx1"/>
            </w14:solidFill>
          </w14:textFill>
        </w:rPr>
        <w:t>基于中医名方制剂的重大疾病防治和治未病新药研制，支持光明国际中医药港建设粤港医疗机构中医药制剂中心</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olor w:val="000000" w:themeColor="text1"/>
          <w:sz w:val="32"/>
          <w:szCs w:val="32"/>
          <w:highlight w:val="none"/>
          <w:u w:val="none"/>
          <w14:textFill>
            <w14:solidFill>
              <w14:schemeClr w14:val="tx1"/>
            </w14:solidFill>
          </w14:textFill>
        </w:rPr>
        <w:t>加强名特优中成药重大品种二次开发，推进中成药和天然药进入国际市场。</w:t>
      </w:r>
    </w:p>
    <w:p w14:paraId="40D6F1C6">
      <w:pPr>
        <w:widowControl/>
        <w:spacing w:line="560" w:lineRule="exact"/>
        <w:ind w:firstLine="643" w:firstLineChars="200"/>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仿宋_GB2312" w:hAnsi="Times New Roman" w:eastAsia="仿宋_GB2312"/>
          <w:b/>
          <w:color w:val="000000" w:themeColor="text1"/>
          <w:kern w:val="0"/>
          <w:sz w:val="32"/>
          <w:szCs w:val="32"/>
          <w:highlight w:val="none"/>
          <w:u w:val="none"/>
          <w14:textFill>
            <w14:solidFill>
              <w14:schemeClr w14:val="tx1"/>
            </w14:solidFill>
          </w14:textFill>
        </w:rPr>
        <w:t>新型诊疗技术。</w:t>
      </w:r>
      <w:r>
        <w:rPr>
          <w:rFonts w:hint="eastAsia" w:ascii="仿宋_GB2312" w:hAnsi="仿宋_GB2312" w:eastAsia="仿宋_GB2312"/>
          <w:color w:val="000000" w:themeColor="text1"/>
          <w:sz w:val="32"/>
          <w:szCs w:val="32"/>
          <w:highlight w:val="none"/>
          <w:u w:val="none"/>
          <w14:textFill>
            <w14:solidFill>
              <w14:schemeClr w14:val="tx1"/>
            </w14:solidFill>
          </w14:textFill>
        </w:rPr>
        <w:t>大力发展干细胞治疗、免疫治疗、基因治疗等生物治疗技术，积极发展精准诊疗，支持开发重大疾病早期筛查、分子分型、个体化治疗、疗效预测及监控等精准化应用解决系统。大力发展医用增材制造技术，支持血管支架、人工关节和脊柱、人工耳蜗、高分辨人工视网膜、心脏起搏器等高端植介入产品研制，推进医用金属材料、医用高分子材料、医用陶瓷材料、医用复合材料等创新，促进发展仿生医学、再生医学和组织工程技术发展。面向多层次、个性化健康需求，探索建立覆盖全方位全周期生命数据的“数字生命银行”，积极开发创新移动医疗、智慧医疗、远程医疗等现代化诊疗手段，发展移动APP医疗服务，提高全方位远程医疗水平，打造线上线下相结合的智能诊疗生态系统，实现以大数据为依托的智能化自检、早筛、诊断以及个性化治疗健康管理和疾病诊疗新模式新业态，培育发展数字生命产业。</w:t>
      </w:r>
    </w:p>
    <w:p w14:paraId="6E9832BA">
      <w:pPr>
        <w:spacing w:line="560" w:lineRule="exact"/>
        <w:ind w:firstLine="643" w:firstLineChars="200"/>
        <w:rPr>
          <w:rFonts w:ascii="仿宋_GB2312" w:hAnsi="仿宋_GB2312" w:eastAsia="仿宋_GB2312"/>
          <w:color w:val="auto"/>
          <w:sz w:val="32"/>
          <w:szCs w:val="32"/>
          <w:highlight w:val="none"/>
          <w:u w:val="none"/>
        </w:rPr>
      </w:pPr>
      <w:bookmarkStart w:id="124" w:name="_Toc48953660"/>
      <w:r>
        <w:rPr>
          <w:rFonts w:hint="eastAsia" w:ascii="仿宋_GB2312" w:hAnsi="Times New Roman" w:eastAsia="仿宋_GB2312"/>
          <w:b/>
          <w:color w:val="000000" w:themeColor="text1"/>
          <w:kern w:val="0"/>
          <w:sz w:val="32"/>
          <w:szCs w:val="32"/>
          <w:highlight w:val="none"/>
          <w:u w:val="none"/>
          <w14:textFill>
            <w14:solidFill>
              <w14:schemeClr w14:val="tx1"/>
            </w14:solidFill>
          </w14:textFill>
        </w:rPr>
        <w:t>高性能</w:t>
      </w:r>
      <w:r>
        <w:rPr>
          <w:rFonts w:hint="eastAsia" w:ascii="仿宋_GB2312" w:hAnsi="仿宋_GB2312" w:eastAsia="仿宋_GB2312"/>
          <w:b/>
          <w:color w:val="000000" w:themeColor="text1"/>
          <w:sz w:val="32"/>
          <w:szCs w:val="32"/>
          <w:highlight w:val="none"/>
          <w:u w:val="none"/>
          <w14:textFill>
            <w14:solidFill>
              <w14:schemeClr w14:val="tx1"/>
            </w14:solidFill>
          </w14:textFill>
        </w:rPr>
        <w:t>医疗器械</w:t>
      </w:r>
      <w:bookmarkEnd w:id="124"/>
      <w:r>
        <w:rPr>
          <w:rFonts w:hint="eastAsia" w:ascii="仿宋_GB2312" w:hAnsi="仿宋_GB2312" w:eastAsia="仿宋_GB2312"/>
          <w:b/>
          <w:color w:val="000000" w:themeColor="text1"/>
          <w:sz w:val="32"/>
          <w:szCs w:val="32"/>
          <w:highlight w:val="none"/>
          <w:u w:val="none"/>
          <w14:textFill>
            <w14:solidFill>
              <w14:schemeClr w14:val="tx1"/>
            </w14:solidFill>
          </w14:textFill>
        </w:rPr>
        <w:t>。</w:t>
      </w:r>
      <w:r>
        <w:rPr>
          <w:rFonts w:hint="eastAsia" w:ascii="仿宋_GB2312" w:hAnsi="仿宋_GB2312" w:eastAsia="仿宋_GB2312"/>
          <w:color w:val="000000" w:themeColor="text1"/>
          <w:sz w:val="32"/>
          <w:szCs w:val="32"/>
          <w:highlight w:val="none"/>
          <w:u w:val="none"/>
          <w14:textFill>
            <w14:solidFill>
              <w14:schemeClr w14:val="tx1"/>
            </w14:solidFill>
          </w14:textFill>
        </w:rPr>
        <w:t>依托电子信息产业、智能制造业基础，</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加快超声影像设备、医用分析仪器、智能治疗设备等</w:t>
      </w:r>
      <w:r>
        <w:rPr>
          <w:rFonts w:hint="eastAsia" w:ascii="仿宋_GB2312" w:hAnsi="仿宋_GB2312" w:eastAsia="仿宋_GB2312"/>
          <w:color w:val="000000" w:themeColor="text1"/>
          <w:sz w:val="32"/>
          <w:szCs w:val="32"/>
          <w:highlight w:val="none"/>
          <w:u w:val="none"/>
          <w14:textFill>
            <w14:solidFill>
              <w14:schemeClr w14:val="tx1"/>
            </w14:solidFill>
          </w14:textFill>
        </w:rPr>
        <w:t>研发转化制造</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w:t>
      </w:r>
      <w:r>
        <w:rPr>
          <w:rFonts w:hint="eastAsia" w:ascii="仿宋_GB2312" w:hAnsi="仿宋_GB2312" w:eastAsia="仿宋_GB2312"/>
          <w:color w:val="000000" w:themeColor="text1"/>
          <w:sz w:val="32"/>
          <w:szCs w:val="32"/>
          <w:highlight w:val="none"/>
          <w:u w:val="none"/>
          <w14:textFill>
            <w14:solidFill>
              <w14:schemeClr w14:val="tx1"/>
            </w14:solidFill>
          </w14:textFill>
        </w:rPr>
        <w:t>重点发展多模态分子成像、高场强磁共振成像系统、复合内窥镜成像系统、大型放射治疗设备。</w:t>
      </w:r>
      <w:r>
        <w:rPr>
          <w:rFonts w:hint="eastAsia" w:ascii="仿宋_GB2312" w:hAnsi="仿宋" w:eastAsia="仿宋_GB2312" w:cs="Calibri"/>
          <w:color w:val="000000" w:themeColor="text1"/>
          <w:sz w:val="32"/>
          <w:szCs w:val="32"/>
          <w:highlight w:val="none"/>
          <w:u w:val="none"/>
          <w14:textFill>
            <w14:solidFill>
              <w14:schemeClr w14:val="tx1"/>
            </w14:solidFill>
          </w14:textFill>
        </w:rPr>
        <w:t>支持发展临床化学分析仪器、免疫化学分析仪器、血液分析仪器、微生物分析仪器等体外诊断仪器。优先发展</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手术机器人、医用可穿戴设备等诊疗装备。</w:t>
      </w:r>
      <w:r>
        <w:rPr>
          <w:rFonts w:hint="eastAsia" w:ascii="仿宋_GB2312" w:hAnsi="仿宋_GB2312" w:eastAsia="仿宋_GB2312"/>
          <w:color w:val="000000" w:themeColor="text1"/>
          <w:sz w:val="32"/>
          <w:szCs w:val="32"/>
          <w:highlight w:val="none"/>
          <w:u w:val="none"/>
          <w14:textFill>
            <w14:solidFill>
              <w14:schemeClr w14:val="tx1"/>
            </w14:solidFill>
          </w14:textFill>
        </w:rPr>
        <w:t>推进3D打印生物器件研制和临床应用产业化。</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加大</w:t>
      </w:r>
      <w:r>
        <w:rPr>
          <w:rFonts w:hint="eastAsia" w:ascii="仿宋_GB2312" w:hAnsi="仿宋_GB2312" w:eastAsia="仿宋_GB2312"/>
          <w:color w:val="000000" w:themeColor="text1"/>
          <w:sz w:val="32"/>
          <w:szCs w:val="32"/>
          <w:highlight w:val="none"/>
          <w:u w:val="none"/>
          <w14:textFill>
            <w14:solidFill>
              <w14:schemeClr w14:val="tx1"/>
            </w14:solidFill>
          </w14:textFill>
        </w:rPr>
        <w:t>可降解微创植入</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医疗器械、生物传感器等领域关键核心技术攻关。</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加快发展血型分析仪、血液分离净化器、电子内窥镜（软镜）、全自动生化检测设备、高通量液相悬浮芯片系统、五分类血液细胞分析仪、全自动化学发光免疫分析仪、精准第三代基因测序仪等精准医疗检</w:t>
      </w:r>
      <w:r>
        <w:rPr>
          <w:rFonts w:hint="eastAsia" w:ascii="仿宋_GB2312" w:hAnsi="仿宋_GB2312" w:eastAsia="仿宋_GB2312" w:cs="仿宋_GB2312"/>
          <w:color w:val="auto"/>
          <w:sz w:val="32"/>
          <w:szCs w:val="32"/>
          <w:highlight w:val="none"/>
          <w:u w:val="none"/>
        </w:rPr>
        <w:t>测设备。到2025年，</w:t>
      </w:r>
      <w:r>
        <w:rPr>
          <w:rFonts w:hint="eastAsia" w:ascii="仿宋_GB2312" w:hAnsi="仿宋_GB2312" w:eastAsia="仿宋_GB2312"/>
          <w:color w:val="auto"/>
          <w:sz w:val="32"/>
          <w:szCs w:val="32"/>
          <w:highlight w:val="none"/>
          <w:u w:val="none"/>
        </w:rPr>
        <w:t>构建完整的诊疗装备产业体系。</w:t>
      </w:r>
    </w:p>
    <w:p w14:paraId="739DB23C">
      <w:pPr>
        <w:spacing w:line="560" w:lineRule="exact"/>
        <w:ind w:firstLine="640" w:firstLineChars="200"/>
        <w:rPr>
          <w:rFonts w:ascii="仿宋_GB2312" w:hAnsi="仿宋_GB2312" w:eastAsia="仿宋_GB2312"/>
          <w:color w:val="000000" w:themeColor="text1"/>
          <w:sz w:val="32"/>
          <w:szCs w:val="32"/>
          <w:highlight w:val="none"/>
          <w:u w:val="none"/>
          <w14:textFill>
            <w14:solidFill>
              <w14:schemeClr w14:val="tx1"/>
            </w14:solidFill>
          </w14:textFill>
        </w:rPr>
      </w:pPr>
    </w:p>
    <w:tbl>
      <w:tblPr>
        <w:tblStyle w:val="17"/>
        <w:tblW w:w="83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2"/>
      </w:tblGrid>
      <w:tr w14:paraId="211B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8382" w:type="dxa"/>
          </w:tcPr>
          <w:p w14:paraId="396B587D">
            <w:pPr>
              <w:tabs>
                <w:tab w:val="left" w:pos="567"/>
                <w:tab w:val="left" w:pos="1230"/>
                <w:tab w:val="left" w:pos="1389"/>
              </w:tabs>
              <w:snapToGrid w:val="0"/>
              <w:spacing w:line="560" w:lineRule="exact"/>
              <w:jc w:val="center"/>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专栏</w:t>
            </w:r>
            <w:r>
              <w:rPr>
                <w:rFonts w:hint="eastAsia" w:ascii="宋体" w:hAnsi="宋体"/>
                <w:b/>
                <w:color w:val="000000" w:themeColor="text1"/>
                <w:sz w:val="24"/>
                <w:szCs w:val="24"/>
                <w:highlight w:val="none"/>
                <w:u w:val="none"/>
                <w:lang w:val="en-US" w:eastAsia="zh-CN"/>
                <w14:textFill>
                  <w14:solidFill>
                    <w14:schemeClr w14:val="tx1"/>
                  </w14:solidFill>
                </w14:textFill>
              </w:rPr>
              <w:t>5</w:t>
            </w:r>
            <w:r>
              <w:rPr>
                <w:rFonts w:hint="eastAsia" w:ascii="宋体" w:hAnsi="宋体"/>
                <w:b/>
                <w:color w:val="000000" w:themeColor="text1"/>
                <w:sz w:val="24"/>
                <w:szCs w:val="24"/>
                <w:highlight w:val="none"/>
                <w:u w:val="none"/>
                <w14:textFill>
                  <w14:solidFill>
                    <w14:schemeClr w14:val="tx1"/>
                  </w14:solidFill>
                </w14:textFill>
              </w:rPr>
              <w:t>：生物医药产业重点项目</w:t>
            </w:r>
          </w:p>
          <w:p w14:paraId="5994CD85">
            <w:pPr>
              <w:tabs>
                <w:tab w:val="left" w:pos="567"/>
                <w:tab w:val="left" w:pos="1230"/>
                <w:tab w:val="left" w:pos="1389"/>
              </w:tabs>
              <w:snapToGrid w:val="0"/>
              <w:spacing w:line="560" w:lineRule="exact"/>
              <w:ind w:firstLine="482" w:firstLineChars="20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——生物制药。</w:t>
            </w:r>
            <w:r>
              <w:rPr>
                <w:rFonts w:hint="eastAsia" w:ascii="宋体" w:hAnsi="宋体"/>
                <w:color w:val="000000" w:themeColor="text1"/>
                <w:sz w:val="24"/>
                <w:szCs w:val="24"/>
                <w:highlight w:val="none"/>
                <w:u w:val="none"/>
                <w14:textFill>
                  <w14:solidFill>
                    <w14:schemeClr w14:val="tx1"/>
                  </w14:solidFill>
                </w14:textFill>
              </w:rPr>
              <w:t>加</w:t>
            </w:r>
            <w:r>
              <w:rPr>
                <w:rFonts w:ascii="宋体" w:hAnsi="宋体"/>
                <w:color w:val="000000" w:themeColor="text1"/>
                <w:sz w:val="24"/>
                <w:szCs w:val="24"/>
                <w:highlight w:val="none"/>
                <w:u w:val="none"/>
                <w14:textFill>
                  <w14:solidFill>
                    <w14:schemeClr w14:val="tx1"/>
                  </w14:solidFill>
                </w14:textFill>
              </w:rPr>
              <w:t>快建设</w:t>
            </w:r>
            <w:r>
              <w:rPr>
                <w:rFonts w:hint="eastAsia" w:ascii="宋体" w:hAnsi="宋体"/>
                <w:color w:val="000000" w:themeColor="text1"/>
                <w:sz w:val="24"/>
                <w:szCs w:val="24"/>
                <w:highlight w:val="none"/>
                <w:u w:val="none"/>
                <w14:textFill>
                  <w14:solidFill>
                    <w14:schemeClr w14:val="tx1"/>
                  </w14:solidFill>
                </w14:textFill>
              </w:rPr>
              <w:t>卫光生命科学园，亚能、帝迈联合用地等项目。依托合成生物研究设施、脑解析与脑模拟设施、深圳湾实验室等生命科学领域的创新资源优势，吸引国内</w:t>
            </w:r>
            <w:r>
              <w:rPr>
                <w:rFonts w:hint="eastAsia" w:ascii="宋体" w:hAnsi="宋体"/>
                <w:color w:val="000000" w:themeColor="text1"/>
                <w:sz w:val="24"/>
                <w:szCs w:val="24"/>
                <w:highlight w:val="none"/>
                <w:u w:val="none"/>
                <w:lang w:eastAsia="zh-CN"/>
                <w14:textFill>
                  <w14:solidFill>
                    <w14:schemeClr w14:val="tx1"/>
                  </w14:solidFill>
                </w14:textFill>
              </w:rPr>
              <w:t>外</w:t>
            </w:r>
            <w:r>
              <w:rPr>
                <w:rFonts w:hint="eastAsia" w:ascii="宋体" w:hAnsi="宋体"/>
                <w:color w:val="000000" w:themeColor="text1"/>
                <w:sz w:val="24"/>
                <w:szCs w:val="24"/>
                <w:highlight w:val="none"/>
                <w:u w:val="none"/>
                <w14:textFill>
                  <w14:solidFill>
                    <w14:schemeClr w14:val="tx1"/>
                  </w14:solidFill>
                </w14:textFill>
              </w:rPr>
              <w:t>生物制药项</w:t>
            </w:r>
            <w:r>
              <w:rPr>
                <w:rFonts w:ascii="宋体" w:hAnsi="宋体"/>
                <w:color w:val="000000" w:themeColor="text1"/>
                <w:sz w:val="24"/>
                <w:szCs w:val="24"/>
                <w:highlight w:val="none"/>
                <w:u w:val="none"/>
                <w14:textFill>
                  <w14:solidFill>
                    <w14:schemeClr w14:val="tx1"/>
                  </w14:solidFill>
                </w14:textFill>
              </w:rPr>
              <w:t>目</w:t>
            </w:r>
            <w:r>
              <w:rPr>
                <w:rFonts w:hint="eastAsia" w:ascii="宋体" w:hAnsi="宋体"/>
                <w:color w:val="000000" w:themeColor="text1"/>
                <w:sz w:val="24"/>
                <w:szCs w:val="24"/>
                <w:highlight w:val="none"/>
                <w:u w:val="none"/>
                <w14:textFill>
                  <w14:solidFill>
                    <w14:schemeClr w14:val="tx1"/>
                  </w14:solidFill>
                </w14:textFill>
              </w:rPr>
              <w:t>集聚。</w:t>
            </w:r>
          </w:p>
          <w:p w14:paraId="772A7C6C">
            <w:pPr>
              <w:tabs>
                <w:tab w:val="left" w:pos="567"/>
                <w:tab w:val="left" w:pos="1230"/>
                <w:tab w:val="left" w:pos="1389"/>
              </w:tabs>
              <w:snapToGrid w:val="0"/>
              <w:spacing w:line="560" w:lineRule="exact"/>
              <w:ind w:firstLine="482" w:firstLineChars="200"/>
              <w:jc w:val="left"/>
              <w:rPr>
                <w:rFonts w:ascii="仿宋_GB2312" w:hAnsi="宋体" w:eastAsia="仿宋_GB2312"/>
                <w:b/>
                <w:color w:val="000000" w:themeColor="text1"/>
                <w:sz w:val="32"/>
                <w:szCs w:val="32"/>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——高性能医疗器械。</w:t>
            </w:r>
            <w:r>
              <w:rPr>
                <w:rFonts w:hint="eastAsia" w:ascii="宋体" w:hAnsi="宋体"/>
                <w:color w:val="000000" w:themeColor="text1"/>
                <w:sz w:val="24"/>
                <w:szCs w:val="24"/>
                <w:highlight w:val="none"/>
                <w:u w:val="none"/>
                <w14:textFill>
                  <w14:solidFill>
                    <w14:schemeClr w14:val="tx1"/>
                  </w14:solidFill>
                </w14:textFill>
              </w:rPr>
              <w:t>推</w:t>
            </w:r>
            <w:r>
              <w:rPr>
                <w:rFonts w:ascii="宋体" w:hAnsi="宋体"/>
                <w:color w:val="000000" w:themeColor="text1"/>
                <w:sz w:val="24"/>
                <w:szCs w:val="24"/>
                <w:highlight w:val="none"/>
                <w:u w:val="none"/>
                <w14:textFill>
                  <w14:solidFill>
                    <w14:schemeClr w14:val="tx1"/>
                  </w14:solidFill>
                </w14:textFill>
              </w:rPr>
              <w:t>进</w:t>
            </w:r>
            <w:r>
              <w:rPr>
                <w:rFonts w:hint="eastAsia" w:ascii="宋体" w:hAnsi="宋体"/>
                <w:color w:val="000000" w:themeColor="text1"/>
                <w:sz w:val="24"/>
                <w:szCs w:val="24"/>
                <w:highlight w:val="none"/>
                <w:u w:val="none"/>
                <w14:textFill>
                  <w14:solidFill>
                    <w14:schemeClr w14:val="tx1"/>
                  </w14:solidFill>
                </w14:textFill>
              </w:rPr>
              <w:t>迈瑞生物高端医疗器械制造基地项目建</w:t>
            </w:r>
            <w:r>
              <w:rPr>
                <w:rFonts w:ascii="宋体" w:hAnsi="宋体"/>
                <w:color w:val="000000" w:themeColor="text1"/>
                <w:sz w:val="24"/>
                <w:szCs w:val="24"/>
                <w:highlight w:val="none"/>
                <w:u w:val="none"/>
                <w14:textFill>
                  <w14:solidFill>
                    <w14:schemeClr w14:val="tx1"/>
                  </w14:solidFill>
                </w14:textFill>
              </w:rPr>
              <w:t>设</w:t>
            </w:r>
            <w:r>
              <w:rPr>
                <w:rFonts w:hint="eastAsia" w:ascii="宋体" w:hAnsi="宋体"/>
                <w:color w:val="000000" w:themeColor="text1"/>
                <w:sz w:val="24"/>
                <w:szCs w:val="24"/>
                <w:highlight w:val="none"/>
                <w:u w:val="none"/>
                <w14:textFill>
                  <w14:solidFill>
                    <w14:schemeClr w14:val="tx1"/>
                  </w14:solidFill>
                </w14:textFill>
              </w:rPr>
              <w:t>。</w:t>
            </w:r>
          </w:p>
        </w:tc>
      </w:tr>
    </w:tbl>
    <w:p w14:paraId="1CCDA9D5">
      <w:pPr>
        <w:pStyle w:val="4"/>
        <w:spacing w:before="0" w:after="0" w:line="560" w:lineRule="exact"/>
        <w:ind w:firstLine="643" w:firstLineChars="200"/>
        <w:rPr>
          <w:rFonts w:ascii="黑体" w:hAnsi="黑体" w:eastAsia="黑体"/>
          <w:color w:val="000000" w:themeColor="text1"/>
          <w:highlight w:val="none"/>
          <w:u w:val="none"/>
          <w14:textFill>
            <w14:solidFill>
              <w14:schemeClr w14:val="tx1"/>
            </w14:solidFill>
          </w14:textFill>
        </w:rPr>
      </w:pPr>
      <w:bookmarkStart w:id="125" w:name="_Toc4404"/>
      <w:bookmarkStart w:id="126" w:name="_Toc53583313"/>
      <w:bookmarkStart w:id="127" w:name="_Toc56442308"/>
      <w:bookmarkStart w:id="128" w:name="_Toc23760"/>
      <w:bookmarkStart w:id="129" w:name="_Toc16307"/>
      <w:bookmarkStart w:id="130" w:name="_Toc22639"/>
      <w:bookmarkStart w:id="131" w:name="_Toc42762173"/>
      <w:bookmarkStart w:id="132" w:name="_Toc36286628"/>
      <w:bookmarkStart w:id="133" w:name="_Toc14366_WPSOffice_Level1"/>
      <w:r>
        <w:rPr>
          <w:rFonts w:hint="eastAsia" w:ascii="黑体" w:hAnsi="黑体" w:eastAsia="黑体"/>
          <w:color w:val="000000" w:themeColor="text1"/>
          <w:highlight w:val="none"/>
          <w:u w:val="none"/>
          <w14:textFill>
            <w14:solidFill>
              <w14:schemeClr w14:val="tx1"/>
            </w14:solidFill>
          </w14:textFill>
        </w:rPr>
        <w:t>四、重</w:t>
      </w:r>
      <w:r>
        <w:rPr>
          <w:rFonts w:ascii="黑体" w:hAnsi="黑体" w:eastAsia="黑体"/>
          <w:color w:val="000000" w:themeColor="text1"/>
          <w:highlight w:val="none"/>
          <w:u w:val="none"/>
          <w14:textFill>
            <w14:solidFill>
              <w14:schemeClr w14:val="tx1"/>
            </w14:solidFill>
          </w14:textFill>
        </w:rPr>
        <w:t>点任务</w:t>
      </w:r>
      <w:bookmarkEnd w:id="125"/>
      <w:bookmarkEnd w:id="126"/>
      <w:bookmarkEnd w:id="127"/>
      <w:bookmarkEnd w:id="128"/>
      <w:bookmarkEnd w:id="129"/>
      <w:bookmarkEnd w:id="130"/>
    </w:p>
    <w:bookmarkEnd w:id="131"/>
    <w:bookmarkEnd w:id="132"/>
    <w:bookmarkEnd w:id="133"/>
    <w:p w14:paraId="14B18281">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34" w:name="_Toc53583314"/>
      <w:bookmarkStart w:id="135" w:name="_Toc56442309"/>
      <w:bookmarkStart w:id="136" w:name="_Toc31962"/>
      <w:bookmarkStart w:id="137" w:name="_Toc1903"/>
      <w:bookmarkStart w:id="138" w:name="_Toc15279"/>
      <w:bookmarkStart w:id="139" w:name="_Toc11209"/>
      <w:bookmarkStart w:id="140" w:name="_Toc56442310"/>
      <w:bookmarkStart w:id="141" w:name="_Toc53583315"/>
      <w:r>
        <w:rPr>
          <w:rFonts w:hint="eastAsia" w:ascii="楷体_GB2312" w:hAnsi="楷体_GB2312" w:eastAsia="楷体_GB2312" w:cs="楷体_GB2312"/>
          <w:color w:val="000000" w:themeColor="text1"/>
          <w:highlight w:val="none"/>
          <w:u w:val="none"/>
          <w14:textFill>
            <w14:solidFill>
              <w14:schemeClr w14:val="tx1"/>
            </w14:solidFill>
          </w14:textFill>
        </w:rPr>
        <w:t>（一）增强产业技术创新</w:t>
      </w:r>
      <w:bookmarkEnd w:id="134"/>
      <w:r>
        <w:rPr>
          <w:rFonts w:hint="eastAsia" w:ascii="楷体_GB2312" w:hAnsi="楷体_GB2312" w:eastAsia="楷体_GB2312" w:cs="楷体_GB2312"/>
          <w:color w:val="000000" w:themeColor="text1"/>
          <w:highlight w:val="none"/>
          <w:u w:val="none"/>
          <w14:textFill>
            <w14:solidFill>
              <w14:schemeClr w14:val="tx1"/>
            </w14:solidFill>
          </w14:textFill>
        </w:rPr>
        <w:t>能力</w:t>
      </w:r>
      <w:bookmarkEnd w:id="135"/>
      <w:bookmarkEnd w:id="136"/>
      <w:bookmarkEnd w:id="137"/>
      <w:bookmarkEnd w:id="138"/>
      <w:bookmarkEnd w:id="139"/>
    </w:p>
    <w:p w14:paraId="31BCC2E6">
      <w:pPr>
        <w:spacing w:line="560" w:lineRule="exact"/>
        <w:ind w:firstLine="640" w:firstLineChars="200"/>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color w:val="000000" w:themeColor="text1"/>
          <w:sz w:val="32"/>
          <w:szCs w:val="32"/>
          <w:highlight w:val="none"/>
          <w:u w:val="none"/>
          <w14:textFill>
            <w14:solidFill>
              <w14:schemeClr w14:val="tx1"/>
            </w14:solidFill>
          </w14:textFill>
        </w:rPr>
        <w:t>充分利用光明创</w:t>
      </w:r>
      <w:r>
        <w:rPr>
          <w:rFonts w:ascii="仿宋_GB2312" w:hAnsi="仿宋_GB2312" w:eastAsia="仿宋_GB2312"/>
          <w:color w:val="000000" w:themeColor="text1"/>
          <w:sz w:val="32"/>
          <w:szCs w:val="32"/>
          <w:highlight w:val="none"/>
          <w:u w:val="none"/>
          <w14:textFill>
            <w14:solidFill>
              <w14:schemeClr w14:val="tx1"/>
            </w14:solidFill>
          </w14:textFill>
        </w:rPr>
        <w:t>新资</w:t>
      </w:r>
      <w:r>
        <w:rPr>
          <w:rFonts w:hint="eastAsia" w:ascii="仿宋_GB2312" w:hAnsi="仿宋_GB2312" w:eastAsia="仿宋_GB2312"/>
          <w:color w:val="000000" w:themeColor="text1"/>
          <w:sz w:val="32"/>
          <w:szCs w:val="32"/>
          <w:highlight w:val="none"/>
          <w:u w:val="none"/>
          <w14:textFill>
            <w14:solidFill>
              <w14:schemeClr w14:val="tx1"/>
            </w14:solidFill>
          </w14:textFill>
        </w:rPr>
        <w:t>源，完善以企业为主体、市场为导向、政产学研用相结合的产业技术创新体系。围绕产业链部署创新链，围绕创新链布</w:t>
      </w:r>
      <w:r>
        <w:rPr>
          <w:rFonts w:ascii="仿宋_GB2312" w:hAnsi="仿宋_GB2312" w:eastAsia="仿宋_GB2312"/>
          <w:color w:val="000000" w:themeColor="text1"/>
          <w:sz w:val="32"/>
          <w:szCs w:val="32"/>
          <w:highlight w:val="none"/>
          <w:u w:val="none"/>
          <w14:textFill>
            <w14:solidFill>
              <w14:schemeClr w14:val="tx1"/>
            </w14:solidFill>
          </w14:textFill>
        </w:rPr>
        <w:t>局产业资源</w:t>
      </w:r>
      <w:r>
        <w:rPr>
          <w:rFonts w:hint="eastAsia" w:ascii="仿宋_GB2312" w:hAnsi="仿宋_GB2312" w:eastAsia="仿宋_GB2312"/>
          <w:color w:val="000000" w:themeColor="text1"/>
          <w:sz w:val="32"/>
          <w:szCs w:val="32"/>
          <w:highlight w:val="none"/>
          <w:u w:val="none"/>
          <w14:textFill>
            <w14:solidFill>
              <w14:schemeClr w14:val="tx1"/>
            </w14:solidFill>
          </w14:textFill>
        </w:rPr>
        <w:t>，加快技术创新平台建设，加速科技成果产业化，提高企业自主创新能力。</w:t>
      </w:r>
    </w:p>
    <w:p w14:paraId="3BA920E3">
      <w:pPr>
        <w:spacing w:line="560" w:lineRule="exact"/>
        <w:ind w:firstLine="643" w:firstLineChars="200"/>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仿宋_GB2312" w:hAnsi="仿宋" w:eastAsia="仿宋_GB2312"/>
          <w:b/>
          <w:color w:val="000000" w:themeColor="text1"/>
          <w:sz w:val="32"/>
          <w:szCs w:val="32"/>
          <w:highlight w:val="none"/>
          <w:u w:val="none"/>
          <w14:textFill>
            <w14:solidFill>
              <w14:schemeClr w14:val="tx1"/>
            </w14:solidFill>
          </w14:textFill>
        </w:rPr>
        <w:t>壮大创新型企业队伍。</w:t>
      </w:r>
      <w:r>
        <w:rPr>
          <w:rFonts w:hint="eastAsia" w:ascii="仿宋_GB2312" w:hAnsi="仿宋_GB2312" w:eastAsia="仿宋_GB2312"/>
          <w:color w:val="000000" w:themeColor="text1"/>
          <w:sz w:val="32"/>
          <w:szCs w:val="32"/>
          <w:highlight w:val="none"/>
          <w:u w:val="none"/>
          <w14:textFill>
            <w14:solidFill>
              <w14:schemeClr w14:val="tx1"/>
            </w14:solidFill>
          </w14:textFill>
        </w:rPr>
        <w:t>深入推进“国家高新技术企业向规模化、规模以上企业国高化”。支持企业加大研发投入，继续推动规模以上工业企业研发机构全覆盖，鼓励企业承担国家、省市重大科技创新计划。鼓励龙头骨干企业创建国家级、省市级工程研究中心、技术创新中心、产业创新中心、制造业创新中心、临床医学研究中心，并购海内外科技企业和研发机构。支</w:t>
      </w:r>
      <w:r>
        <w:rPr>
          <w:rFonts w:ascii="仿宋_GB2312" w:hAnsi="仿宋_GB2312" w:eastAsia="仿宋_GB2312"/>
          <w:color w:val="000000" w:themeColor="text1"/>
          <w:sz w:val="32"/>
          <w:szCs w:val="32"/>
          <w:highlight w:val="none"/>
          <w:u w:val="none"/>
          <w14:textFill>
            <w14:solidFill>
              <w14:schemeClr w14:val="tx1"/>
            </w14:solidFill>
          </w14:textFill>
        </w:rPr>
        <w:t>持企业</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与</w:t>
      </w:r>
      <w:r>
        <w:rPr>
          <w:rFonts w:ascii="仿宋_GB2312" w:hAnsi="仿宋_GB2312" w:eastAsia="仿宋_GB2312"/>
          <w:color w:val="000000" w:themeColor="text1"/>
          <w:sz w:val="32"/>
          <w:szCs w:val="32"/>
          <w:highlight w:val="none"/>
          <w:u w:val="none"/>
          <w14:textFill>
            <w14:solidFill>
              <w14:schemeClr w14:val="tx1"/>
            </w14:solidFill>
          </w14:textFill>
        </w:rPr>
        <w:t>光明</w:t>
      </w:r>
      <w:r>
        <w:rPr>
          <w:rFonts w:hint="eastAsia" w:ascii="仿宋_GB2312" w:hAnsi="仿宋_GB2312" w:eastAsia="仿宋_GB2312"/>
          <w:color w:val="000000" w:themeColor="text1"/>
          <w:sz w:val="32"/>
          <w:szCs w:val="32"/>
          <w:highlight w:val="none"/>
          <w:u w:val="none"/>
          <w14:textFill>
            <w14:solidFill>
              <w14:schemeClr w14:val="tx1"/>
            </w14:solidFill>
          </w14:textFill>
        </w:rPr>
        <w:t>科</w:t>
      </w:r>
      <w:r>
        <w:rPr>
          <w:rFonts w:ascii="仿宋_GB2312" w:hAnsi="仿宋_GB2312" w:eastAsia="仿宋_GB2312"/>
          <w:color w:val="000000" w:themeColor="text1"/>
          <w:sz w:val="32"/>
          <w:szCs w:val="32"/>
          <w:highlight w:val="none"/>
          <w:u w:val="none"/>
          <w14:textFill>
            <w14:solidFill>
              <w14:schemeClr w14:val="tx1"/>
            </w14:solidFill>
          </w14:textFill>
        </w:rPr>
        <w:t>研</w:t>
      </w:r>
      <w:r>
        <w:rPr>
          <w:rFonts w:hint="eastAsia" w:ascii="仿宋_GB2312" w:hAnsi="仿宋_GB2312" w:eastAsia="仿宋_GB2312"/>
          <w:color w:val="000000" w:themeColor="text1"/>
          <w:sz w:val="32"/>
          <w:szCs w:val="32"/>
          <w:highlight w:val="none"/>
          <w:u w:val="none"/>
          <w14:textFill>
            <w14:solidFill>
              <w14:schemeClr w14:val="tx1"/>
            </w14:solidFill>
          </w14:textFill>
        </w:rPr>
        <w:t>院所</w:t>
      </w:r>
      <w:r>
        <w:rPr>
          <w:rFonts w:ascii="仿宋_GB2312" w:hAnsi="仿宋_GB2312" w:eastAsia="仿宋_GB2312"/>
          <w:color w:val="000000" w:themeColor="text1"/>
          <w:sz w:val="32"/>
          <w:szCs w:val="32"/>
          <w:highlight w:val="none"/>
          <w:u w:val="none"/>
          <w14:textFill>
            <w14:solidFill>
              <w14:schemeClr w14:val="tx1"/>
            </w14:solidFill>
          </w14:textFill>
        </w:rPr>
        <w:t>对接，</w:t>
      </w:r>
      <w:r>
        <w:rPr>
          <w:rFonts w:hint="eastAsia" w:ascii="仿宋_GB2312" w:hAnsi="仿宋_GB2312" w:eastAsia="仿宋_GB2312"/>
          <w:color w:val="000000" w:themeColor="text1"/>
          <w:sz w:val="32"/>
          <w:szCs w:val="32"/>
          <w:highlight w:val="none"/>
          <w:u w:val="none"/>
          <w14:textFill>
            <w14:solidFill>
              <w14:schemeClr w14:val="tx1"/>
            </w14:solidFill>
          </w14:textFill>
        </w:rPr>
        <w:t>共</w:t>
      </w:r>
      <w:r>
        <w:rPr>
          <w:rFonts w:ascii="仿宋_GB2312" w:hAnsi="仿宋_GB2312" w:eastAsia="仿宋_GB2312"/>
          <w:color w:val="000000" w:themeColor="text1"/>
          <w:sz w:val="32"/>
          <w:szCs w:val="32"/>
          <w:highlight w:val="none"/>
          <w:u w:val="none"/>
          <w14:textFill>
            <w14:solidFill>
              <w14:schemeClr w14:val="tx1"/>
            </w14:solidFill>
          </w14:textFill>
        </w:rPr>
        <w:t>建联合实验室</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olor w:val="000000" w:themeColor="text1"/>
          <w:sz w:val="32"/>
          <w:szCs w:val="32"/>
          <w:highlight w:val="none"/>
          <w:u w:val="none"/>
          <w14:textFill>
            <w14:solidFill>
              <w14:schemeClr w14:val="tx1"/>
            </w14:solidFill>
          </w14:textFill>
        </w:rPr>
        <w:t>产业创新联盟</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olor w:val="000000" w:themeColor="text1"/>
          <w:sz w:val="32"/>
          <w:szCs w:val="32"/>
          <w:highlight w:val="none"/>
          <w:u w:val="none"/>
          <w14:textFill>
            <w14:solidFill>
              <w14:schemeClr w14:val="tx1"/>
            </w14:solidFill>
          </w14:textFill>
        </w:rPr>
        <w:t>联合开展关键核心技术攻关。</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大力</w:t>
      </w:r>
      <w:r>
        <w:rPr>
          <w:rFonts w:hint="eastAsia" w:ascii="仿宋_GB2312" w:hAnsi="仿宋_GB2312" w:eastAsia="仿宋_GB2312"/>
          <w:color w:val="000000" w:themeColor="text1"/>
          <w:sz w:val="32"/>
          <w:szCs w:val="32"/>
          <w:highlight w:val="none"/>
          <w:u w:val="none"/>
          <w14:textFill>
            <w14:solidFill>
              <w14:schemeClr w14:val="tx1"/>
            </w14:solidFill>
          </w14:textFill>
        </w:rPr>
        <w:t>引进国内外顶尖科技企业、产业生态主导型企业及产业链关键环节企业</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，鼓励引导其在光明</w:t>
      </w:r>
      <w:r>
        <w:rPr>
          <w:rFonts w:hint="eastAsia" w:ascii="仿宋_GB2312" w:hAnsi="仿宋_GB2312" w:eastAsia="仿宋_GB2312"/>
          <w:color w:val="000000" w:themeColor="text1"/>
          <w:sz w:val="32"/>
          <w:szCs w:val="32"/>
          <w:highlight w:val="none"/>
          <w:u w:val="none"/>
          <w14:textFill>
            <w14:solidFill>
              <w14:schemeClr w14:val="tx1"/>
            </w14:solidFill>
          </w14:textFill>
        </w:rPr>
        <w:t>设立研发中心，引导中小微科技型企业聚焦专业技术细分领域研发创新。布局深圳国际创新创业服务平台光明平台等专业园区，建设海归创业园、博士创业园、港澳青年创新园等高端创新团队和人才创新创业载体。</w:t>
      </w:r>
    </w:p>
    <w:p w14:paraId="1C30CA09">
      <w:pPr>
        <w:spacing w:line="560" w:lineRule="exact"/>
        <w:ind w:firstLine="643" w:firstLineChars="200"/>
        <w:rPr>
          <w:rFonts w:ascii="仿宋_GB2312" w:hAnsi="Times New Roman" w:eastAsia="仿宋_GB2312"/>
          <w:color w:val="000000" w:themeColor="text1"/>
          <w:sz w:val="32"/>
          <w:szCs w:val="32"/>
          <w:highlight w:val="none"/>
          <w:u w:val="none"/>
          <w14:textFill>
            <w14:solidFill>
              <w14:schemeClr w14:val="tx1"/>
            </w14:solidFill>
          </w14:textFill>
        </w:rPr>
      </w:pPr>
      <w:r>
        <w:rPr>
          <w:rFonts w:hint="eastAsia" w:ascii="仿宋_GB2312" w:hAnsi="仿宋" w:eastAsia="仿宋_GB2312"/>
          <w:b/>
          <w:color w:val="000000" w:themeColor="text1"/>
          <w:sz w:val="32"/>
          <w:szCs w:val="32"/>
          <w:highlight w:val="none"/>
          <w:u w:val="none"/>
          <w14:textFill>
            <w14:solidFill>
              <w14:schemeClr w14:val="tx1"/>
            </w14:solidFill>
          </w14:textFill>
        </w:rPr>
        <w:t>构建技术创新平台体系。</w:t>
      </w:r>
      <w:r>
        <w:rPr>
          <w:rFonts w:hint="eastAsia" w:ascii="仿宋_GB2312" w:hAnsi="Times New Roman" w:eastAsia="仿宋_GB2312"/>
          <w:color w:val="000000" w:themeColor="text1"/>
          <w:sz w:val="32"/>
          <w:szCs w:val="32"/>
          <w:highlight w:val="none"/>
          <w:u w:val="none"/>
          <w14:textFill>
            <w14:solidFill>
              <w14:schemeClr w14:val="tx1"/>
            </w14:solidFill>
          </w14:textFill>
        </w:rPr>
        <w:t>依托人工智能与数字经济</w:t>
      </w:r>
      <w:r>
        <w:rPr>
          <w:rFonts w:hint="eastAsia" w:ascii="仿宋_GB2312" w:hAnsi="Times New Roman" w:eastAsia="仿宋_GB2312"/>
          <w:color w:val="000000" w:themeColor="text1"/>
          <w:sz w:val="32"/>
          <w:szCs w:val="32"/>
          <w:highlight w:val="none"/>
          <w:u w:val="none"/>
          <w:lang w:val="en-US" w:eastAsia="zh-CN"/>
          <w14:textFill>
            <w14:solidFill>
              <w14:schemeClr w14:val="tx1"/>
            </w14:solidFill>
          </w14:textFill>
        </w:rPr>
        <w:t>广东</w:t>
      </w:r>
      <w:r>
        <w:rPr>
          <w:rFonts w:hint="eastAsia" w:ascii="仿宋_GB2312" w:hAnsi="Times New Roman" w:eastAsia="仿宋_GB2312"/>
          <w:color w:val="000000" w:themeColor="text1"/>
          <w:sz w:val="32"/>
          <w:szCs w:val="32"/>
          <w:highlight w:val="none"/>
          <w:u w:val="none"/>
          <w14:textFill>
            <w14:solidFill>
              <w14:schemeClr w14:val="tx1"/>
            </w14:solidFill>
          </w14:textFill>
        </w:rPr>
        <w:t>省实验室、深圳湾实验室等科学城优势创新资源，争创跨学科、综合性、开放型、多功能的光明国家实验室。争取一批国家重点实验室、省部共建实验室等国家级科学研究平台，加快深圳超级计算中心二期、光明科学城大数据中心、国际科技信息中心建设，布局电子显微镜中心、质谱仪中心、基因测试仪等一批高端仪器设备公共服务平台，推动重大科技基础设施、高端科研仪器、科研数据等科研资源的开放共享。鼓励大型企业建设产业专用实验</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室</w:t>
      </w:r>
      <w:r>
        <w:rPr>
          <w:rFonts w:hint="eastAsia" w:ascii="仿宋_GB2312" w:hAnsi="Times New Roman" w:eastAsia="仿宋_GB2312"/>
          <w:color w:val="000000" w:themeColor="text1"/>
          <w:sz w:val="32"/>
          <w:szCs w:val="32"/>
          <w:highlight w:val="none"/>
          <w:u w:val="none"/>
          <w14:textFill>
            <w14:solidFill>
              <w14:schemeClr w14:val="tx1"/>
            </w14:solidFill>
          </w14:textFill>
        </w:rPr>
        <w:t xml:space="preserve">，推动大装置关联技术“沿途下蛋”。 </w:t>
      </w:r>
    </w:p>
    <w:p w14:paraId="4F538431">
      <w:pPr>
        <w:spacing w:line="560" w:lineRule="exact"/>
        <w:ind w:firstLine="643" w:firstLineChars="200"/>
        <w:rPr>
          <w:rFonts w:ascii="仿宋_GB2312" w:hAnsi="仿宋_GB2312" w:eastAsia="仿宋_GB2312" w:cs="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u w:val="none"/>
          <w14:textFill>
            <w14:solidFill>
              <w14:schemeClr w14:val="tx1"/>
            </w14:solidFill>
          </w14:textFill>
        </w:rPr>
        <w:t>建设国际技术转移转化中心。</w:t>
      </w:r>
      <w:r>
        <w:rPr>
          <w:rFonts w:hint="eastAsia" w:ascii="仿宋_GB2312" w:hAnsi="Times New Roman" w:eastAsia="仿宋_GB2312"/>
          <w:color w:val="000000" w:themeColor="text1"/>
          <w:sz w:val="32"/>
          <w:szCs w:val="32"/>
          <w:highlight w:val="none"/>
          <w:u w:val="none"/>
          <w14:textFill>
            <w14:solidFill>
              <w14:schemeClr w14:val="tx1"/>
            </w14:solidFill>
          </w14:textFill>
        </w:rPr>
        <w:t>聚焦新一代信息技术、人工智能、微电子、5G、生物医药、新材料等重点领域，高标准建设一批概念验证、中试验证、检验检测等功能性平台，构建“概念验证+技术验证+市场验证”的科技成果转移转化验证服务体系。规划布局集研发中试线、研发性工厂、试产车间为一体的公共中试基地，</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鼓励企业和社会资本建设技术集成、熟化和工程化的共享中试工厂。支持“军转民”、“民参军”，推动军民科技成果共享和双向转移转化。探索建设国际高校院所科技成果转化产业园，携手中国（深圳）知识产权保护中心和中国（南方）知识产权运营中心等共建技术转移转化联盟，推进全球前沿科技成果在光明产业化。</w:t>
      </w:r>
    </w:p>
    <w:p w14:paraId="4775760A">
      <w:pPr>
        <w:spacing w:line="560" w:lineRule="exact"/>
        <w:ind w:firstLine="643" w:firstLineChars="200"/>
        <w:rPr>
          <w:rFonts w:ascii="仿宋_GB2312" w:hAnsi="仿宋_GB2312" w:eastAsia="仿宋_GB2312" w:cs="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b/>
          <w:color w:val="000000" w:themeColor="text1"/>
          <w:sz w:val="32"/>
          <w:szCs w:val="32"/>
          <w:highlight w:val="none"/>
          <w:u w:val="none"/>
          <w14:textFill>
            <w14:solidFill>
              <w14:schemeClr w14:val="tx1"/>
            </w14:solidFill>
          </w14:textFill>
        </w:rPr>
        <w:t>发展检验检测认证服务。</w:t>
      </w:r>
      <w:r>
        <w:rPr>
          <w:rFonts w:hint="eastAsia" w:ascii="仿宋_GB2312" w:hAnsi="仿宋_GB2312" w:eastAsia="仿宋_GB2312"/>
          <w:color w:val="000000" w:themeColor="text1"/>
          <w:sz w:val="32"/>
          <w:szCs w:val="32"/>
          <w:highlight w:val="none"/>
          <w:u w:val="none"/>
          <w14:textFill>
            <w14:solidFill>
              <w14:schemeClr w14:val="tx1"/>
            </w14:solidFill>
          </w14:textFill>
        </w:rPr>
        <w:t>以产业应用为导向，围绕智能产业、新材料、生命科学等重点领域，强化行业特色公共检验检测平台建设，</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加快高水平的工业产品质检中心、产业计量测试中心、检测实验室等公共平台建设，培育质量服务新兴业态。</w:t>
      </w:r>
      <w:r>
        <w:rPr>
          <w:rFonts w:hint="eastAsia" w:ascii="仿宋_GB2312" w:hAnsi="仿宋_GB2312" w:eastAsia="仿宋_GB2312"/>
          <w:color w:val="000000" w:themeColor="text1"/>
          <w:sz w:val="32"/>
          <w:szCs w:val="32"/>
          <w:highlight w:val="none"/>
          <w:u w:val="none"/>
          <w14:textFill>
            <w14:solidFill>
              <w14:schemeClr w14:val="tx1"/>
            </w14:solidFill>
          </w14:textFill>
        </w:rPr>
        <w:t>提升计量、检测技术、检测装备研发等基础能力水平，实现国家电动汽车产业计量中心以及环保产品、分布式光伏发电系统质量监督检验中心(广东)三个国家质量检验检测中心运转营收，推动中国计量科学研究院技术创新研究院、深圳市药品检验研究院光明分院</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建设</w:t>
      </w:r>
      <w:r>
        <w:rPr>
          <w:rFonts w:hint="eastAsia" w:ascii="仿宋_GB2312" w:hAnsi="仿宋_GB2312" w:eastAsia="仿宋_GB2312"/>
          <w:color w:val="000000" w:themeColor="text1"/>
          <w:sz w:val="32"/>
          <w:szCs w:val="32"/>
          <w:highlight w:val="none"/>
          <w:u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 xml:space="preserve">探索规划建设计量检测科学园。 </w:t>
      </w:r>
    </w:p>
    <w:tbl>
      <w:tblPr>
        <w:tblStyle w:val="17"/>
        <w:tblpPr w:leftFromText="180" w:rightFromText="180" w:vertAnchor="text" w:horzAnchor="margin" w:tblpY="25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A79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522" w:type="dxa"/>
          </w:tcPr>
          <w:p w14:paraId="03AA74DF">
            <w:pPr>
              <w:tabs>
                <w:tab w:val="left" w:pos="567"/>
                <w:tab w:val="left" w:pos="1230"/>
                <w:tab w:val="left" w:pos="1389"/>
              </w:tabs>
              <w:snapToGrid w:val="0"/>
              <w:spacing w:line="560" w:lineRule="exact"/>
              <w:jc w:val="center"/>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专栏</w:t>
            </w:r>
            <w:r>
              <w:rPr>
                <w:rFonts w:hint="eastAsia" w:ascii="宋体" w:hAnsi="宋体"/>
                <w:b/>
                <w:color w:val="000000" w:themeColor="text1"/>
                <w:sz w:val="24"/>
                <w:szCs w:val="24"/>
                <w:highlight w:val="none"/>
                <w:u w:val="none"/>
                <w:lang w:val="en-US" w:eastAsia="zh-CN"/>
                <w14:textFill>
                  <w14:solidFill>
                    <w14:schemeClr w14:val="tx1"/>
                  </w14:solidFill>
                </w14:textFill>
              </w:rPr>
              <w:t>6</w:t>
            </w:r>
            <w:r>
              <w:rPr>
                <w:rFonts w:hint="eastAsia" w:ascii="宋体" w:hAnsi="宋体"/>
                <w:b/>
                <w:color w:val="000000" w:themeColor="text1"/>
                <w:sz w:val="24"/>
                <w:szCs w:val="24"/>
                <w:highlight w:val="none"/>
                <w:u w:val="none"/>
                <w14:textFill>
                  <w14:solidFill>
                    <w14:schemeClr w14:val="tx1"/>
                  </w14:solidFill>
                </w14:textFill>
              </w:rPr>
              <w:t>：科</w:t>
            </w:r>
            <w:r>
              <w:rPr>
                <w:rFonts w:ascii="宋体" w:hAnsi="宋体"/>
                <w:b/>
                <w:color w:val="000000" w:themeColor="text1"/>
                <w:sz w:val="24"/>
                <w:szCs w:val="24"/>
                <w:highlight w:val="none"/>
                <w:u w:val="none"/>
                <w14:textFill>
                  <w14:solidFill>
                    <w14:schemeClr w14:val="tx1"/>
                  </w14:solidFill>
                </w14:textFill>
              </w:rPr>
              <w:t>技创新</w:t>
            </w:r>
            <w:r>
              <w:rPr>
                <w:rFonts w:hint="eastAsia" w:ascii="宋体" w:hAnsi="宋体"/>
                <w:b/>
                <w:color w:val="000000" w:themeColor="text1"/>
                <w:sz w:val="24"/>
                <w:szCs w:val="24"/>
                <w:highlight w:val="none"/>
                <w:u w:val="none"/>
                <w14:textFill>
                  <w14:solidFill>
                    <w14:schemeClr w14:val="tx1"/>
                  </w14:solidFill>
                </w14:textFill>
              </w:rPr>
              <w:t>重点项目</w:t>
            </w:r>
          </w:p>
          <w:p w14:paraId="265A5CEC">
            <w:pPr>
              <w:tabs>
                <w:tab w:val="left" w:pos="567"/>
                <w:tab w:val="left" w:pos="1230"/>
                <w:tab w:val="left" w:pos="1389"/>
              </w:tabs>
              <w:snapToGrid w:val="0"/>
              <w:spacing w:line="560" w:lineRule="exact"/>
              <w:ind w:firstLine="361" w:firstLineChars="150"/>
              <w:jc w:val="left"/>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——技术创新平台：</w:t>
            </w:r>
            <w:r>
              <w:rPr>
                <w:rFonts w:hint="eastAsia" w:ascii="宋体" w:hAnsi="宋体"/>
                <w:color w:val="000000" w:themeColor="text1"/>
                <w:sz w:val="24"/>
                <w:szCs w:val="24"/>
                <w:highlight w:val="none"/>
                <w:u w:val="none"/>
                <w14:textFill>
                  <w14:solidFill>
                    <w14:schemeClr w14:val="tx1"/>
                  </w14:solidFill>
                </w14:textFill>
              </w:rPr>
              <w:t>推</w:t>
            </w:r>
            <w:r>
              <w:rPr>
                <w:rFonts w:ascii="宋体" w:hAnsi="宋体"/>
                <w:color w:val="000000" w:themeColor="text1"/>
                <w:sz w:val="24"/>
                <w:szCs w:val="24"/>
                <w:highlight w:val="none"/>
                <w:u w:val="none"/>
                <w14:textFill>
                  <w14:solidFill>
                    <w14:schemeClr w14:val="tx1"/>
                  </w14:solidFill>
                </w14:textFill>
              </w:rPr>
              <w:t>进</w:t>
            </w:r>
            <w:r>
              <w:rPr>
                <w:rFonts w:hint="eastAsia" w:ascii="宋体" w:hAnsi="宋体"/>
                <w:color w:val="000000" w:themeColor="text1"/>
                <w:sz w:val="24"/>
                <w:szCs w:val="24"/>
                <w:highlight w:val="none"/>
                <w:u w:val="none"/>
                <w14:textFill>
                  <w14:solidFill>
                    <w14:schemeClr w14:val="tx1"/>
                  </w14:solidFill>
                </w14:textFill>
              </w:rPr>
              <w:t>深圳湾实验室、人工智能与数字经济广东省实验室、深圳市工程生物产业创新中心、中国计量科学院技术创新院等平</w:t>
            </w:r>
            <w:r>
              <w:rPr>
                <w:rFonts w:ascii="宋体" w:hAnsi="宋体"/>
                <w:color w:val="000000" w:themeColor="text1"/>
                <w:sz w:val="24"/>
                <w:szCs w:val="24"/>
                <w:highlight w:val="none"/>
                <w:u w:val="none"/>
                <w14:textFill>
                  <w14:solidFill>
                    <w14:schemeClr w14:val="tx1"/>
                  </w14:solidFill>
                </w14:textFill>
              </w:rPr>
              <w:t>台建设</w:t>
            </w:r>
            <w:r>
              <w:rPr>
                <w:rFonts w:hint="eastAsia" w:ascii="宋体" w:hAnsi="宋体"/>
                <w:color w:val="000000" w:themeColor="text1"/>
                <w:sz w:val="24"/>
                <w:szCs w:val="24"/>
                <w:highlight w:val="none"/>
                <w:u w:val="none"/>
                <w14:textFill>
                  <w14:solidFill>
                    <w14:schemeClr w14:val="tx1"/>
                  </w14:solidFill>
                </w14:textFill>
              </w:rPr>
              <w:t>。</w:t>
            </w:r>
          </w:p>
          <w:p w14:paraId="3E79FD83">
            <w:pPr>
              <w:tabs>
                <w:tab w:val="left" w:pos="567"/>
                <w:tab w:val="left" w:pos="1230"/>
                <w:tab w:val="left" w:pos="1389"/>
              </w:tabs>
              <w:snapToGrid w:val="0"/>
              <w:spacing w:line="560" w:lineRule="exact"/>
              <w:ind w:firstLine="361" w:firstLineChars="150"/>
              <w:jc w:val="left"/>
              <w:rPr>
                <w:rFonts w:ascii="宋体" w:hAnsi="宋体"/>
                <w:color w:val="000000" w:themeColor="text1"/>
                <w:kern w:val="0"/>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——技术转移：</w:t>
            </w:r>
            <w:r>
              <w:rPr>
                <w:rFonts w:hint="eastAsia" w:ascii="宋体" w:hAnsi="宋体"/>
                <w:color w:val="000000" w:themeColor="text1"/>
                <w:sz w:val="24"/>
                <w:szCs w:val="24"/>
                <w:highlight w:val="none"/>
                <w:u w:val="none"/>
                <w14:textFill>
                  <w14:solidFill>
                    <w14:schemeClr w14:val="tx1"/>
                  </w14:solidFill>
                </w14:textFill>
              </w:rPr>
              <w:t>推进光明国际技术转移转化中心、技术转移转化联盟等项目建设，争取设立光明科技创新基金。</w:t>
            </w:r>
          </w:p>
          <w:p w14:paraId="1BF4DBCB">
            <w:pPr>
              <w:tabs>
                <w:tab w:val="left" w:pos="567"/>
                <w:tab w:val="left" w:pos="1230"/>
                <w:tab w:val="left" w:pos="1389"/>
              </w:tabs>
              <w:snapToGrid w:val="0"/>
              <w:spacing w:line="560" w:lineRule="exact"/>
              <w:ind w:firstLine="361" w:firstLineChars="150"/>
              <w:rPr>
                <w:rFonts w:ascii="宋体" w:hAnsi="宋体"/>
                <w:color w:val="000000" w:themeColor="text1"/>
                <w:kern w:val="0"/>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——检验检测平台：</w:t>
            </w:r>
            <w:r>
              <w:rPr>
                <w:rFonts w:hint="eastAsia" w:ascii="宋体" w:hAnsi="宋体"/>
                <w:color w:val="000000" w:themeColor="text1"/>
                <w:sz w:val="24"/>
                <w:szCs w:val="24"/>
                <w:highlight w:val="none"/>
                <w:u w:val="none"/>
                <w14:textFill>
                  <w14:solidFill>
                    <w14:schemeClr w14:val="tx1"/>
                  </w14:solidFill>
                </w14:textFill>
              </w:rPr>
              <w:t>推</w:t>
            </w:r>
            <w:r>
              <w:rPr>
                <w:rFonts w:ascii="宋体" w:hAnsi="宋体"/>
                <w:color w:val="000000" w:themeColor="text1"/>
                <w:sz w:val="24"/>
                <w:szCs w:val="24"/>
                <w:highlight w:val="none"/>
                <w:u w:val="none"/>
                <w14:textFill>
                  <w14:solidFill>
                    <w14:schemeClr w14:val="tx1"/>
                  </w14:solidFill>
                </w14:textFill>
              </w:rPr>
              <w:t>进</w:t>
            </w:r>
            <w:r>
              <w:rPr>
                <w:rFonts w:hint="eastAsia" w:ascii="宋体" w:hAnsi="宋体"/>
                <w:color w:val="000000" w:themeColor="text1"/>
                <w:sz w:val="24"/>
                <w:szCs w:val="24"/>
                <w:highlight w:val="none"/>
                <w:u w:val="none"/>
                <w14:textFill>
                  <w14:solidFill>
                    <w14:schemeClr w14:val="tx1"/>
                  </w14:solidFill>
                </w14:textFill>
              </w:rPr>
              <w:t>国家环保产品质量监督检验中心(广东)、深圳市计量质量检测研究院（光明分院）、国家电动汽车产业计量中心、国家环保产品质量监督检验中心(广东)、国家分布式光伏发电系统质量监督检验中心(广东)，中国计量科学研究院技术创新研究院、深圳市药品检验研究院光明分院等</w:t>
            </w:r>
            <w:r>
              <w:rPr>
                <w:rFonts w:ascii="宋体" w:hAnsi="宋体"/>
                <w:color w:val="000000" w:themeColor="text1"/>
                <w:sz w:val="24"/>
                <w:szCs w:val="24"/>
                <w:highlight w:val="none"/>
                <w:u w:val="none"/>
                <w14:textFill>
                  <w14:solidFill>
                    <w14:schemeClr w14:val="tx1"/>
                  </w14:solidFill>
                </w14:textFill>
              </w:rPr>
              <w:t>项目建设</w:t>
            </w:r>
            <w:r>
              <w:rPr>
                <w:rFonts w:hint="eastAsia" w:ascii="宋体" w:hAnsi="宋体"/>
                <w:color w:val="000000" w:themeColor="text1"/>
                <w:kern w:val="0"/>
                <w:sz w:val="24"/>
                <w:szCs w:val="24"/>
                <w:highlight w:val="none"/>
                <w:u w:val="none"/>
                <w14:textFill>
                  <w14:solidFill>
                    <w14:schemeClr w14:val="tx1"/>
                  </w14:solidFill>
                </w14:textFill>
              </w:rPr>
              <w:t>。</w:t>
            </w:r>
          </w:p>
        </w:tc>
      </w:tr>
    </w:tbl>
    <w:p w14:paraId="2DEEAF63">
      <w:pPr>
        <w:spacing w:line="560" w:lineRule="exact"/>
        <w:rPr>
          <w:rFonts w:ascii="楷体" w:hAnsi="楷体" w:eastAsia="楷体"/>
          <w:b/>
          <w:color w:val="000000" w:themeColor="text1"/>
          <w:sz w:val="32"/>
          <w:szCs w:val="32"/>
          <w:highlight w:val="none"/>
          <w:u w:val="none"/>
          <w14:textFill>
            <w14:solidFill>
              <w14:schemeClr w14:val="tx1"/>
            </w14:solidFill>
          </w14:textFill>
        </w:rPr>
      </w:pPr>
    </w:p>
    <w:p w14:paraId="2F071E1F">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42" w:name="_Toc8992"/>
      <w:bookmarkStart w:id="143" w:name="_Toc17985"/>
      <w:bookmarkStart w:id="144" w:name="_Toc28138"/>
      <w:bookmarkStart w:id="145" w:name="_Toc10379"/>
      <w:r>
        <w:rPr>
          <w:rFonts w:hint="eastAsia" w:ascii="楷体_GB2312" w:hAnsi="楷体_GB2312" w:eastAsia="楷体_GB2312" w:cs="楷体_GB2312"/>
          <w:color w:val="000000" w:themeColor="text1"/>
          <w:highlight w:val="none"/>
          <w:u w:val="none"/>
          <w14:textFill>
            <w14:solidFill>
              <w14:schemeClr w14:val="tx1"/>
            </w14:solidFill>
          </w14:textFill>
        </w:rPr>
        <w:t>（二）加快产业转型升级</w:t>
      </w:r>
      <w:bookmarkEnd w:id="140"/>
      <w:bookmarkEnd w:id="141"/>
      <w:bookmarkEnd w:id="142"/>
      <w:bookmarkEnd w:id="143"/>
      <w:bookmarkEnd w:id="144"/>
      <w:bookmarkEnd w:id="145"/>
    </w:p>
    <w:p w14:paraId="019D3440">
      <w:pPr>
        <w:spacing w:line="560" w:lineRule="exact"/>
        <w:ind w:firstLine="640" w:firstLineChars="200"/>
        <w:rPr>
          <w:rFonts w:ascii="仿宋_GB2312" w:hAnsi="仿宋" w:eastAsia="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color w:val="000000" w:themeColor="text1"/>
          <w:sz w:val="32"/>
          <w:szCs w:val="32"/>
          <w:highlight w:val="none"/>
          <w:u w:val="none"/>
          <w14:textFill>
            <w14:solidFill>
              <w14:schemeClr w14:val="tx1"/>
            </w14:solidFill>
          </w14:textFill>
        </w:rPr>
        <w:t>围绕光明战略性新兴产业重点领域，推进信息化与工业化融合、制造业和现代服务业融合、工业文明与生态文明融合，产业高速发展与资源能源节约融合，促进</w:t>
      </w:r>
      <w:r>
        <w:rPr>
          <w:rFonts w:hint="eastAsia" w:ascii="仿宋_GB2312" w:eastAsia="仿宋_GB2312"/>
          <w:color w:val="000000" w:themeColor="text1"/>
          <w:sz w:val="32"/>
          <w:szCs w:val="32"/>
          <w:highlight w:val="none"/>
          <w:u w:val="none"/>
          <w14:textFill>
            <w14:solidFill>
              <w14:schemeClr w14:val="tx1"/>
            </w14:solidFill>
          </w14:textFill>
        </w:rPr>
        <w:t>战略性新兴产业转型升级，</w:t>
      </w:r>
      <w:r>
        <w:rPr>
          <w:rFonts w:hint="eastAsia" w:ascii="仿宋_GB2312" w:hAnsi="仿宋_GB2312" w:eastAsia="仿宋_GB2312"/>
          <w:color w:val="000000" w:themeColor="text1"/>
          <w:sz w:val="32"/>
          <w:szCs w:val="32"/>
          <w:highlight w:val="none"/>
          <w:u w:val="none"/>
          <w14:textFill>
            <w14:solidFill>
              <w14:schemeClr w14:val="tx1"/>
            </w14:solidFill>
          </w14:textFill>
        </w:rPr>
        <w:t>打造战略性新兴产业高质量发展</w:t>
      </w:r>
      <w:r>
        <w:rPr>
          <w:rFonts w:hint="eastAsia" w:ascii="仿宋_GB2312" w:eastAsia="仿宋_GB2312"/>
          <w:color w:val="000000" w:themeColor="text1"/>
          <w:sz w:val="32"/>
          <w:szCs w:val="32"/>
          <w:highlight w:val="none"/>
          <w:u w:val="none"/>
          <w14:textFill>
            <w14:solidFill>
              <w14:schemeClr w14:val="tx1"/>
            </w14:solidFill>
          </w14:textFill>
        </w:rPr>
        <w:t>典型样板区。</w:t>
      </w:r>
    </w:p>
    <w:p w14:paraId="5C437B69">
      <w:pPr>
        <w:snapToGrid w:val="0"/>
        <w:spacing w:line="560" w:lineRule="exact"/>
        <w:ind w:firstLine="636" w:firstLineChars="198"/>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仿宋_GB2312" w:hAnsi="仿宋" w:eastAsia="仿宋_GB2312"/>
          <w:b/>
          <w:color w:val="000000" w:themeColor="text1"/>
          <w:sz w:val="32"/>
          <w:szCs w:val="32"/>
          <w:highlight w:val="none"/>
          <w:u w:val="none"/>
          <w14:textFill>
            <w14:solidFill>
              <w14:schemeClr w14:val="tx1"/>
            </w14:solidFill>
          </w14:textFill>
        </w:rPr>
        <w:t>实施工业基</w:t>
      </w:r>
      <w:r>
        <w:rPr>
          <w:rFonts w:ascii="仿宋_GB2312" w:hAnsi="仿宋" w:eastAsia="仿宋_GB2312"/>
          <w:b/>
          <w:color w:val="000000" w:themeColor="text1"/>
          <w:sz w:val="32"/>
          <w:szCs w:val="32"/>
          <w:highlight w:val="none"/>
          <w:u w:val="none"/>
          <w14:textFill>
            <w14:solidFill>
              <w14:schemeClr w14:val="tx1"/>
            </w14:solidFill>
          </w14:textFill>
        </w:rPr>
        <w:t>础再</w:t>
      </w:r>
      <w:r>
        <w:rPr>
          <w:rFonts w:hint="eastAsia" w:ascii="仿宋_GB2312" w:hAnsi="仿宋" w:eastAsia="仿宋_GB2312"/>
          <w:b/>
          <w:color w:val="000000" w:themeColor="text1"/>
          <w:sz w:val="32"/>
          <w:szCs w:val="32"/>
          <w:highlight w:val="none"/>
          <w:u w:val="none"/>
          <w14:textFill>
            <w14:solidFill>
              <w14:schemeClr w14:val="tx1"/>
            </w14:solidFill>
          </w14:textFill>
        </w:rPr>
        <w:t>造工程。</w:t>
      </w:r>
      <w:r>
        <w:rPr>
          <w:rFonts w:hint="eastAsia" w:ascii="仿宋_GB2312" w:hAnsi="仿宋_GB2312" w:eastAsia="仿宋_GB2312"/>
          <w:color w:val="000000" w:themeColor="text1"/>
          <w:sz w:val="32"/>
          <w:szCs w:val="32"/>
          <w:highlight w:val="none"/>
          <w:u w:val="none"/>
          <w14:textFill>
            <w14:solidFill>
              <w14:schemeClr w14:val="tx1"/>
            </w14:solidFill>
          </w14:textFill>
        </w:rPr>
        <w:t>围绕</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新一代信息技术</w:t>
      </w:r>
      <w:r>
        <w:rPr>
          <w:rFonts w:hint="eastAsia" w:ascii="仿宋_GB2312" w:hAnsi="仿宋_GB2312" w:eastAsia="仿宋_GB2312"/>
          <w:color w:val="000000" w:themeColor="text1"/>
          <w:sz w:val="32"/>
          <w:szCs w:val="32"/>
          <w:highlight w:val="none"/>
          <w:u w:val="none"/>
          <w14:textFill>
            <w14:solidFill>
              <w14:schemeClr w14:val="tx1"/>
            </w14:solidFill>
          </w14:textFill>
        </w:rPr>
        <w:t>、</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高端装备制造、</w:t>
      </w:r>
      <w:r>
        <w:rPr>
          <w:rFonts w:hint="eastAsia" w:ascii="仿宋_GB2312" w:hAnsi="仿宋_GB2312" w:eastAsia="仿宋_GB2312"/>
          <w:color w:val="000000" w:themeColor="text1"/>
          <w:sz w:val="32"/>
          <w:szCs w:val="32"/>
          <w:highlight w:val="none"/>
          <w:u w:val="none"/>
          <w14:textFill>
            <w14:solidFill>
              <w14:schemeClr w14:val="tx1"/>
            </w14:solidFill>
          </w14:textFill>
        </w:rPr>
        <w:t>新材料、</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生物医药</w:t>
      </w:r>
      <w:r>
        <w:rPr>
          <w:rFonts w:hint="eastAsia" w:ascii="仿宋_GB2312" w:hAnsi="仿宋_GB2312" w:eastAsia="仿宋_GB2312"/>
          <w:color w:val="000000" w:themeColor="text1"/>
          <w:sz w:val="32"/>
          <w:szCs w:val="32"/>
          <w:highlight w:val="none"/>
          <w:u w:val="none"/>
          <w14:textFill>
            <w14:solidFill>
              <w14:schemeClr w14:val="tx1"/>
            </w14:solidFill>
          </w14:textFill>
        </w:rPr>
        <w:t>等重点战略性新兴产业发展需求，推动关键基础材料、核心基础零部件（元器件）、先进基础工艺、产业技术基础等基</w:t>
      </w:r>
      <w:r>
        <w:rPr>
          <w:rFonts w:ascii="仿宋_GB2312" w:hAnsi="仿宋_GB2312" w:eastAsia="仿宋_GB2312"/>
          <w:color w:val="000000" w:themeColor="text1"/>
          <w:sz w:val="32"/>
          <w:szCs w:val="32"/>
          <w:highlight w:val="none"/>
          <w:u w:val="none"/>
          <w14:textFill>
            <w14:solidFill>
              <w14:schemeClr w14:val="tx1"/>
            </w14:solidFill>
          </w14:textFill>
        </w:rPr>
        <w:t>础</w:t>
      </w:r>
      <w:r>
        <w:rPr>
          <w:rFonts w:hint="eastAsia" w:ascii="仿宋_GB2312" w:hAnsi="仿宋_GB2312" w:eastAsia="仿宋_GB2312"/>
          <w:color w:val="000000" w:themeColor="text1"/>
          <w:sz w:val="32"/>
          <w:szCs w:val="32"/>
          <w:highlight w:val="none"/>
          <w:u w:val="none"/>
          <w14:textFill>
            <w14:solidFill>
              <w14:schemeClr w14:val="tx1"/>
            </w14:solidFill>
          </w14:textFill>
        </w:rPr>
        <w:t>工业发展，建设一批产业技术基础示范服务平台，培育一批基础条件好、专业化程度高、配套能力强、特色明显的工业企业。在加快发展半导体材料、光电材料的基础上，重点发展电子元器件、3D打印材料、电子信息材料等工业基础产业；发挥光明区模具产业优势，</w:t>
      </w:r>
      <w:r>
        <w:rPr>
          <w:rFonts w:hint="eastAsia" w:ascii="仿宋_GB2312" w:hAnsi="Times New Roman" w:eastAsia="仿宋_GB2312"/>
          <w:color w:val="000000" w:themeColor="text1"/>
          <w:sz w:val="32"/>
          <w:szCs w:val="32"/>
          <w:highlight w:val="none"/>
          <w:u w:val="none"/>
          <w14:textFill>
            <w14:solidFill>
              <w14:schemeClr w14:val="tx1"/>
            </w14:solidFill>
          </w14:textFill>
        </w:rPr>
        <w:t>支持龙头企业开展大型、精密、复杂模具研发制造，</w:t>
      </w:r>
      <w:r>
        <w:rPr>
          <w:rFonts w:hint="eastAsia" w:ascii="仿宋_GB2312" w:hAnsi="仿宋_GB2312" w:eastAsia="仿宋_GB2312"/>
          <w:color w:val="000000" w:themeColor="text1"/>
          <w:sz w:val="32"/>
          <w:szCs w:val="32"/>
          <w:highlight w:val="none"/>
          <w:u w:val="none"/>
          <w14:textFill>
            <w14:solidFill>
              <w14:schemeClr w14:val="tx1"/>
            </w14:solidFill>
          </w14:textFill>
        </w:rPr>
        <w:t>为智能产业发展提供有力支撑。深化整机企业和配套企业战略合作，形</w:t>
      </w:r>
      <w:r>
        <w:rPr>
          <w:rFonts w:ascii="仿宋_GB2312" w:hAnsi="仿宋_GB2312" w:eastAsia="仿宋_GB2312"/>
          <w:color w:val="000000" w:themeColor="text1"/>
          <w:sz w:val="32"/>
          <w:szCs w:val="32"/>
          <w:highlight w:val="none"/>
          <w:u w:val="none"/>
          <w14:textFill>
            <w14:solidFill>
              <w14:schemeClr w14:val="tx1"/>
            </w14:solidFill>
          </w14:textFill>
        </w:rPr>
        <w:t>成具有更强创造力、更高附</w:t>
      </w:r>
      <w:r>
        <w:rPr>
          <w:rFonts w:hint="eastAsia" w:ascii="仿宋_GB2312" w:hAnsi="仿宋_GB2312" w:eastAsia="仿宋_GB2312"/>
          <w:color w:val="000000" w:themeColor="text1"/>
          <w:sz w:val="32"/>
          <w:szCs w:val="32"/>
          <w:highlight w:val="none"/>
          <w:u w:val="none"/>
          <w14:textFill>
            <w14:solidFill>
              <w14:schemeClr w14:val="tx1"/>
            </w14:solidFill>
          </w14:textFill>
        </w:rPr>
        <w:t>加</w:t>
      </w:r>
      <w:r>
        <w:rPr>
          <w:rFonts w:ascii="仿宋_GB2312" w:hAnsi="仿宋_GB2312" w:eastAsia="仿宋_GB2312"/>
          <w:color w:val="000000" w:themeColor="text1"/>
          <w:sz w:val="32"/>
          <w:szCs w:val="32"/>
          <w:highlight w:val="none"/>
          <w:u w:val="none"/>
          <w14:textFill>
            <w14:solidFill>
              <w14:schemeClr w14:val="tx1"/>
            </w14:solidFill>
          </w14:textFill>
        </w:rPr>
        <w:t>值</w:t>
      </w:r>
      <w:r>
        <w:rPr>
          <w:rFonts w:hint="eastAsia" w:ascii="仿宋_GB2312" w:hAnsi="仿宋_GB2312" w:eastAsia="仿宋_GB2312"/>
          <w:color w:val="000000" w:themeColor="text1"/>
          <w:sz w:val="32"/>
          <w:szCs w:val="32"/>
          <w:highlight w:val="none"/>
          <w:u w:val="none"/>
          <w14:textFill>
            <w14:solidFill>
              <w14:schemeClr w14:val="tx1"/>
            </w14:solidFill>
          </w14:textFill>
        </w:rPr>
        <w:t>、</w:t>
      </w:r>
      <w:r>
        <w:rPr>
          <w:rFonts w:ascii="仿宋_GB2312" w:hAnsi="仿宋_GB2312" w:eastAsia="仿宋_GB2312"/>
          <w:color w:val="000000" w:themeColor="text1"/>
          <w:sz w:val="32"/>
          <w:szCs w:val="32"/>
          <w:highlight w:val="none"/>
          <w:u w:val="none"/>
          <w14:textFill>
            <w14:solidFill>
              <w14:schemeClr w14:val="tx1"/>
            </w14:solidFill>
          </w14:textFill>
        </w:rPr>
        <w:t>更安全可</w:t>
      </w:r>
      <w:r>
        <w:rPr>
          <w:rFonts w:hint="eastAsia" w:ascii="仿宋_GB2312" w:hAnsi="仿宋_GB2312" w:eastAsia="仿宋_GB2312"/>
          <w:color w:val="000000" w:themeColor="text1"/>
          <w:sz w:val="32"/>
          <w:szCs w:val="32"/>
          <w:highlight w:val="none"/>
          <w:u w:val="none"/>
          <w14:textFill>
            <w14:solidFill>
              <w14:schemeClr w14:val="tx1"/>
            </w14:solidFill>
          </w14:textFill>
        </w:rPr>
        <w:t>靠</w:t>
      </w:r>
      <w:r>
        <w:rPr>
          <w:rFonts w:ascii="仿宋_GB2312" w:hAnsi="仿宋_GB2312" w:eastAsia="仿宋_GB2312"/>
          <w:color w:val="000000" w:themeColor="text1"/>
          <w:sz w:val="32"/>
          <w:szCs w:val="32"/>
          <w:highlight w:val="none"/>
          <w:u w:val="none"/>
          <w14:textFill>
            <w14:solidFill>
              <w14:schemeClr w14:val="tx1"/>
            </w14:solidFill>
          </w14:textFill>
        </w:rPr>
        <w:t>的产业供应链。</w:t>
      </w:r>
      <w:r>
        <w:rPr>
          <w:rFonts w:hint="eastAsia" w:ascii="仿宋_GB2312" w:hAnsi="仿宋_GB2312" w:eastAsia="仿宋_GB2312"/>
          <w:color w:val="000000" w:themeColor="text1"/>
          <w:sz w:val="32"/>
          <w:szCs w:val="32"/>
          <w:highlight w:val="none"/>
          <w:u w:val="none"/>
          <w14:textFill>
            <w14:solidFill>
              <w14:schemeClr w14:val="tx1"/>
            </w14:solidFill>
          </w14:textFill>
        </w:rPr>
        <w:t>“十四五”期间，争取</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6</w:t>
      </w:r>
      <w:r>
        <w:rPr>
          <w:rFonts w:hint="eastAsia" w:ascii="仿宋_GB2312" w:hAnsi="仿宋_GB2312" w:eastAsia="仿宋_GB2312"/>
          <w:color w:val="000000" w:themeColor="text1"/>
          <w:sz w:val="32"/>
          <w:szCs w:val="32"/>
          <w:highlight w:val="none"/>
          <w:u w:val="none"/>
          <w14:textFill>
            <w14:solidFill>
              <w14:schemeClr w14:val="tx1"/>
            </w14:solidFill>
          </w14:textFill>
        </w:rPr>
        <w:t>家企业承担市级以上工业强基工程计划，并在国家工业强基工程重点产品、工艺“一条龙”应用计划项目上取得突破。</w:t>
      </w:r>
    </w:p>
    <w:p w14:paraId="2CD0141E">
      <w:pPr>
        <w:snapToGrid w:val="0"/>
        <w:spacing w:line="560" w:lineRule="exact"/>
        <w:ind w:firstLine="643" w:firstLineChars="200"/>
        <w:rPr>
          <w:rFonts w:ascii="仿宋_GB2312" w:hAnsi="Times New Roman" w:eastAsia="仿宋_GB2312"/>
          <w:color w:val="auto"/>
          <w:sz w:val="32"/>
          <w:szCs w:val="32"/>
          <w:highlight w:val="none"/>
          <w:u w:val="none"/>
        </w:rPr>
      </w:pPr>
      <w:r>
        <w:rPr>
          <w:rFonts w:hint="eastAsia" w:ascii="仿宋_GB2312" w:hAnsi="仿宋" w:eastAsia="仿宋_GB2312"/>
          <w:b/>
          <w:color w:val="000000" w:themeColor="text1"/>
          <w:sz w:val="32"/>
          <w:szCs w:val="32"/>
          <w:highlight w:val="none"/>
          <w:u w:val="none"/>
          <w14:textFill>
            <w14:solidFill>
              <w14:schemeClr w14:val="tx1"/>
            </w14:solidFill>
          </w14:textFill>
        </w:rPr>
        <w:t>实施智能制造工程。</w:t>
      </w:r>
      <w:r>
        <w:rPr>
          <w:rFonts w:hint="eastAsia" w:ascii="仿宋_GB2312" w:hAnsi="仿宋_GB2312" w:eastAsia="仿宋_GB2312"/>
          <w:color w:val="000000" w:themeColor="text1"/>
          <w:sz w:val="32"/>
          <w:szCs w:val="32"/>
          <w:highlight w:val="none"/>
          <w:u w:val="none"/>
          <w14:textFill>
            <w14:solidFill>
              <w14:schemeClr w14:val="tx1"/>
            </w14:solidFill>
          </w14:textFill>
        </w:rPr>
        <w:t>持续推动“光明制造”向“光明智造”升级。大力开展以智能化为主的技术改造，引导企业在设计、生产、管理、物流和营销等核心业务环节应用人工智能新技术，提升全业务流程智能化管控水平；</w:t>
      </w:r>
      <w:r>
        <w:rPr>
          <w:rFonts w:hint="eastAsia" w:ascii="仿宋" w:hAnsi="仿宋" w:eastAsia="仿宋"/>
          <w:color w:val="000000" w:themeColor="text1"/>
          <w:sz w:val="32"/>
          <w:szCs w:val="32"/>
          <w:highlight w:val="none"/>
          <w:u w:val="none"/>
          <w14:textFill>
            <w14:solidFill>
              <w14:schemeClr w14:val="tx1"/>
            </w14:solidFill>
          </w14:textFill>
        </w:rPr>
        <w:t>推动企业基层数字化发展，</w:t>
      </w:r>
      <w:r>
        <w:rPr>
          <w:rFonts w:hint="eastAsia" w:ascii="仿宋_GB2312" w:hAnsi="Times New Roman" w:eastAsia="仿宋_GB2312"/>
          <w:color w:val="000000" w:themeColor="text1"/>
          <w:sz w:val="32"/>
          <w:szCs w:val="32"/>
          <w:highlight w:val="none"/>
          <w:u w:val="none"/>
          <w14:textFill>
            <w14:solidFill>
              <w14:schemeClr w14:val="tx1"/>
            </w14:solidFill>
          </w14:textFill>
        </w:rPr>
        <w:t>支持有条件的企业开展“机器换人”</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w:t>
      </w:r>
      <w:r>
        <w:rPr>
          <w:rFonts w:hint="eastAsia" w:ascii="仿宋_GB2312" w:hAnsi="Times New Roman" w:eastAsia="仿宋_GB2312"/>
          <w:color w:val="000000" w:themeColor="text1"/>
          <w:sz w:val="32"/>
          <w:szCs w:val="32"/>
          <w:highlight w:val="none"/>
          <w:u w:val="none"/>
          <w14:textFill>
            <w14:solidFill>
              <w14:schemeClr w14:val="tx1"/>
            </w14:solidFill>
          </w14:textFill>
        </w:rPr>
        <w:t>“机器人换人”，</w:t>
      </w:r>
      <w:r>
        <w:rPr>
          <w:rFonts w:hint="eastAsia" w:ascii="仿宋_GB2312" w:hAnsi="仿宋_GB2312" w:eastAsia="仿宋_GB2312"/>
          <w:color w:val="000000" w:themeColor="text1"/>
          <w:sz w:val="32"/>
          <w:szCs w:val="32"/>
          <w:highlight w:val="none"/>
          <w:u w:val="none"/>
          <w14:textFill>
            <w14:solidFill>
              <w14:schemeClr w14:val="tx1"/>
            </w14:solidFill>
          </w14:textFill>
        </w:rPr>
        <w:t>建设智能生产线、数字车间和无人工厂，</w:t>
      </w:r>
      <w:r>
        <w:rPr>
          <w:rFonts w:hint="eastAsia" w:ascii="仿宋_GB2312" w:hAnsi="Times New Roman" w:eastAsia="仿宋_GB2312"/>
          <w:color w:val="000000" w:themeColor="text1"/>
          <w:sz w:val="32"/>
          <w:szCs w:val="32"/>
          <w:highlight w:val="none"/>
          <w:u w:val="none"/>
          <w14:textFill>
            <w14:solidFill>
              <w14:schemeClr w14:val="tx1"/>
            </w14:solidFill>
          </w14:textFill>
        </w:rPr>
        <w:t>推动生产方式向柔性化、智能化、精细化转变。鼓励工业企业利用5G进行工业互联网内网改造，</w:t>
      </w:r>
      <w:r>
        <w:rPr>
          <w:rFonts w:hint="eastAsia" w:ascii="仿宋" w:hAnsi="仿宋" w:eastAsia="仿宋"/>
          <w:color w:val="000000" w:themeColor="text1"/>
          <w:sz w:val="32"/>
          <w:szCs w:val="32"/>
          <w:highlight w:val="none"/>
          <w:u w:val="none"/>
          <w14:textFill>
            <w14:solidFill>
              <w14:schemeClr w14:val="tx1"/>
            </w14:solidFill>
          </w14:textFill>
        </w:rPr>
        <w:t>推动工业互联网标识解析二级</w:t>
      </w:r>
      <w:r>
        <w:rPr>
          <w:rFonts w:ascii="仿宋" w:hAnsi="仿宋" w:eastAsia="仿宋"/>
          <w:color w:val="000000" w:themeColor="text1"/>
          <w:sz w:val="32"/>
          <w:szCs w:val="32"/>
          <w:highlight w:val="none"/>
          <w:u w:val="none"/>
          <w14:textFill>
            <w14:solidFill>
              <w14:schemeClr w14:val="tx1"/>
            </w14:solidFill>
          </w14:textFill>
        </w:rPr>
        <w:t>节点</w:t>
      </w:r>
      <w:r>
        <w:rPr>
          <w:rFonts w:hint="eastAsia" w:ascii="仿宋" w:hAnsi="仿宋" w:eastAsia="仿宋"/>
          <w:color w:val="000000" w:themeColor="text1"/>
          <w:sz w:val="32"/>
          <w:szCs w:val="32"/>
          <w:highlight w:val="none"/>
          <w:u w:val="none"/>
          <w14:textFill>
            <w14:solidFill>
              <w14:schemeClr w14:val="tx1"/>
            </w14:solidFill>
          </w14:textFill>
        </w:rPr>
        <w:t>建</w:t>
      </w:r>
      <w:r>
        <w:rPr>
          <w:rFonts w:ascii="仿宋" w:hAnsi="仿宋" w:eastAsia="仿宋"/>
          <w:color w:val="000000" w:themeColor="text1"/>
          <w:sz w:val="32"/>
          <w:szCs w:val="32"/>
          <w:highlight w:val="none"/>
          <w:u w:val="none"/>
          <w14:textFill>
            <w14:solidFill>
              <w14:schemeClr w14:val="tx1"/>
            </w14:solidFill>
          </w14:textFill>
        </w:rPr>
        <w:t>设</w:t>
      </w:r>
      <w:r>
        <w:rPr>
          <w:rFonts w:hint="eastAsia" w:ascii="仿宋" w:hAnsi="仿宋" w:eastAsia="仿宋"/>
          <w:color w:val="000000" w:themeColor="text1"/>
          <w:sz w:val="32"/>
          <w:szCs w:val="32"/>
          <w:highlight w:val="none"/>
          <w:u w:val="none"/>
          <w14:textFill>
            <w14:solidFill>
              <w14:schemeClr w14:val="tx1"/>
            </w14:solidFill>
          </w14:textFill>
        </w:rPr>
        <w:t>。培育发展一批面向特定行业、特定场景的</w:t>
      </w:r>
      <w:r>
        <w:rPr>
          <w:rFonts w:ascii="仿宋" w:hAnsi="仿宋" w:eastAsia="仿宋"/>
          <w:color w:val="000000" w:themeColor="text1"/>
          <w:sz w:val="32"/>
          <w:szCs w:val="32"/>
          <w:highlight w:val="none"/>
          <w:u w:val="none"/>
          <w14:textFill>
            <w14:solidFill>
              <w14:schemeClr w14:val="tx1"/>
            </w14:solidFill>
          </w14:textFill>
        </w:rPr>
        <w:t>工业互联网平台</w:t>
      </w:r>
      <w:r>
        <w:rPr>
          <w:rFonts w:hint="eastAsia" w:ascii="仿宋" w:hAnsi="仿宋" w:eastAsia="仿宋"/>
          <w:color w:val="000000" w:themeColor="text1"/>
          <w:sz w:val="32"/>
          <w:szCs w:val="32"/>
          <w:highlight w:val="none"/>
          <w:u w:val="none"/>
          <w14:textFill>
            <w14:solidFill>
              <w14:schemeClr w14:val="tx1"/>
            </w14:solidFill>
          </w14:textFill>
        </w:rPr>
        <w:t>，</w:t>
      </w:r>
      <w:r>
        <w:rPr>
          <w:rFonts w:hint="eastAsia" w:ascii="仿宋_GB2312" w:hAnsi="Times New Roman" w:eastAsia="仿宋_GB2312"/>
          <w:color w:val="000000" w:themeColor="text1"/>
          <w:sz w:val="32"/>
          <w:szCs w:val="32"/>
          <w:highlight w:val="none"/>
          <w:u w:val="none"/>
          <w14:textFill>
            <w14:solidFill>
              <w14:schemeClr w14:val="tx1"/>
            </w14:solidFill>
          </w14:textFill>
        </w:rPr>
        <w:t>全面推进中小微企业上云上平台。开展智能制造试点示范，加快培育离散型智能制造、流程型智能制造、网络协同制造、远程运维等智能</w:t>
      </w:r>
      <w:r>
        <w:rPr>
          <w:rFonts w:hint="eastAsia" w:ascii="仿宋_GB2312" w:hAnsi="仿宋_GB2312" w:eastAsia="仿宋_GB2312"/>
          <w:color w:val="000000" w:themeColor="text1"/>
          <w:sz w:val="32"/>
          <w:szCs w:val="32"/>
          <w:highlight w:val="none"/>
          <w:u w:val="none"/>
          <w14:textFill>
            <w14:solidFill>
              <w14:schemeClr w14:val="tx1"/>
            </w14:solidFill>
          </w14:textFill>
        </w:rPr>
        <w:t>制造新模式</w:t>
      </w:r>
      <w:r>
        <w:rPr>
          <w:rFonts w:hint="eastAsia" w:ascii="仿宋_GB2312" w:hAnsi="仿宋_GB2312" w:eastAsia="仿宋_GB2312"/>
          <w:color w:val="auto"/>
          <w:sz w:val="32"/>
          <w:szCs w:val="32"/>
          <w:highlight w:val="none"/>
          <w:u w:val="none"/>
        </w:rPr>
        <w:t>。到2025年，创建</w:t>
      </w:r>
      <w:r>
        <w:rPr>
          <w:rFonts w:hint="eastAsia" w:ascii="仿宋_GB2312" w:hAnsi="仿宋_GB2312" w:eastAsia="仿宋_GB2312"/>
          <w:color w:val="auto"/>
          <w:sz w:val="32"/>
          <w:szCs w:val="32"/>
          <w:highlight w:val="none"/>
          <w:u w:val="none"/>
          <w:lang w:eastAsia="zh-CN"/>
        </w:rPr>
        <w:t>1</w:t>
      </w:r>
      <w:r>
        <w:rPr>
          <w:rFonts w:hint="eastAsia" w:ascii="仿宋_GB2312" w:hAnsi="仿宋_GB2312" w:eastAsia="仿宋_GB2312"/>
          <w:color w:val="auto"/>
          <w:sz w:val="32"/>
          <w:szCs w:val="32"/>
          <w:highlight w:val="none"/>
          <w:u w:val="none"/>
          <w:lang w:val="en-US" w:eastAsia="zh-CN"/>
        </w:rPr>
        <w:t>5</w:t>
      </w:r>
      <w:r>
        <w:rPr>
          <w:rFonts w:hint="eastAsia" w:ascii="仿宋_GB2312" w:hAnsi="仿宋_GB2312" w:eastAsia="仿宋_GB2312"/>
          <w:color w:val="auto"/>
          <w:sz w:val="32"/>
          <w:szCs w:val="32"/>
          <w:highlight w:val="none"/>
          <w:u w:val="none"/>
        </w:rPr>
        <w:t>个市级以上“智能制造”、“互联网+先进制造”示范项目，培育</w:t>
      </w:r>
      <w:r>
        <w:rPr>
          <w:rFonts w:hint="eastAsia" w:ascii="仿宋_GB2312" w:hAnsi="Times New Roman" w:eastAsia="仿宋_GB2312"/>
          <w:color w:val="auto"/>
          <w:sz w:val="32"/>
          <w:szCs w:val="32"/>
          <w:highlight w:val="none"/>
          <w:u w:val="none"/>
        </w:rPr>
        <w:t>10个左右细分行业领域工业互联网平台</w:t>
      </w:r>
      <w:r>
        <w:rPr>
          <w:rFonts w:hint="eastAsia" w:ascii="仿宋_GB2312" w:hAnsi="仿宋_GB2312" w:eastAsia="仿宋_GB2312"/>
          <w:color w:val="auto"/>
          <w:sz w:val="32"/>
          <w:szCs w:val="32"/>
          <w:highlight w:val="none"/>
          <w:u w:val="none"/>
        </w:rPr>
        <w:t>。</w:t>
      </w:r>
    </w:p>
    <w:p w14:paraId="07EA0900">
      <w:pPr>
        <w:snapToGrid w:val="0"/>
        <w:spacing w:line="560" w:lineRule="exact"/>
        <w:ind w:firstLine="643" w:firstLineChars="200"/>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b/>
          <w:color w:val="000000" w:themeColor="text1"/>
          <w:sz w:val="32"/>
          <w:szCs w:val="32"/>
          <w:highlight w:val="none"/>
          <w:u w:val="none"/>
          <w14:textFill>
            <w14:solidFill>
              <w14:schemeClr w14:val="tx1"/>
            </w14:solidFill>
          </w14:textFill>
        </w:rPr>
        <w:t>实施服务制造工程。</w:t>
      </w:r>
      <w:r>
        <w:rPr>
          <w:rFonts w:hint="eastAsia" w:ascii="仿宋_GB2312" w:hAnsi="仿宋_GB2312" w:eastAsia="仿宋_GB2312"/>
          <w:color w:val="000000" w:themeColor="text1"/>
          <w:sz w:val="32"/>
          <w:szCs w:val="32"/>
          <w:highlight w:val="none"/>
          <w:u w:val="none"/>
          <w14:textFill>
            <w14:solidFill>
              <w14:schemeClr w14:val="tx1"/>
            </w14:solidFill>
          </w14:textFill>
        </w:rPr>
        <w:t>大力推广规模化定制生产方式，支持龙头企业建设动态感知、实时响应的网络化开放式个性化定制平台，通过线上、线下多渠道对接用户个性化消费需求。支持大型企业加快推进设计研发、生产制造和供应链管理等生产过程的柔性化改造，开展基于个性化产品的服务模式和商业模式创新。支持制造业企业延伸服务链条，分离非核心但具有比较优势的服务环节，为全社会提供专业化生产性服务，实现从主要提供产品制造向提供产品和服务转变。大力发展共享制造，打造一批汇聚生产设备、专用工具、生产线等专业共享平台，发展多个工厂协同的共享制造服务。引导服务业企业依托市场渠道、信息汇集、客户粘性等优势，加快向制造业嵌入渗透。推动电子商务平台拓展服务功能，</w:t>
      </w:r>
      <w:r>
        <w:rPr>
          <w:rFonts w:ascii="仿宋_GB2312" w:hAnsi="仿宋_GB2312" w:eastAsia="仿宋_GB2312"/>
          <w:color w:val="000000" w:themeColor="text1"/>
          <w:sz w:val="32"/>
          <w:szCs w:val="32"/>
          <w:highlight w:val="none"/>
          <w:u w:val="none"/>
          <w14:textFill>
            <w14:solidFill>
              <w14:schemeClr w14:val="tx1"/>
            </w14:solidFill>
          </w14:textFill>
        </w:rPr>
        <w:t>为</w:t>
      </w:r>
      <w:r>
        <w:rPr>
          <w:rFonts w:hint="eastAsia" w:ascii="仿宋_GB2312" w:hAnsi="仿宋_GB2312" w:eastAsia="仿宋_GB2312"/>
          <w:color w:val="000000" w:themeColor="text1"/>
          <w:sz w:val="32"/>
          <w:szCs w:val="32"/>
          <w:highlight w:val="none"/>
          <w:u w:val="none"/>
          <w14:textFill>
            <w14:solidFill>
              <w14:schemeClr w14:val="tx1"/>
            </w14:solidFill>
          </w14:textFill>
        </w:rPr>
        <w:t>中小微</w:t>
      </w:r>
      <w:r>
        <w:rPr>
          <w:rFonts w:ascii="仿宋_GB2312" w:hAnsi="仿宋_GB2312" w:eastAsia="仿宋_GB2312"/>
          <w:color w:val="000000" w:themeColor="text1"/>
          <w:sz w:val="32"/>
          <w:szCs w:val="32"/>
          <w:highlight w:val="none"/>
          <w:u w:val="none"/>
          <w14:textFill>
            <w14:solidFill>
              <w14:schemeClr w14:val="tx1"/>
            </w14:solidFill>
          </w14:textFill>
        </w:rPr>
        <w:t>制造企业提供研发设计、在线交易、物流服务、融资结算、商检报关、品牌运营等一体化服务。</w:t>
      </w:r>
    </w:p>
    <w:p w14:paraId="30B5EAE3">
      <w:pPr>
        <w:spacing w:line="560" w:lineRule="exact"/>
        <w:ind w:firstLine="643" w:firstLineChars="200"/>
        <w:rPr>
          <w:rFonts w:ascii="仿宋_GB2312" w:hAnsi="宋体" w:eastAsia="仿宋_GB2312"/>
          <w:color w:val="auto"/>
          <w:sz w:val="32"/>
          <w:szCs w:val="32"/>
          <w:highlight w:val="none"/>
          <w:u w:val="none"/>
        </w:rPr>
      </w:pPr>
      <w:r>
        <w:rPr>
          <w:rFonts w:hint="eastAsia" w:ascii="仿宋_GB2312" w:hAnsi="仿宋" w:eastAsia="仿宋_GB2312"/>
          <w:b/>
          <w:color w:val="000000" w:themeColor="text1"/>
          <w:sz w:val="32"/>
          <w:szCs w:val="32"/>
          <w:highlight w:val="none"/>
          <w:u w:val="none"/>
          <w14:textFill>
            <w14:solidFill>
              <w14:schemeClr w14:val="tx1"/>
            </w14:solidFill>
          </w14:textFill>
        </w:rPr>
        <w:t>实施卓越制造工程</w:t>
      </w:r>
      <w:r>
        <w:rPr>
          <w:rFonts w:hint="eastAsia" w:ascii="仿宋_GB2312" w:hAnsi="仿宋" w:eastAsia="仿宋_GB2312"/>
          <w:color w:val="000000" w:themeColor="text1"/>
          <w:sz w:val="32"/>
          <w:szCs w:val="32"/>
          <w:highlight w:val="none"/>
          <w:u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支持企业加大技术改造投入，引进先进生产制造装备，应用新技术、新工艺、</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新材料，不断提高产品制造质量和水平。加快发展工业设计产业，</w:t>
      </w: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鼓励制造业企业内设工业设计中心，不断提高产品外观、功能、结构的设计水平。</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引导企业实施品牌战略，</w:t>
      </w: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将制造优势转化为品牌优势，</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扩大具有自主品牌产品的销售和出口。大力倡导推广精益生产等先进生产管理模式和方法，开展质量标杆和领先企业示范活动，持续改进产品质量；</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引导企业采用国际标准和国外先进标准，参与和承担制定国际国内标准，</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提高企业生产管理标准化水平</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。推动</w:t>
      </w: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企业质量监督智能化，</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提高质量在线监测、在线控制和产品全生命周期质量追溯能力</w:t>
      </w:r>
      <w:r>
        <w:rPr>
          <w:rFonts w:hint="eastAsia" w:ascii="仿宋_GB2312" w:hAnsi="仿宋" w:eastAsia="仿宋_GB2312" w:cs="Mongolian Baiti"/>
          <w:color w:val="auto"/>
          <w:sz w:val="32"/>
          <w:szCs w:val="32"/>
          <w:highlight w:val="none"/>
          <w:u w:val="none"/>
        </w:rPr>
        <w:t>。</w:t>
      </w:r>
      <w:r>
        <w:rPr>
          <w:rFonts w:hint="eastAsia" w:ascii="仿宋_GB2312" w:hAnsi="仿宋_GB2312" w:eastAsia="仿宋_GB2312" w:cs="仿宋_GB2312"/>
          <w:color w:val="auto"/>
          <w:sz w:val="32"/>
          <w:szCs w:val="32"/>
          <w:highlight w:val="none"/>
          <w:u w:val="none"/>
        </w:rPr>
        <w:t>到2025年，争取2个国际和国家专业标准化技术委员会落户，建设1个以上市级工业设计中心，打造一批具有市场影响力的产品品牌。</w:t>
      </w:r>
    </w:p>
    <w:p w14:paraId="52DA0E95">
      <w:pPr>
        <w:snapToGrid w:val="0"/>
        <w:spacing w:line="560" w:lineRule="exact"/>
        <w:ind w:firstLine="643" w:firstLineChars="200"/>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仿宋_GB2312" w:hAnsi="仿宋" w:eastAsia="仿宋_GB2312"/>
          <w:b/>
          <w:color w:val="000000" w:themeColor="text1"/>
          <w:sz w:val="32"/>
          <w:szCs w:val="32"/>
          <w:highlight w:val="none"/>
          <w:u w:val="none"/>
          <w14:textFill>
            <w14:solidFill>
              <w14:schemeClr w14:val="tx1"/>
            </w14:solidFill>
          </w14:textFill>
        </w:rPr>
        <w:t>实施绿色制造工程。</w:t>
      </w:r>
      <w:r>
        <w:rPr>
          <w:rFonts w:hint="eastAsia" w:ascii="仿宋_GB2312" w:hAnsi="仿宋_GB2312" w:eastAsia="仿宋_GB2312"/>
          <w:color w:val="000000" w:themeColor="text1"/>
          <w:sz w:val="32"/>
          <w:szCs w:val="32"/>
          <w:highlight w:val="none"/>
          <w:u w:val="none"/>
          <w14:textFill>
            <w14:solidFill>
              <w14:schemeClr w14:val="tx1"/>
            </w14:solidFill>
          </w14:textFill>
        </w:rPr>
        <w:t>大力推进制造业节能减排，积极推广清洁技术、绿色工艺和低碳生产方式，构建高效、清洁、低碳、循环的绿色制造体系。支持企业推行生态设计，开发绿色产品，显著提升产品节能环保低碳水平，引导绿色生产和绿色消费。组织实施一批清洁生产技术改造项目，建设一批绿色示范工厂、绿色示范企业、绿色示范园区。推广</w:t>
      </w:r>
      <w:r>
        <w:rPr>
          <w:rFonts w:ascii="仿宋_GB2312" w:hAnsi="仿宋_GB2312" w:eastAsia="仿宋_GB2312"/>
          <w:color w:val="000000" w:themeColor="text1"/>
          <w:sz w:val="32"/>
          <w:szCs w:val="32"/>
          <w:highlight w:val="none"/>
          <w:u w:val="none"/>
          <w14:textFill>
            <w14:solidFill>
              <w14:schemeClr w14:val="tx1"/>
            </w14:solidFill>
          </w14:textFill>
        </w:rPr>
        <w:t>绿色供应链管理，</w:t>
      </w:r>
      <w:r>
        <w:rPr>
          <w:rFonts w:hint="eastAsia" w:ascii="仿宋_GB2312" w:hAnsi="仿宋_GB2312" w:eastAsia="仿宋_GB2312"/>
          <w:color w:val="000000" w:themeColor="text1"/>
          <w:sz w:val="32"/>
          <w:szCs w:val="32"/>
          <w:highlight w:val="none"/>
          <w:u w:val="none"/>
          <w14:textFill>
            <w14:solidFill>
              <w14:schemeClr w14:val="tx1"/>
            </w14:solidFill>
          </w14:textFill>
        </w:rPr>
        <w:t>鼓励龙头企业携手上下游企业共建绿色供应链，建立以资源节约、环境友好为导向的采购、生产、营销、回收及物流体系。推行循环生产方式，发展再制造产业，提高大宗工业废旧金属材料、废弃电器电子产品等回收综合利用水平。加大工业垃圾和工业废水无害化处理，实现近零排放。全面</w:t>
      </w:r>
      <w:r>
        <w:rPr>
          <w:rFonts w:ascii="仿宋_GB2312" w:hAnsi="仿宋_GB2312" w:eastAsia="仿宋_GB2312"/>
          <w:color w:val="000000" w:themeColor="text1"/>
          <w:sz w:val="32"/>
          <w:szCs w:val="32"/>
          <w:highlight w:val="none"/>
          <w:u w:val="none"/>
          <w14:textFill>
            <w14:solidFill>
              <w14:schemeClr w14:val="tx1"/>
            </w14:solidFill>
          </w14:textFill>
        </w:rPr>
        <w:t>落实生产者责任延伸制度</w:t>
      </w:r>
      <w:r>
        <w:rPr>
          <w:rFonts w:hint="eastAsia" w:ascii="仿宋_GB2312" w:hAnsi="仿宋_GB2312" w:eastAsia="仿宋_GB2312"/>
          <w:color w:val="000000" w:themeColor="text1"/>
          <w:sz w:val="32"/>
          <w:szCs w:val="32"/>
          <w:highlight w:val="none"/>
          <w:u w:val="none"/>
          <w14:textFill>
            <w14:solidFill>
              <w14:schemeClr w14:val="tx1"/>
            </w14:solidFill>
          </w14:textFill>
        </w:rPr>
        <w:t>，加快淘汰污染排放重、安全隐患多、职业危害大等落后产能。</w:t>
      </w:r>
    </w:p>
    <w:p w14:paraId="4BD8A812">
      <w:pPr>
        <w:snapToGrid w:val="0"/>
        <w:spacing w:line="560" w:lineRule="exact"/>
        <w:ind w:firstLine="640" w:firstLineChars="200"/>
        <w:rPr>
          <w:rFonts w:ascii="仿宋_GB2312" w:hAnsi="仿宋_GB2312" w:eastAsia="仿宋_GB2312"/>
          <w:color w:val="000000" w:themeColor="text1"/>
          <w:sz w:val="32"/>
          <w:szCs w:val="32"/>
          <w:highlight w:val="none"/>
          <w:u w:val="none"/>
          <w14:textFill>
            <w14:solidFill>
              <w14:schemeClr w14:val="tx1"/>
            </w14:solidFill>
          </w14:textFill>
        </w:rPr>
      </w:pPr>
    </w:p>
    <w:tbl>
      <w:tblPr>
        <w:tblStyle w:val="18"/>
        <w:tblW w:w="829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17E24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23360F69">
            <w:pPr>
              <w:tabs>
                <w:tab w:val="left" w:pos="567"/>
                <w:tab w:val="left" w:pos="1230"/>
                <w:tab w:val="left" w:pos="1389"/>
              </w:tabs>
              <w:snapToGrid w:val="0"/>
              <w:spacing w:line="560" w:lineRule="exact"/>
              <w:jc w:val="center"/>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专栏</w:t>
            </w:r>
            <w:r>
              <w:rPr>
                <w:rFonts w:hint="eastAsia" w:ascii="宋体" w:hAnsi="宋体"/>
                <w:b/>
                <w:color w:val="000000" w:themeColor="text1"/>
                <w:sz w:val="24"/>
                <w:szCs w:val="24"/>
                <w:highlight w:val="none"/>
                <w:u w:val="none"/>
                <w:lang w:val="en-US" w:eastAsia="zh-CN"/>
                <w14:textFill>
                  <w14:solidFill>
                    <w14:schemeClr w14:val="tx1"/>
                  </w14:solidFill>
                </w14:textFill>
              </w:rPr>
              <w:t>7</w:t>
            </w:r>
            <w:r>
              <w:rPr>
                <w:rFonts w:hint="eastAsia" w:ascii="宋体" w:hAnsi="宋体"/>
                <w:b/>
                <w:color w:val="000000" w:themeColor="text1"/>
                <w:sz w:val="24"/>
                <w:szCs w:val="24"/>
                <w:highlight w:val="none"/>
                <w:u w:val="none"/>
                <w14:textFill>
                  <w14:solidFill>
                    <w14:schemeClr w14:val="tx1"/>
                  </w14:solidFill>
                </w14:textFill>
              </w:rPr>
              <w:t>：产</w:t>
            </w:r>
            <w:r>
              <w:rPr>
                <w:rFonts w:ascii="宋体" w:hAnsi="宋体"/>
                <w:b/>
                <w:color w:val="000000" w:themeColor="text1"/>
                <w:sz w:val="24"/>
                <w:szCs w:val="24"/>
                <w:highlight w:val="none"/>
                <w:u w:val="none"/>
                <w14:textFill>
                  <w14:solidFill>
                    <w14:schemeClr w14:val="tx1"/>
                  </w14:solidFill>
                </w14:textFill>
              </w:rPr>
              <w:t>业转型升级</w:t>
            </w:r>
            <w:r>
              <w:rPr>
                <w:rFonts w:hint="eastAsia" w:ascii="宋体" w:hAnsi="宋体"/>
                <w:b/>
                <w:color w:val="000000" w:themeColor="text1"/>
                <w:sz w:val="24"/>
                <w:szCs w:val="24"/>
                <w:highlight w:val="none"/>
                <w:u w:val="none"/>
                <w14:textFill>
                  <w14:solidFill>
                    <w14:schemeClr w14:val="tx1"/>
                  </w14:solidFill>
                </w14:textFill>
              </w:rPr>
              <w:t>项目</w:t>
            </w:r>
          </w:p>
          <w:p w14:paraId="68A4E4FE">
            <w:pPr>
              <w:tabs>
                <w:tab w:val="left" w:pos="567"/>
                <w:tab w:val="left" w:pos="1230"/>
                <w:tab w:val="left" w:pos="1389"/>
              </w:tabs>
              <w:snapToGrid w:val="0"/>
              <w:spacing w:line="560" w:lineRule="exact"/>
              <w:ind w:firstLine="361" w:firstLineChars="150"/>
              <w:rPr>
                <w:rFonts w:ascii="宋体" w:hAnsi="宋体"/>
                <w:color w:val="000000" w:themeColor="text1"/>
                <w:kern w:val="0"/>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——智能制造项目:</w:t>
            </w:r>
            <w:r>
              <w:rPr>
                <w:rFonts w:hint="eastAsia" w:ascii="宋体" w:hAnsi="宋体"/>
                <w:color w:val="000000" w:themeColor="text1"/>
                <w:sz w:val="24"/>
                <w:szCs w:val="24"/>
                <w:highlight w:val="none"/>
                <w:u w:val="none"/>
                <w14:textFill>
                  <w14:solidFill>
                    <w14:schemeClr w14:val="tx1"/>
                  </w14:solidFill>
                </w14:textFill>
              </w:rPr>
              <w:t>加</w:t>
            </w:r>
            <w:r>
              <w:rPr>
                <w:rFonts w:ascii="宋体" w:hAnsi="宋体"/>
                <w:color w:val="000000" w:themeColor="text1"/>
                <w:sz w:val="24"/>
                <w:szCs w:val="24"/>
                <w:highlight w:val="none"/>
                <w:u w:val="none"/>
                <w14:textFill>
                  <w14:solidFill>
                    <w14:schemeClr w14:val="tx1"/>
                  </w14:solidFill>
                </w14:textFill>
              </w:rPr>
              <w:t>快推进</w:t>
            </w:r>
            <w:r>
              <w:rPr>
                <w:rFonts w:hint="eastAsia" w:ascii="宋体" w:hAnsi="宋体"/>
                <w:color w:val="000000" w:themeColor="text1"/>
                <w:sz w:val="24"/>
                <w:szCs w:val="24"/>
                <w:highlight w:val="none"/>
                <w:u w:val="none"/>
                <w14:textFill>
                  <w14:solidFill>
                    <w14:schemeClr w14:val="tx1"/>
                  </w14:solidFill>
                </w14:textFill>
              </w:rPr>
              <w:t>血液制品智能工厂</w:t>
            </w:r>
            <w:r>
              <w:rPr>
                <w:rFonts w:hint="eastAsia" w:ascii="宋体" w:hAnsi="宋体"/>
                <w:color w:val="000000" w:themeColor="text1"/>
                <w:sz w:val="24"/>
                <w:szCs w:val="24"/>
                <w:highlight w:val="none"/>
                <w:u w:val="none"/>
                <w:lang w:eastAsia="zh-CN"/>
                <w14:textFill>
                  <w14:solidFill>
                    <w14:schemeClr w14:val="tx1"/>
                  </w14:solidFill>
                </w14:textFill>
              </w:rPr>
              <w:t>、</w:t>
            </w:r>
            <w:r>
              <w:rPr>
                <w:rFonts w:hint="eastAsia" w:ascii="宋体" w:hAnsi="宋体"/>
                <w:color w:val="000000" w:themeColor="text1"/>
                <w:sz w:val="24"/>
                <w:szCs w:val="24"/>
                <w:highlight w:val="none"/>
                <w:u w:val="none"/>
                <w14:textFill>
                  <w14:solidFill>
                    <w14:schemeClr w14:val="tx1"/>
                  </w14:solidFill>
                </w14:textFill>
              </w:rPr>
              <w:t>东</w:t>
            </w:r>
            <w:r>
              <w:rPr>
                <w:rFonts w:ascii="宋体" w:hAnsi="宋体"/>
                <w:color w:val="000000" w:themeColor="text1"/>
                <w:sz w:val="24"/>
                <w:szCs w:val="24"/>
                <w:highlight w:val="none"/>
                <w:u w:val="none"/>
                <w14:textFill>
                  <w14:solidFill>
                    <w14:schemeClr w14:val="tx1"/>
                  </w14:solidFill>
                </w14:textFill>
              </w:rPr>
              <w:t>江智能家居产业园</w:t>
            </w:r>
            <w:r>
              <w:rPr>
                <w:rFonts w:hint="eastAsia" w:ascii="宋体" w:hAnsi="宋体"/>
                <w:color w:val="000000" w:themeColor="text1"/>
                <w:sz w:val="24"/>
                <w:szCs w:val="24"/>
                <w:highlight w:val="none"/>
                <w:u w:val="none"/>
                <w14:textFill>
                  <w14:solidFill>
                    <w14:schemeClr w14:val="tx1"/>
                  </w14:solidFill>
                </w14:textFill>
              </w:rPr>
              <w:t>等项目建设。</w:t>
            </w:r>
          </w:p>
          <w:p w14:paraId="057A6106">
            <w:pPr>
              <w:snapToGrid w:val="0"/>
              <w:spacing w:line="560" w:lineRule="exact"/>
              <w:ind w:firstLine="361" w:firstLineChars="15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——绿</w:t>
            </w:r>
            <w:r>
              <w:rPr>
                <w:rFonts w:ascii="宋体" w:hAnsi="宋体"/>
                <w:b/>
                <w:color w:val="000000" w:themeColor="text1"/>
                <w:sz w:val="24"/>
                <w:szCs w:val="24"/>
                <w:highlight w:val="none"/>
                <w:u w:val="none"/>
                <w14:textFill>
                  <w14:solidFill>
                    <w14:schemeClr w14:val="tx1"/>
                  </w14:solidFill>
                </w14:textFill>
              </w:rPr>
              <w:t>色</w:t>
            </w:r>
            <w:r>
              <w:rPr>
                <w:rFonts w:hint="eastAsia" w:ascii="宋体" w:hAnsi="宋体"/>
                <w:b/>
                <w:color w:val="000000" w:themeColor="text1"/>
                <w:sz w:val="24"/>
                <w:szCs w:val="24"/>
                <w:highlight w:val="none"/>
                <w:u w:val="none"/>
                <w14:textFill>
                  <w14:solidFill>
                    <w14:schemeClr w14:val="tx1"/>
                  </w14:solidFill>
                </w14:textFill>
              </w:rPr>
              <w:t>制造项目:</w:t>
            </w:r>
            <w:r>
              <w:rPr>
                <w:rFonts w:hint="eastAsia" w:ascii="宋体" w:hAnsi="宋体"/>
                <w:color w:val="000000" w:themeColor="text1"/>
                <w:sz w:val="24"/>
                <w:szCs w:val="24"/>
                <w:highlight w:val="none"/>
                <w:u w:val="none"/>
                <w14:textFill>
                  <w14:solidFill>
                    <w14:schemeClr w14:val="tx1"/>
                  </w14:solidFill>
                </w14:textFill>
              </w:rPr>
              <w:t xml:space="preserve"> 加</w:t>
            </w:r>
            <w:r>
              <w:rPr>
                <w:rFonts w:ascii="宋体" w:hAnsi="宋体"/>
                <w:color w:val="000000" w:themeColor="text1"/>
                <w:sz w:val="24"/>
                <w:szCs w:val="24"/>
                <w:highlight w:val="none"/>
                <w:u w:val="none"/>
                <w14:textFill>
                  <w14:solidFill>
                    <w14:schemeClr w14:val="tx1"/>
                  </w14:solidFill>
                </w14:textFill>
              </w:rPr>
              <w:t>快推进</w:t>
            </w:r>
            <w:r>
              <w:rPr>
                <w:rFonts w:hint="eastAsia" w:ascii="宋体" w:hAnsi="宋体"/>
                <w:color w:val="000000" w:themeColor="text1"/>
                <w:sz w:val="24"/>
                <w:szCs w:val="24"/>
                <w:highlight w:val="none"/>
                <w:u w:val="none"/>
                <w14:textFill>
                  <w14:solidFill>
                    <w14:schemeClr w14:val="tx1"/>
                  </w14:solidFill>
                </w14:textFill>
              </w:rPr>
              <w:t>智</w:t>
            </w:r>
            <w:r>
              <w:rPr>
                <w:rFonts w:ascii="宋体" w:hAnsi="宋体"/>
                <w:color w:val="000000" w:themeColor="text1"/>
                <w:sz w:val="24"/>
                <w:szCs w:val="24"/>
                <w:highlight w:val="none"/>
                <w:u w:val="none"/>
                <w14:textFill>
                  <w14:solidFill>
                    <w14:schemeClr w14:val="tx1"/>
                  </w14:solidFill>
                </w14:textFill>
              </w:rPr>
              <w:t>慧能源产业园</w:t>
            </w:r>
            <w:r>
              <w:rPr>
                <w:rFonts w:hint="eastAsia" w:ascii="宋体" w:hAnsi="宋体"/>
                <w:color w:val="000000" w:themeColor="text1"/>
                <w:sz w:val="24"/>
                <w:szCs w:val="24"/>
                <w:highlight w:val="none"/>
                <w:u w:val="none"/>
                <w14:textFill>
                  <w14:solidFill>
                    <w14:schemeClr w14:val="tx1"/>
                  </w14:solidFill>
                </w14:textFill>
              </w:rPr>
              <w:t>、绿</w:t>
            </w:r>
            <w:r>
              <w:rPr>
                <w:rFonts w:ascii="宋体" w:hAnsi="宋体"/>
                <w:color w:val="000000" w:themeColor="text1"/>
                <w:sz w:val="24"/>
                <w:szCs w:val="24"/>
                <w:highlight w:val="none"/>
                <w:u w:val="none"/>
                <w14:textFill>
                  <w14:solidFill>
                    <w14:schemeClr w14:val="tx1"/>
                  </w14:solidFill>
                </w14:textFill>
              </w:rPr>
              <w:t>色数据中心关键基础设施产业基地</w:t>
            </w:r>
            <w:r>
              <w:rPr>
                <w:rFonts w:hint="eastAsia" w:ascii="宋体" w:hAnsi="宋体"/>
                <w:color w:val="000000" w:themeColor="text1"/>
                <w:sz w:val="24"/>
                <w:szCs w:val="24"/>
                <w:highlight w:val="none"/>
                <w:u w:val="none"/>
                <w14:textFill>
                  <w14:solidFill>
                    <w14:schemeClr w14:val="tx1"/>
                  </w14:solidFill>
                </w14:textFill>
              </w:rPr>
              <w:t>、</w:t>
            </w:r>
            <w:r>
              <w:rPr>
                <w:rFonts w:ascii="宋体" w:hAnsi="宋体"/>
                <w:color w:val="000000" w:themeColor="text1"/>
                <w:sz w:val="24"/>
                <w:szCs w:val="24"/>
                <w:highlight w:val="none"/>
                <w:u w:val="none"/>
                <w14:textFill>
                  <w14:solidFill>
                    <w14:schemeClr w14:val="tx1"/>
                  </w14:solidFill>
                </w14:textFill>
              </w:rPr>
              <w:t>安吉</w:t>
            </w:r>
            <w:r>
              <w:rPr>
                <w:rFonts w:hint="eastAsia" w:ascii="宋体" w:hAnsi="宋体"/>
                <w:color w:val="000000" w:themeColor="text1"/>
                <w:sz w:val="24"/>
                <w:szCs w:val="24"/>
                <w:highlight w:val="none"/>
                <w:u w:val="none"/>
                <w14:textFill>
                  <w14:solidFill>
                    <w14:schemeClr w14:val="tx1"/>
                  </w14:solidFill>
                </w14:textFill>
              </w:rPr>
              <w:t>尔</w:t>
            </w:r>
            <w:r>
              <w:rPr>
                <w:rFonts w:ascii="宋体" w:hAnsi="宋体"/>
                <w:color w:val="000000" w:themeColor="text1"/>
                <w:sz w:val="24"/>
                <w:szCs w:val="24"/>
                <w:highlight w:val="none"/>
                <w:u w:val="none"/>
                <w14:textFill>
                  <w14:solidFill>
                    <w14:schemeClr w14:val="tx1"/>
                  </w14:solidFill>
                </w14:textFill>
              </w:rPr>
              <w:t>节能</w:t>
            </w:r>
            <w:r>
              <w:rPr>
                <w:rFonts w:hint="eastAsia" w:ascii="宋体" w:hAnsi="宋体"/>
                <w:color w:val="000000" w:themeColor="text1"/>
                <w:sz w:val="24"/>
                <w:szCs w:val="24"/>
                <w:highlight w:val="none"/>
                <w:u w:val="none"/>
                <w14:textFill>
                  <w14:solidFill>
                    <w14:schemeClr w14:val="tx1"/>
                  </w14:solidFill>
                </w14:textFill>
              </w:rPr>
              <w:t>环</w:t>
            </w:r>
            <w:r>
              <w:rPr>
                <w:rFonts w:ascii="宋体" w:hAnsi="宋体"/>
                <w:color w:val="000000" w:themeColor="text1"/>
                <w:sz w:val="24"/>
                <w:szCs w:val="24"/>
                <w:highlight w:val="none"/>
                <w:u w:val="none"/>
                <w14:textFill>
                  <w14:solidFill>
                    <w14:schemeClr w14:val="tx1"/>
                  </w14:solidFill>
                </w14:textFill>
              </w:rPr>
              <w:t>保产业基地</w:t>
            </w:r>
            <w:r>
              <w:rPr>
                <w:rFonts w:hint="eastAsia" w:ascii="宋体" w:hAnsi="宋体"/>
                <w:color w:val="000000" w:themeColor="text1"/>
                <w:sz w:val="24"/>
                <w:szCs w:val="24"/>
                <w:highlight w:val="none"/>
                <w:u w:val="none"/>
                <w14:textFill>
                  <w14:solidFill>
                    <w14:schemeClr w14:val="tx1"/>
                  </w14:solidFill>
                </w14:textFill>
              </w:rPr>
              <w:t>等项目建设。</w:t>
            </w:r>
          </w:p>
          <w:p w14:paraId="4087887E">
            <w:pPr>
              <w:snapToGrid w:val="0"/>
              <w:spacing w:line="560" w:lineRule="exact"/>
              <w:ind w:firstLine="361" w:firstLineChars="150"/>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——卓越制造项目:</w:t>
            </w:r>
            <w:r>
              <w:rPr>
                <w:rFonts w:hint="eastAsia" w:ascii="宋体" w:hAnsi="宋体"/>
                <w:color w:val="000000" w:themeColor="text1"/>
                <w:sz w:val="24"/>
                <w:szCs w:val="24"/>
                <w:highlight w:val="none"/>
                <w:u w:val="none"/>
                <w14:textFill>
                  <w14:solidFill>
                    <w14:schemeClr w14:val="tx1"/>
                  </w14:solidFill>
                </w14:textFill>
              </w:rPr>
              <w:t xml:space="preserve"> 加</w:t>
            </w:r>
            <w:r>
              <w:rPr>
                <w:rFonts w:ascii="宋体" w:hAnsi="宋体"/>
                <w:color w:val="000000" w:themeColor="text1"/>
                <w:sz w:val="24"/>
                <w:szCs w:val="24"/>
                <w:highlight w:val="none"/>
                <w:u w:val="none"/>
                <w14:textFill>
                  <w14:solidFill>
                    <w14:schemeClr w14:val="tx1"/>
                  </w14:solidFill>
                </w14:textFill>
              </w:rPr>
              <w:t>快推进</w:t>
            </w:r>
            <w:r>
              <w:rPr>
                <w:rFonts w:hint="eastAsia" w:ascii="宋体" w:hAnsi="宋体"/>
                <w:color w:val="000000" w:themeColor="text1"/>
                <w:sz w:val="24"/>
                <w:szCs w:val="24"/>
                <w:highlight w:val="none"/>
                <w:u w:val="none"/>
                <w14:textFill>
                  <w14:solidFill>
                    <w14:schemeClr w14:val="tx1"/>
                  </w14:solidFill>
                </w14:textFill>
              </w:rPr>
              <w:t>光</w:t>
            </w:r>
            <w:r>
              <w:rPr>
                <w:rFonts w:ascii="宋体" w:hAnsi="宋体"/>
                <w:color w:val="000000" w:themeColor="text1"/>
                <w:sz w:val="24"/>
                <w:szCs w:val="24"/>
                <w:highlight w:val="none"/>
                <w:u w:val="none"/>
                <w14:textFill>
                  <w14:solidFill>
                    <w14:schemeClr w14:val="tx1"/>
                  </w14:solidFill>
                </w14:textFill>
              </w:rPr>
              <w:t>明国</w:t>
            </w:r>
            <w:r>
              <w:rPr>
                <w:rFonts w:hint="eastAsia" w:ascii="宋体" w:hAnsi="宋体"/>
                <w:color w:val="000000" w:themeColor="text1"/>
                <w:sz w:val="24"/>
                <w:szCs w:val="24"/>
                <w:highlight w:val="none"/>
                <w:u w:val="none"/>
                <w14:textFill>
                  <w14:solidFill>
                    <w14:schemeClr w14:val="tx1"/>
                  </w14:solidFill>
                </w14:textFill>
              </w:rPr>
              <w:t>际</w:t>
            </w:r>
            <w:r>
              <w:rPr>
                <w:rFonts w:ascii="宋体" w:hAnsi="宋体"/>
                <w:color w:val="000000" w:themeColor="text1"/>
                <w:sz w:val="24"/>
                <w:szCs w:val="24"/>
                <w:highlight w:val="none"/>
                <w:u w:val="none"/>
                <w14:textFill>
                  <w14:solidFill>
                    <w14:schemeClr w14:val="tx1"/>
                  </w14:solidFill>
                </w14:textFill>
              </w:rPr>
              <w:t>汽车城</w:t>
            </w:r>
            <w:r>
              <w:rPr>
                <w:rFonts w:hint="eastAsia" w:ascii="宋体" w:hAnsi="宋体"/>
                <w:color w:val="000000" w:themeColor="text1"/>
                <w:sz w:val="24"/>
                <w:szCs w:val="24"/>
                <w:highlight w:val="none"/>
                <w:u w:val="none"/>
                <w14:textFill>
                  <w14:solidFill>
                    <w14:schemeClr w14:val="tx1"/>
                  </w14:solidFill>
                </w14:textFill>
              </w:rPr>
              <w:t>等项目建设；积</w:t>
            </w:r>
            <w:r>
              <w:rPr>
                <w:rFonts w:ascii="宋体" w:hAnsi="宋体"/>
                <w:color w:val="000000" w:themeColor="text1"/>
                <w:sz w:val="24"/>
                <w:szCs w:val="24"/>
                <w:highlight w:val="none"/>
                <w:u w:val="none"/>
                <w14:textFill>
                  <w14:solidFill>
                    <w14:schemeClr w14:val="tx1"/>
                  </w14:solidFill>
                </w14:textFill>
              </w:rPr>
              <w:t>极设立</w:t>
            </w:r>
            <w:r>
              <w:rPr>
                <w:rFonts w:hint="eastAsia" w:ascii="宋体" w:hAnsi="宋体"/>
                <w:color w:val="000000" w:themeColor="text1"/>
                <w:sz w:val="24"/>
                <w:szCs w:val="24"/>
                <w:highlight w:val="none"/>
                <w:u w:val="none"/>
                <w14:textFill>
                  <w14:solidFill>
                    <w14:schemeClr w14:val="tx1"/>
                  </w14:solidFill>
                </w14:textFill>
              </w:rPr>
              <w:t>市级工业设计中心。</w:t>
            </w:r>
          </w:p>
        </w:tc>
      </w:tr>
    </w:tbl>
    <w:p w14:paraId="59824604">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46" w:name="_Toc53583316"/>
      <w:bookmarkStart w:id="147" w:name="_Toc20873"/>
      <w:bookmarkStart w:id="148" w:name="_Toc56442311"/>
      <w:bookmarkStart w:id="149" w:name="_Toc17533"/>
      <w:bookmarkStart w:id="150" w:name="_Toc23129"/>
      <w:bookmarkStart w:id="151" w:name="_Toc9934"/>
      <w:r>
        <w:rPr>
          <w:rFonts w:hint="eastAsia" w:ascii="楷体_GB2312" w:hAnsi="楷体_GB2312" w:eastAsia="楷体_GB2312" w:cs="楷体_GB2312"/>
          <w:color w:val="000000" w:themeColor="text1"/>
          <w:highlight w:val="none"/>
          <w:u w:val="none"/>
          <w14:textFill>
            <w14:solidFill>
              <w14:schemeClr w14:val="tx1"/>
            </w14:solidFill>
          </w14:textFill>
        </w:rPr>
        <w:t>（三）扶强扶专</w:t>
      </w:r>
      <w:bookmarkEnd w:id="146"/>
      <w:r>
        <w:rPr>
          <w:rFonts w:hint="eastAsia" w:ascii="楷体_GB2312" w:hAnsi="楷体_GB2312" w:eastAsia="楷体_GB2312" w:cs="楷体_GB2312"/>
          <w:color w:val="000000" w:themeColor="text1"/>
          <w:highlight w:val="none"/>
          <w:u w:val="none"/>
          <w14:textFill>
            <w14:solidFill>
              <w14:schemeClr w14:val="tx1"/>
            </w14:solidFill>
          </w14:textFill>
        </w:rPr>
        <w:t>市场经济主体</w:t>
      </w:r>
      <w:bookmarkEnd w:id="147"/>
      <w:bookmarkEnd w:id="148"/>
      <w:bookmarkEnd w:id="149"/>
      <w:bookmarkEnd w:id="150"/>
      <w:bookmarkEnd w:id="151"/>
    </w:p>
    <w:p w14:paraId="451213DD">
      <w:pPr>
        <w:spacing w:line="560" w:lineRule="exact"/>
        <w:ind w:firstLine="640" w:firstLineChars="200"/>
        <w:rPr>
          <w:rFonts w:ascii="仿宋_GB2312" w:hAnsi="仿宋" w:eastAsia="仿宋_GB2312"/>
          <w:color w:val="000000" w:themeColor="text1"/>
          <w:kern w:val="0"/>
          <w:sz w:val="32"/>
          <w:szCs w:val="32"/>
          <w:highlight w:val="none"/>
          <w:u w:val="none"/>
          <w14:textFill>
            <w14:solidFill>
              <w14:schemeClr w14:val="tx1"/>
            </w14:solidFill>
          </w14:textFill>
        </w:rPr>
      </w:pP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加快发展产业生态型主导企业，培育更多的上市企业，壮大专精特新企业，形成大中小企业融通发展的新格局，</w:t>
      </w:r>
      <w:r>
        <w:rPr>
          <w:rFonts w:hint="eastAsia" w:ascii="仿宋_GB2312" w:hAnsi="仿宋_GB2312" w:eastAsia="仿宋_GB2312"/>
          <w:color w:val="000000" w:themeColor="text1"/>
          <w:sz w:val="32"/>
          <w:szCs w:val="32"/>
          <w:highlight w:val="none"/>
          <w:u w:val="none"/>
          <w14:textFill>
            <w14:solidFill>
              <w14:schemeClr w14:val="tx1"/>
            </w14:solidFill>
          </w14:textFill>
        </w:rPr>
        <w:t>带动资源优势、创新优势、生态优势转化为产业优势、经济优势和竞争优势</w:t>
      </w: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w:t>
      </w:r>
    </w:p>
    <w:p w14:paraId="59D7702F">
      <w:pPr>
        <w:spacing w:line="560" w:lineRule="exact"/>
        <w:ind w:firstLine="643" w:firstLineChars="200"/>
        <w:rPr>
          <w:rFonts w:ascii="仿宋_GB2312" w:hAnsi="仿宋_GB2312" w:eastAsia="仿宋_GB2312"/>
          <w:color w:val="auto"/>
          <w:sz w:val="32"/>
          <w:szCs w:val="32"/>
          <w:highlight w:val="none"/>
          <w:u w:val="none"/>
        </w:rPr>
      </w:pPr>
      <w:r>
        <w:rPr>
          <w:rFonts w:hint="eastAsia" w:ascii="仿宋_GB2312" w:hAnsi="仿宋" w:eastAsia="仿宋_GB2312"/>
          <w:b/>
          <w:color w:val="000000" w:themeColor="text1"/>
          <w:sz w:val="32"/>
          <w:szCs w:val="32"/>
          <w:highlight w:val="none"/>
          <w:u w:val="none"/>
          <w14:textFill>
            <w14:solidFill>
              <w14:schemeClr w14:val="tx1"/>
            </w14:solidFill>
          </w14:textFill>
        </w:rPr>
        <w:t>引进发展产业生态主导型企业。</w:t>
      </w:r>
      <w:r>
        <w:rPr>
          <w:rFonts w:hint="eastAsia" w:ascii="仿宋_GB2312" w:hAnsi="仿宋_GB2312" w:eastAsia="仿宋_GB2312"/>
          <w:color w:val="000000" w:themeColor="text1"/>
          <w:sz w:val="32"/>
          <w:szCs w:val="32"/>
          <w:highlight w:val="none"/>
          <w:u w:val="none"/>
          <w14:textFill>
            <w14:solidFill>
              <w14:schemeClr w14:val="tx1"/>
            </w14:solidFill>
          </w14:textFill>
        </w:rPr>
        <w:t>支持现有百亿级企业拓展新产品、投资新项目，并购新业务；加大区内现有龙头企业核心业务回流和引进力度，引进规模以上产业链关联企业；加大</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引进</w:t>
      </w:r>
      <w:r>
        <w:rPr>
          <w:rFonts w:hint="eastAsia" w:ascii="仿宋_GB2312" w:hAnsi="仿宋_GB2312" w:eastAsia="仿宋_GB2312"/>
          <w:color w:val="000000" w:themeColor="text1"/>
          <w:sz w:val="32"/>
          <w:szCs w:val="32"/>
          <w:highlight w:val="none"/>
          <w:u w:val="none"/>
          <w14:textFill>
            <w14:solidFill>
              <w14:schemeClr w14:val="tx1"/>
            </w14:solidFill>
          </w14:textFill>
        </w:rPr>
        <w:t>全球500强、世界一流高科技跨国公司、中国制造业500强、深圳工业百强等产业引领型企业。倡导并购招商模式，支持龙头企业并购国内外关键核心技术企业，并引回光明发展。加大对重点战略性新兴产业发展领域骨干企业的服务，加强在用地供应、企业用工、缓解资金困难、保障供应链等方面的支持，引进培育越来越多的龙头企业在</w:t>
      </w:r>
      <w:r>
        <w:rPr>
          <w:rFonts w:hint="eastAsia" w:ascii="仿宋_GB2312" w:hAnsi="仿宋_GB2312" w:eastAsia="仿宋_GB2312"/>
          <w:color w:val="auto"/>
          <w:sz w:val="32"/>
          <w:szCs w:val="32"/>
          <w:highlight w:val="none"/>
          <w:u w:val="none"/>
        </w:rPr>
        <w:t>光明发展。力争到2025年，打造3-5个百亿级平台引领型企业生态圈，具有较高知名度和自主品牌的百亿级龙头企业达8家，</w:t>
      </w:r>
      <w:r>
        <w:rPr>
          <w:rFonts w:ascii="仿宋_GB2312" w:hAnsi="仿宋_GB2312" w:eastAsia="仿宋_GB2312"/>
          <w:color w:val="auto"/>
          <w:sz w:val="32"/>
          <w:szCs w:val="32"/>
          <w:highlight w:val="none"/>
          <w:u w:val="none"/>
        </w:rPr>
        <w:t>年产</w:t>
      </w:r>
      <w:r>
        <w:rPr>
          <w:rFonts w:hint="eastAsia" w:ascii="仿宋_GB2312" w:hAnsi="仿宋_GB2312" w:eastAsia="仿宋_GB2312"/>
          <w:color w:val="auto"/>
          <w:sz w:val="32"/>
          <w:szCs w:val="32"/>
          <w:highlight w:val="none"/>
          <w:u w:val="none"/>
        </w:rPr>
        <w:t>值超</w:t>
      </w:r>
      <w:r>
        <w:rPr>
          <w:rFonts w:ascii="仿宋_GB2312" w:hAnsi="仿宋_GB2312" w:eastAsia="仿宋_GB2312"/>
          <w:color w:val="auto"/>
          <w:sz w:val="32"/>
          <w:szCs w:val="32"/>
          <w:highlight w:val="none"/>
          <w:u w:val="none"/>
        </w:rPr>
        <w:t>过</w:t>
      </w:r>
      <w:r>
        <w:rPr>
          <w:rFonts w:hint="eastAsia" w:ascii="仿宋_GB2312" w:hAnsi="仿宋_GB2312" w:eastAsia="仿宋_GB2312"/>
          <w:color w:val="auto"/>
          <w:sz w:val="32"/>
          <w:szCs w:val="32"/>
          <w:highlight w:val="none"/>
          <w:u w:val="none"/>
        </w:rPr>
        <w:t>10亿</w:t>
      </w:r>
      <w:r>
        <w:rPr>
          <w:rFonts w:ascii="仿宋_GB2312" w:hAnsi="仿宋_GB2312" w:eastAsia="仿宋_GB2312"/>
          <w:color w:val="auto"/>
          <w:sz w:val="32"/>
          <w:szCs w:val="32"/>
          <w:highlight w:val="none"/>
          <w:u w:val="none"/>
        </w:rPr>
        <w:t>元的企业超过</w:t>
      </w:r>
      <w:r>
        <w:rPr>
          <w:rFonts w:hint="eastAsia" w:ascii="仿宋_GB2312" w:hAnsi="仿宋_GB2312" w:eastAsia="仿宋_GB2312"/>
          <w:color w:val="auto"/>
          <w:sz w:val="32"/>
          <w:szCs w:val="32"/>
          <w:highlight w:val="none"/>
          <w:u w:val="none"/>
          <w:lang w:eastAsia="zh-CN"/>
        </w:rPr>
        <w:t>6</w:t>
      </w:r>
      <w:r>
        <w:rPr>
          <w:rFonts w:hint="eastAsia" w:ascii="仿宋_GB2312" w:hAnsi="仿宋_GB2312" w:eastAsia="仿宋_GB2312"/>
          <w:color w:val="auto"/>
          <w:sz w:val="32"/>
          <w:szCs w:val="32"/>
          <w:highlight w:val="none"/>
          <w:u w:val="none"/>
          <w:lang w:val="en-US" w:eastAsia="zh-CN"/>
        </w:rPr>
        <w:t>0</w:t>
      </w:r>
      <w:r>
        <w:rPr>
          <w:rFonts w:hint="eastAsia" w:ascii="仿宋_GB2312" w:hAnsi="仿宋_GB2312" w:eastAsia="仿宋_GB2312"/>
          <w:color w:val="auto"/>
          <w:sz w:val="32"/>
          <w:szCs w:val="32"/>
          <w:highlight w:val="none"/>
          <w:u w:val="none"/>
        </w:rPr>
        <w:t>家。</w:t>
      </w:r>
    </w:p>
    <w:p w14:paraId="2313087D">
      <w:pPr>
        <w:spacing w:line="560" w:lineRule="exact"/>
        <w:ind w:firstLine="643" w:firstLineChars="200"/>
        <w:rPr>
          <w:rFonts w:ascii="仿宋_GB2312" w:hAnsi="仿宋_GB2312" w:eastAsia="仿宋_GB2312"/>
          <w:color w:val="auto"/>
          <w:sz w:val="32"/>
          <w:szCs w:val="32"/>
          <w:highlight w:val="none"/>
          <w:u w:val="none"/>
        </w:rPr>
      </w:pPr>
      <w:r>
        <w:rPr>
          <w:rFonts w:hint="eastAsia" w:ascii="仿宋_GB2312" w:hAnsi="仿宋" w:eastAsia="仿宋_GB2312"/>
          <w:b/>
          <w:color w:val="000000" w:themeColor="text1"/>
          <w:sz w:val="32"/>
          <w:szCs w:val="32"/>
          <w:highlight w:val="none"/>
          <w:u w:val="none"/>
          <w14:textFill>
            <w14:solidFill>
              <w14:schemeClr w14:val="tx1"/>
            </w14:solidFill>
          </w14:textFill>
        </w:rPr>
        <w:t>实</w:t>
      </w:r>
      <w:r>
        <w:rPr>
          <w:rFonts w:ascii="仿宋_GB2312" w:hAnsi="仿宋" w:eastAsia="仿宋_GB2312"/>
          <w:b/>
          <w:color w:val="000000" w:themeColor="text1"/>
          <w:sz w:val="32"/>
          <w:szCs w:val="32"/>
          <w:highlight w:val="none"/>
          <w:u w:val="none"/>
          <w14:textFill>
            <w14:solidFill>
              <w14:schemeClr w14:val="tx1"/>
            </w14:solidFill>
          </w14:textFill>
        </w:rPr>
        <w:t>施上市企业倍</w:t>
      </w:r>
      <w:r>
        <w:rPr>
          <w:rFonts w:hint="eastAsia" w:ascii="仿宋_GB2312" w:hAnsi="仿宋" w:eastAsia="仿宋_GB2312"/>
          <w:b/>
          <w:color w:val="000000" w:themeColor="text1"/>
          <w:sz w:val="32"/>
          <w:szCs w:val="32"/>
          <w:highlight w:val="none"/>
          <w:u w:val="none"/>
          <w14:textFill>
            <w14:solidFill>
              <w14:schemeClr w14:val="tx1"/>
            </w14:solidFill>
          </w14:textFill>
        </w:rPr>
        <w:t>增</w:t>
      </w:r>
      <w:r>
        <w:rPr>
          <w:rFonts w:ascii="仿宋_GB2312" w:hAnsi="仿宋" w:eastAsia="仿宋_GB2312"/>
          <w:b/>
          <w:color w:val="000000" w:themeColor="text1"/>
          <w:sz w:val="32"/>
          <w:szCs w:val="32"/>
          <w:highlight w:val="none"/>
          <w:u w:val="none"/>
          <w14:textFill>
            <w14:solidFill>
              <w14:schemeClr w14:val="tx1"/>
            </w14:solidFill>
          </w14:textFill>
        </w:rPr>
        <w:t>计划</w:t>
      </w:r>
      <w:r>
        <w:rPr>
          <w:rFonts w:hint="eastAsia" w:ascii="仿宋_GB2312" w:hAnsi="仿宋" w:eastAsia="仿宋_GB2312"/>
          <w:b/>
          <w:color w:val="000000" w:themeColor="text1"/>
          <w:sz w:val="32"/>
          <w:szCs w:val="32"/>
          <w:highlight w:val="none"/>
          <w:u w:val="none"/>
          <w14:textFill>
            <w14:solidFill>
              <w14:schemeClr w14:val="tx1"/>
            </w14:solidFill>
          </w14:textFill>
        </w:rPr>
        <w:t>。</w:t>
      </w:r>
      <w:r>
        <w:rPr>
          <w:rFonts w:hint="eastAsia" w:ascii="仿宋_GB2312" w:hAnsi="仿宋" w:eastAsia="仿宋_GB2312"/>
          <w:color w:val="000000" w:themeColor="text1"/>
          <w:sz w:val="32"/>
          <w:szCs w:val="32"/>
          <w:highlight w:val="none"/>
          <w:u w:val="none"/>
          <w:lang w:eastAsia="zh-CN"/>
          <w14:textFill>
            <w14:solidFill>
              <w14:schemeClr w14:val="tx1"/>
            </w14:solidFill>
          </w14:textFill>
        </w:rPr>
        <w:t>抓牢</w:t>
      </w:r>
      <w:r>
        <w:rPr>
          <w:rFonts w:hint="eastAsia" w:ascii="仿宋_GB2312" w:hAnsi="仿宋_GB2312" w:eastAsia="仿宋_GB2312"/>
          <w:color w:val="000000" w:themeColor="text1"/>
          <w:sz w:val="32"/>
          <w:szCs w:val="32"/>
          <w:highlight w:val="none"/>
          <w:u w:val="none"/>
          <w14:textFill>
            <w14:solidFill>
              <w14:schemeClr w14:val="tx1"/>
            </w14:solidFill>
          </w14:textFill>
        </w:rPr>
        <w:t>资本市场“注册制”改革契机，支持企业充分利用多层次资本市场规范运作和发展壮大，进一步完善拟上市企业培育库，鼓励企业通过IPO、并购重组、借壳上市等方式在国内外资本市场上市。鼓励上市企业利用资本平台再融资，不断提高科技创新能力、扩大再生产，投资并购光明区具有核心竞争力的科技型中小企业。规划建设上市公司总部集聚区，加强</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引进</w:t>
      </w:r>
      <w:r>
        <w:rPr>
          <w:rFonts w:hint="eastAsia" w:ascii="仿宋_GB2312" w:hAnsi="仿宋_GB2312" w:eastAsia="仿宋_GB2312"/>
          <w:color w:val="000000" w:themeColor="text1"/>
          <w:sz w:val="32"/>
          <w:szCs w:val="32"/>
          <w:highlight w:val="none"/>
          <w:u w:val="none"/>
          <w14:textFill>
            <w14:solidFill>
              <w14:schemeClr w14:val="tx1"/>
            </w14:solidFill>
          </w14:textFill>
        </w:rPr>
        <w:t>深圳上市公司总部，拓展已上市公司、拟上市公司发展空间。重点关注拟上市企业成</w:t>
      </w:r>
      <w:r>
        <w:rPr>
          <w:rFonts w:ascii="仿宋_GB2312" w:hAnsi="仿宋_GB2312" w:eastAsia="仿宋_GB2312"/>
          <w:color w:val="000000" w:themeColor="text1"/>
          <w:sz w:val="32"/>
          <w:szCs w:val="32"/>
          <w:highlight w:val="none"/>
          <w:u w:val="none"/>
          <w14:textFill>
            <w14:solidFill>
              <w14:schemeClr w14:val="tx1"/>
            </w14:solidFill>
          </w14:textFill>
        </w:rPr>
        <w:t>长</w:t>
      </w:r>
      <w:r>
        <w:rPr>
          <w:rFonts w:hint="eastAsia" w:ascii="仿宋_GB2312" w:hAnsi="仿宋_GB2312" w:eastAsia="仿宋_GB2312"/>
          <w:color w:val="000000" w:themeColor="text1"/>
          <w:sz w:val="32"/>
          <w:szCs w:val="32"/>
          <w:highlight w:val="none"/>
          <w:u w:val="none"/>
          <w14:textFill>
            <w14:solidFill>
              <w14:schemeClr w14:val="tx1"/>
            </w14:solidFill>
          </w14:textFill>
        </w:rPr>
        <w:t>，及时解决企业在股权改制、资本运营过程中遇到的各种问题。开展赴港上市企业培育</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，实施</w:t>
      </w:r>
      <w:r>
        <w:rPr>
          <w:rFonts w:hint="eastAsia" w:ascii="仿宋_GB2312" w:hAnsi="仿宋_GB2312" w:eastAsia="仿宋_GB2312"/>
          <w:color w:val="000000" w:themeColor="text1"/>
          <w:sz w:val="32"/>
          <w:szCs w:val="32"/>
          <w:highlight w:val="none"/>
          <w:u w:val="none"/>
          <w14:textFill>
            <w14:solidFill>
              <w14:schemeClr w14:val="tx1"/>
            </w14:solidFill>
          </w14:textFill>
        </w:rPr>
        <w:t>企业出</w:t>
      </w:r>
      <w:r>
        <w:rPr>
          <w:rFonts w:hint="eastAsia" w:ascii="仿宋_GB2312" w:hAnsi="仿宋_GB2312" w:eastAsia="仿宋_GB2312"/>
          <w:color w:val="auto"/>
          <w:sz w:val="32"/>
          <w:szCs w:val="32"/>
          <w:highlight w:val="none"/>
          <w:u w:val="none"/>
        </w:rPr>
        <w:t>海计划，举办对接会等活动，支持企业赴国外市场上市。力争2025年上市企业数量超过</w:t>
      </w:r>
      <w:r>
        <w:rPr>
          <w:rFonts w:hint="eastAsia" w:ascii="仿宋_GB2312" w:hAnsi="仿宋_GB2312" w:eastAsia="仿宋_GB2312"/>
          <w:color w:val="auto"/>
          <w:sz w:val="32"/>
          <w:szCs w:val="32"/>
          <w:highlight w:val="none"/>
          <w:u w:val="none"/>
          <w:lang w:eastAsia="zh-CN"/>
        </w:rPr>
        <w:t>5</w:t>
      </w:r>
      <w:r>
        <w:rPr>
          <w:rFonts w:hint="eastAsia" w:ascii="仿宋_GB2312" w:hAnsi="仿宋_GB2312" w:eastAsia="仿宋_GB2312"/>
          <w:color w:val="auto"/>
          <w:sz w:val="32"/>
          <w:szCs w:val="32"/>
          <w:highlight w:val="none"/>
          <w:u w:val="none"/>
          <w:lang w:val="en-US" w:eastAsia="zh-CN"/>
        </w:rPr>
        <w:t>0</w:t>
      </w:r>
      <w:r>
        <w:rPr>
          <w:rFonts w:hint="eastAsia" w:ascii="仿宋_GB2312" w:hAnsi="仿宋_GB2312" w:eastAsia="仿宋_GB2312"/>
          <w:color w:val="auto"/>
          <w:sz w:val="32"/>
          <w:szCs w:val="32"/>
          <w:highlight w:val="none"/>
          <w:u w:val="none"/>
        </w:rPr>
        <w:t>家，打造资本市场“光明板块”。</w:t>
      </w:r>
    </w:p>
    <w:p w14:paraId="3E52A129">
      <w:pPr>
        <w:snapToGrid w:val="0"/>
        <w:spacing w:line="560" w:lineRule="exact"/>
        <w:ind w:firstLine="636" w:firstLineChars="198"/>
        <w:rPr>
          <w:rFonts w:ascii="仿宋_GB2312" w:hAnsi="仿宋_GB2312" w:eastAsia="仿宋_GB2312"/>
          <w:color w:val="auto"/>
          <w:sz w:val="32"/>
          <w:szCs w:val="32"/>
          <w:highlight w:val="none"/>
          <w:u w:val="none"/>
        </w:rPr>
      </w:pPr>
      <w:r>
        <w:rPr>
          <w:rFonts w:hint="eastAsia" w:ascii="仿宋_GB2312" w:hAnsi="仿宋" w:eastAsia="仿宋_GB2312"/>
          <w:b/>
          <w:color w:val="auto"/>
          <w:sz w:val="32"/>
          <w:szCs w:val="32"/>
          <w:highlight w:val="none"/>
          <w:u w:val="none"/>
        </w:rPr>
        <w:t>壮大专精特新中小企业队伍。</w:t>
      </w:r>
      <w:r>
        <w:rPr>
          <w:rFonts w:hint="eastAsia" w:ascii="仿宋_GB2312" w:hAnsi="仿宋_GB2312" w:eastAsia="仿宋_GB2312"/>
          <w:color w:val="auto"/>
          <w:sz w:val="32"/>
          <w:szCs w:val="32"/>
          <w:highlight w:val="none"/>
          <w:u w:val="none"/>
          <w:lang w:eastAsia="zh-CN"/>
        </w:rPr>
        <w:t>强化</w:t>
      </w:r>
      <w:r>
        <w:rPr>
          <w:rFonts w:hint="eastAsia" w:ascii="仿宋_GB2312" w:hAnsi="仿宋_GB2312" w:eastAsia="仿宋_GB2312"/>
          <w:color w:val="auto"/>
          <w:sz w:val="32"/>
          <w:szCs w:val="32"/>
          <w:highlight w:val="none"/>
          <w:u w:val="none"/>
        </w:rPr>
        <w:t>战略性新兴产业专精特新中小企业培育，建立专精特新中小企业培育库，加强对规模以上国家高新技术企业监测分析、分类指导、动态管理，开展政策信息、市场信息的咨询服务，引导中小企业长期专注并深耕于产业链中某个环节或某个产品，形成一批省市级专精特新中小企业。从专精特新中小企业中，遴选出长期专注于制造业某些特定细分产品市场，生产技术或工艺国际领先，单项产品市场占有率位居全球前列的企业，引导</w:t>
      </w:r>
      <w:r>
        <w:rPr>
          <w:rFonts w:hint="eastAsia" w:ascii="仿宋_GB2312" w:hAnsi="仿宋_GB2312" w:eastAsia="仿宋_GB2312"/>
          <w:color w:val="auto"/>
          <w:sz w:val="32"/>
          <w:szCs w:val="32"/>
          <w:highlight w:val="none"/>
          <w:u w:val="none"/>
          <w:lang w:eastAsia="zh-CN"/>
        </w:rPr>
        <w:t>其</w:t>
      </w:r>
      <w:r>
        <w:rPr>
          <w:rFonts w:hint="eastAsia" w:ascii="仿宋_GB2312" w:hAnsi="仿宋_GB2312" w:eastAsia="仿宋_GB2312"/>
          <w:color w:val="auto"/>
          <w:sz w:val="32"/>
          <w:szCs w:val="32"/>
          <w:highlight w:val="none"/>
          <w:u w:val="none"/>
        </w:rPr>
        <w:t>成长为国家制造业单项冠军示范企业、单项冠军培育企业和单项冠军产品。“十四五”期间，力争省市级专精特新</w:t>
      </w:r>
      <w:bookmarkStart w:id="222" w:name="_GoBack"/>
      <w:bookmarkEnd w:id="222"/>
      <w:r>
        <w:rPr>
          <w:rFonts w:hint="eastAsia" w:ascii="仿宋_GB2312" w:hAnsi="仿宋_GB2312" w:eastAsia="仿宋_GB2312"/>
          <w:color w:val="auto"/>
          <w:sz w:val="32"/>
          <w:szCs w:val="32"/>
          <w:highlight w:val="none"/>
          <w:u w:val="none"/>
        </w:rPr>
        <w:t>中小企业</w:t>
      </w:r>
      <w:r>
        <w:rPr>
          <w:rFonts w:hint="eastAsia" w:ascii="仿宋_GB2312" w:hAnsi="仿宋_GB2312" w:eastAsia="仿宋_GB2312"/>
          <w:color w:val="auto"/>
          <w:sz w:val="32"/>
          <w:szCs w:val="32"/>
          <w:highlight w:val="none"/>
          <w:u w:val="none"/>
          <w:lang w:val="en-US" w:eastAsia="zh-CN"/>
        </w:rPr>
        <w:t>达到33</w:t>
      </w:r>
      <w:r>
        <w:rPr>
          <w:rFonts w:hint="eastAsia" w:ascii="仿宋_GB2312" w:hAnsi="仿宋_GB2312" w:eastAsia="仿宋_GB2312"/>
          <w:color w:val="auto"/>
          <w:sz w:val="32"/>
          <w:szCs w:val="32"/>
          <w:highlight w:val="none"/>
          <w:u w:val="none"/>
        </w:rPr>
        <w:t>家、专精特新“小巨人”企业</w:t>
      </w:r>
      <w:r>
        <w:rPr>
          <w:rFonts w:hint="eastAsia" w:ascii="仿宋_GB2312" w:hAnsi="仿宋_GB2312" w:eastAsia="仿宋_GB2312"/>
          <w:color w:val="auto"/>
          <w:sz w:val="32"/>
          <w:szCs w:val="32"/>
          <w:highlight w:val="none"/>
          <w:u w:val="none"/>
          <w:lang w:eastAsia="zh-CN"/>
        </w:rPr>
        <w:t>达到</w:t>
      </w:r>
      <w:r>
        <w:rPr>
          <w:rFonts w:hint="eastAsia" w:ascii="仿宋_GB2312" w:hAnsi="仿宋_GB2312" w:eastAsia="仿宋_GB2312"/>
          <w:color w:val="auto"/>
          <w:sz w:val="32"/>
          <w:szCs w:val="32"/>
          <w:highlight w:val="none"/>
          <w:u w:val="none"/>
          <w:lang w:val="en-US" w:eastAsia="zh-CN"/>
        </w:rPr>
        <w:t>5-7</w:t>
      </w:r>
      <w:r>
        <w:rPr>
          <w:rFonts w:hint="eastAsia" w:ascii="仿宋_GB2312" w:hAnsi="仿宋_GB2312" w:eastAsia="仿宋_GB2312"/>
          <w:color w:val="auto"/>
          <w:sz w:val="32"/>
          <w:szCs w:val="32"/>
          <w:highlight w:val="none"/>
          <w:u w:val="none"/>
        </w:rPr>
        <w:t>家，</w:t>
      </w:r>
      <w:r>
        <w:rPr>
          <w:rFonts w:hint="eastAsia" w:ascii="仿宋_GB2312" w:hAnsi="Times New Roman" w:eastAsia="仿宋_GB2312" w:cs="Times New Roman"/>
          <w:color w:val="auto"/>
          <w:kern w:val="0"/>
          <w:sz w:val="32"/>
          <w:szCs w:val="32"/>
          <w:u w:val="none"/>
        </w:rPr>
        <w:t>制造业单项冠军企业（产品）达2家</w:t>
      </w:r>
      <w:r>
        <w:rPr>
          <w:rFonts w:hint="eastAsia" w:ascii="仿宋_GB2312" w:hAnsi="仿宋_GB2312" w:eastAsia="仿宋_GB2312"/>
          <w:color w:val="auto"/>
          <w:sz w:val="32"/>
          <w:szCs w:val="32"/>
          <w:highlight w:val="none"/>
          <w:u w:val="none"/>
        </w:rPr>
        <w:t>。</w:t>
      </w:r>
    </w:p>
    <w:tbl>
      <w:tblPr>
        <w:tblStyle w:val="17"/>
        <w:tblpPr w:leftFromText="180" w:rightFromText="180" w:vertAnchor="text" w:horzAnchor="margin" w:tblpY="239"/>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227C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8472" w:type="dxa"/>
          </w:tcPr>
          <w:p w14:paraId="74378ACE">
            <w:pPr>
              <w:tabs>
                <w:tab w:val="left" w:pos="567"/>
                <w:tab w:val="left" w:pos="1230"/>
                <w:tab w:val="left" w:pos="1389"/>
              </w:tabs>
              <w:snapToGrid w:val="0"/>
              <w:spacing w:line="560" w:lineRule="exact"/>
              <w:jc w:val="center"/>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专栏</w:t>
            </w:r>
            <w:r>
              <w:rPr>
                <w:rFonts w:hint="eastAsia" w:ascii="宋体" w:hAnsi="宋体"/>
                <w:b/>
                <w:color w:val="000000" w:themeColor="text1"/>
                <w:sz w:val="24"/>
                <w:szCs w:val="24"/>
                <w:highlight w:val="none"/>
                <w:u w:val="none"/>
                <w:lang w:val="en-US" w:eastAsia="zh-CN"/>
                <w14:textFill>
                  <w14:solidFill>
                    <w14:schemeClr w14:val="tx1"/>
                  </w14:solidFill>
                </w14:textFill>
              </w:rPr>
              <w:t>8</w:t>
            </w:r>
            <w:r>
              <w:rPr>
                <w:rFonts w:hint="eastAsia" w:ascii="宋体" w:hAnsi="宋体"/>
                <w:b/>
                <w:color w:val="000000" w:themeColor="text1"/>
                <w:sz w:val="24"/>
                <w:szCs w:val="24"/>
                <w:highlight w:val="none"/>
                <w:u w:val="none"/>
                <w14:textFill>
                  <w14:solidFill>
                    <w14:schemeClr w14:val="tx1"/>
                  </w14:solidFill>
                </w14:textFill>
              </w:rPr>
              <w:t>：总部项目与</w:t>
            </w:r>
            <w:r>
              <w:rPr>
                <w:rFonts w:ascii="宋体" w:hAnsi="宋体"/>
                <w:b/>
                <w:color w:val="000000" w:themeColor="text1"/>
                <w:sz w:val="24"/>
                <w:szCs w:val="24"/>
                <w:highlight w:val="none"/>
                <w:u w:val="none"/>
                <w14:textFill>
                  <w14:solidFill>
                    <w14:schemeClr w14:val="tx1"/>
                  </w14:solidFill>
                </w14:textFill>
              </w:rPr>
              <w:t>中小微企业项目</w:t>
            </w:r>
          </w:p>
          <w:p w14:paraId="0F9FBEA3">
            <w:pPr>
              <w:tabs>
                <w:tab w:val="left" w:pos="567"/>
                <w:tab w:val="left" w:pos="1230"/>
                <w:tab w:val="left" w:pos="1389"/>
              </w:tabs>
              <w:snapToGrid w:val="0"/>
              <w:spacing w:line="560" w:lineRule="exact"/>
              <w:ind w:firstLine="482" w:firstLineChars="200"/>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——平台引领型企业总部项目。</w:t>
            </w:r>
            <w:r>
              <w:rPr>
                <w:rFonts w:hint="eastAsia" w:ascii="宋体" w:hAnsi="宋体"/>
                <w:color w:val="000000" w:themeColor="text1"/>
                <w:sz w:val="24"/>
                <w:szCs w:val="24"/>
                <w:highlight w:val="none"/>
                <w:u w:val="none"/>
                <w14:textFill>
                  <w14:solidFill>
                    <w14:schemeClr w14:val="tx1"/>
                  </w14:solidFill>
                </w14:textFill>
              </w:rPr>
              <w:t>加</w:t>
            </w:r>
            <w:r>
              <w:rPr>
                <w:rFonts w:ascii="宋体" w:hAnsi="宋体"/>
                <w:color w:val="000000" w:themeColor="text1"/>
                <w:sz w:val="24"/>
                <w:szCs w:val="24"/>
                <w:highlight w:val="none"/>
                <w:u w:val="none"/>
                <w14:textFill>
                  <w14:solidFill>
                    <w14:schemeClr w14:val="tx1"/>
                  </w14:solidFill>
                </w14:textFill>
              </w:rPr>
              <w:t>快推进</w:t>
            </w:r>
            <w:r>
              <w:rPr>
                <w:rFonts w:hint="eastAsia" w:ascii="宋体" w:hAnsi="宋体"/>
                <w:color w:val="000000" w:themeColor="text1"/>
                <w:sz w:val="24"/>
                <w:szCs w:val="24"/>
                <w:highlight w:val="none"/>
                <w:u w:val="none"/>
                <w14:textFill>
                  <w14:solidFill>
                    <w14:schemeClr w14:val="tx1"/>
                  </w14:solidFill>
                </w14:textFill>
              </w:rPr>
              <w:t>联合产业总部大楼投资建设项目等项目建设。</w:t>
            </w:r>
          </w:p>
          <w:p w14:paraId="04ED053E">
            <w:pPr>
              <w:tabs>
                <w:tab w:val="left" w:pos="567"/>
                <w:tab w:val="left" w:pos="1230"/>
                <w:tab w:val="left" w:pos="1389"/>
              </w:tabs>
              <w:snapToGrid w:val="0"/>
              <w:spacing w:line="560" w:lineRule="exact"/>
              <w:ind w:firstLine="482" w:firstLineChars="20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——中小微企业建设项目。</w:t>
            </w:r>
            <w:r>
              <w:rPr>
                <w:rFonts w:hint="eastAsia" w:ascii="宋体" w:hAnsi="宋体"/>
                <w:color w:val="000000" w:themeColor="text1"/>
                <w:sz w:val="24"/>
                <w:szCs w:val="24"/>
                <w:highlight w:val="none"/>
                <w:u w:val="none"/>
                <w14:textFill>
                  <w14:solidFill>
                    <w14:schemeClr w14:val="tx1"/>
                  </w14:solidFill>
                </w14:textFill>
              </w:rPr>
              <w:t>推进深港澳科技成果转移转化基地、海归创业园、博士创业园、港澳青年创新园、众创空间、科技孵化器等项目建设。</w:t>
            </w:r>
          </w:p>
        </w:tc>
      </w:tr>
    </w:tbl>
    <w:p w14:paraId="493BBF68">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52" w:name="_Toc53583317"/>
      <w:bookmarkStart w:id="153" w:name="_Toc5867"/>
      <w:bookmarkStart w:id="154" w:name="_Toc3139"/>
      <w:bookmarkStart w:id="155" w:name="_Toc56442312"/>
      <w:bookmarkStart w:id="156" w:name="_Toc18741"/>
      <w:bookmarkStart w:id="157" w:name="_Toc837"/>
      <w:r>
        <w:rPr>
          <w:rFonts w:hint="eastAsia" w:ascii="楷体_GB2312" w:hAnsi="楷体_GB2312" w:eastAsia="楷体_GB2312" w:cs="楷体_GB2312"/>
          <w:color w:val="000000" w:themeColor="text1"/>
          <w:highlight w:val="none"/>
          <w:u w:val="none"/>
          <w14:textFill>
            <w14:solidFill>
              <w14:schemeClr w14:val="tx1"/>
            </w14:solidFill>
          </w14:textFill>
        </w:rPr>
        <w:t>（四）优化产业空间</w:t>
      </w:r>
      <w:bookmarkEnd w:id="152"/>
      <w:r>
        <w:rPr>
          <w:rFonts w:hint="eastAsia" w:ascii="楷体_GB2312" w:hAnsi="楷体_GB2312" w:eastAsia="楷体_GB2312" w:cs="楷体_GB2312"/>
          <w:color w:val="000000" w:themeColor="text1"/>
          <w:highlight w:val="none"/>
          <w:u w:val="none"/>
          <w14:textFill>
            <w14:solidFill>
              <w14:schemeClr w14:val="tx1"/>
            </w14:solidFill>
          </w14:textFill>
        </w:rPr>
        <w:t>布局</w:t>
      </w:r>
      <w:bookmarkEnd w:id="153"/>
      <w:bookmarkEnd w:id="154"/>
      <w:bookmarkEnd w:id="155"/>
      <w:bookmarkEnd w:id="156"/>
      <w:bookmarkEnd w:id="157"/>
    </w:p>
    <w:p w14:paraId="06D033A8">
      <w:pPr>
        <w:snapToGrid w:val="0"/>
        <w:spacing w:line="560" w:lineRule="exact"/>
        <w:ind w:firstLine="633" w:firstLineChars="198"/>
        <w:rPr>
          <w:rFonts w:ascii="仿宋_GB2312" w:hAnsi="仿宋_GB2312" w:eastAsia="仿宋_GB2312" w:cs="仿宋_GB2312"/>
          <w:color w:val="000000" w:themeColor="text1"/>
          <w:sz w:val="32"/>
          <w:szCs w:val="32"/>
          <w:highlight w:val="none"/>
          <w:u w:val="none"/>
          <w14:textFill>
            <w14:solidFill>
              <w14:schemeClr w14:val="tx1"/>
            </w14:solidFill>
          </w14:textFill>
        </w:rPr>
      </w:pPr>
      <w:bookmarkStart w:id="158" w:name="_Toc10170"/>
      <w:bookmarkStart w:id="159" w:name="_Toc22714"/>
      <w:bookmarkStart w:id="160" w:name="_Toc19972"/>
      <w:r>
        <w:rPr>
          <w:rFonts w:hint="eastAsia" w:ascii="仿宋_GB2312" w:hAnsi="仿宋_GB2312" w:eastAsia="仿宋_GB2312"/>
          <w:color w:val="000000" w:themeColor="text1"/>
          <w:sz w:val="32"/>
          <w:szCs w:val="32"/>
          <w:highlight w:val="none"/>
          <w:u w:val="none"/>
          <w14:textFill>
            <w14:solidFill>
              <w14:schemeClr w14:val="tx1"/>
            </w14:solidFill>
          </w14:textFill>
        </w:rPr>
        <w:t>坚定落实深圳打造“两个百平方公里级”高品质产业空间的部署要求，</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坚持极点带动、轴带支撑网络化产业</w:t>
      </w:r>
      <w:r>
        <w:rPr>
          <w:rFonts w:hint="eastAsia" w:ascii="仿宋_GB2312" w:hAnsi="仿宋_GB2312" w:eastAsia="仿宋_GB2312"/>
          <w:color w:val="000000" w:themeColor="text1"/>
          <w:sz w:val="32"/>
          <w:szCs w:val="32"/>
          <w:highlight w:val="none"/>
          <w:u w:val="none"/>
          <w14:textFill>
            <w14:solidFill>
              <w14:schemeClr w14:val="tx1"/>
            </w14:solidFill>
          </w14:textFill>
        </w:rPr>
        <w:t>布局</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，不断优化提升战略性新兴产业空间布局，推动产业空间高效产出与协同错位发展。</w:t>
      </w:r>
      <w:bookmarkEnd w:id="158"/>
      <w:bookmarkEnd w:id="159"/>
      <w:bookmarkEnd w:id="160"/>
    </w:p>
    <w:p w14:paraId="7F14876C">
      <w:pPr>
        <w:snapToGrid w:val="0"/>
        <w:spacing w:line="560" w:lineRule="exact"/>
        <w:ind w:firstLine="636" w:firstLineChars="198"/>
        <w:rPr>
          <w:rFonts w:ascii="仿宋_GB2312" w:hAnsi="宋体" w:eastAsia="仿宋_GB2312" w:cs="黑体"/>
          <w:b/>
          <w:bCs/>
          <w:color w:val="000000" w:themeColor="text1"/>
          <w:sz w:val="32"/>
          <w:szCs w:val="30"/>
          <w:highlight w:val="none"/>
          <w:u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u w:val="none"/>
          <w14:textFill>
            <w14:solidFill>
              <w14:schemeClr w14:val="tx1"/>
            </w14:solidFill>
          </w14:textFill>
        </w:rPr>
        <w:t>打造产业发展“两轴”。</w:t>
      </w:r>
      <w:r>
        <w:rPr>
          <w:rFonts w:hint="eastAsia" w:ascii="仿宋_GB2312" w:hAnsi="仿宋_GB2312" w:eastAsia="仿宋_GB2312" w:cs="仿宋_GB2312"/>
          <w:b w:val="0"/>
          <w:bCs w:val="0"/>
          <w:color w:val="000000" w:themeColor="text1"/>
          <w:sz w:val="32"/>
          <w:szCs w:val="32"/>
          <w:highlight w:val="none"/>
          <w:u w:val="none"/>
          <w:lang w:eastAsia="zh-CN"/>
          <w14:textFill>
            <w14:solidFill>
              <w14:schemeClr w14:val="tx1"/>
            </w14:solidFill>
          </w14:textFill>
        </w:rPr>
        <w:t>围绕“</w:t>
      </w:r>
      <w:r>
        <w:rPr>
          <w:rFonts w:hint="eastAsia" w:ascii="仿宋_GB2312" w:hAnsi="仿宋_GB2312" w:eastAsia="仿宋_GB2312" w:cs="仿宋_GB2312"/>
          <w:b w:val="0"/>
          <w:bCs w:val="0"/>
          <w:color w:val="000000" w:themeColor="text1"/>
          <w:sz w:val="32"/>
          <w:szCs w:val="32"/>
          <w:highlight w:val="none"/>
          <w:u w:val="none"/>
          <w14:textFill>
            <w14:solidFill>
              <w14:schemeClr w14:val="tx1"/>
            </w14:solidFill>
          </w14:textFill>
        </w:rPr>
        <w:t>一心一廊一环六组团”空间格局</w:t>
      </w:r>
      <w:r>
        <w:rPr>
          <w:rFonts w:hint="eastAsia" w:ascii="仿宋_GB2312" w:hAnsi="仿宋_GB2312" w:eastAsia="仿宋_GB2312" w:cs="仿宋_GB2312"/>
          <w:b w:val="0"/>
          <w:bCs w:val="0"/>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深化龙大科技创新发展走廊，构建以松白路、光侨路为主的东、西部两条战略性新兴产业发展轴。充分发挥松白路对接南光高速</w:t>
      </w:r>
      <w:r>
        <w:rPr>
          <w:rFonts w:hint="eastAsia" w:ascii="仿宋_GB2312" w:hAnsi="仿宋_GB2312" w:eastAsia="仿宋_GB2312"/>
          <w:color w:val="000000" w:themeColor="text1"/>
          <w:sz w:val="32"/>
          <w:szCs w:val="32"/>
          <w:highlight w:val="none"/>
          <w:u w:val="none"/>
          <w14:textFill>
            <w14:solidFill>
              <w14:schemeClr w14:val="tx1"/>
            </w14:solidFill>
          </w14:textFill>
        </w:rPr>
        <w:t>优势</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，加快松白路两侧空间的更新改造，加大智能、新材料、</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生物医药</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等战略性新兴产业布局，实现大沙河创新走廊的延伸，</w:t>
      </w:r>
      <w:r>
        <w:rPr>
          <w:rFonts w:hint="eastAsia" w:ascii="仿宋_GB2312" w:hAnsi="仿宋_GB2312" w:eastAsia="仿宋_GB2312"/>
          <w:color w:val="000000" w:themeColor="text1"/>
          <w:sz w:val="32"/>
          <w:szCs w:val="32"/>
          <w:highlight w:val="none"/>
          <w:u w:val="none"/>
          <w14:textFill>
            <w14:solidFill>
              <w14:schemeClr w14:val="tx1"/>
            </w14:solidFill>
          </w14:textFill>
        </w:rPr>
        <w:t>形成以</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前海、深圳湾超级总部、南山高新区、西丽湖国际科教城、光明科学城为极点的广深科技创新走廊主轴。依托光明科学城以及</w:t>
      </w:r>
      <w:r>
        <w:rPr>
          <w:rFonts w:hint="eastAsia" w:ascii="仿宋_GB2312" w:hAnsi="仿宋_GB2312" w:eastAsia="仿宋_GB2312"/>
          <w:color w:val="000000" w:themeColor="text1"/>
          <w:sz w:val="32"/>
          <w:szCs w:val="32"/>
          <w:highlight w:val="none"/>
          <w:u w:val="none"/>
          <w14:textFill>
            <w14:solidFill>
              <w14:schemeClr w14:val="tx1"/>
            </w14:solidFill>
          </w14:textFill>
        </w:rPr>
        <w:t>南太云创谷、光明高新区等产业载体，高标准建设光侨大道，吸引上市企业总部、研发机构和专业机构集聚，布局大科学装置、实验室、科技孵化器、加速器、中试基地、检测中心，发展</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数字经济和高技术服务业，打造国际科技成果创新和转化中心，</w:t>
      </w:r>
      <w:r>
        <w:rPr>
          <w:rFonts w:hint="eastAsia" w:ascii="仿宋_GB2312" w:hAnsi="仿宋_GB2312" w:eastAsia="仿宋_GB2312"/>
          <w:color w:val="000000" w:themeColor="text1"/>
          <w:sz w:val="32"/>
          <w:szCs w:val="32"/>
          <w:highlight w:val="none"/>
          <w:u w:val="none"/>
          <w14:textFill>
            <w14:solidFill>
              <w14:schemeClr w14:val="tx1"/>
            </w14:solidFill>
          </w14:textFill>
        </w:rPr>
        <w:t>形成贯穿整个光明科学城，连接华为、富士康等跨国公司的主干道，打造光明东部“深南大道”。</w:t>
      </w:r>
    </w:p>
    <w:p w14:paraId="20F6064B">
      <w:pPr>
        <w:snapToGrid w:val="0"/>
        <w:spacing w:line="560" w:lineRule="exact"/>
        <w:ind w:firstLine="636" w:firstLineChars="198"/>
        <w:rPr>
          <w:rFonts w:ascii="仿宋_GB2312" w:hAnsi="仿宋_GB2312" w:eastAsia="仿宋_GB2312"/>
          <w:color w:val="auto"/>
          <w:sz w:val="32"/>
          <w:szCs w:val="32"/>
          <w:highlight w:val="none"/>
          <w:u w:val="none"/>
        </w:rPr>
      </w:pPr>
      <w:r>
        <w:rPr>
          <w:rFonts w:hint="eastAsia" w:ascii="仿宋_GB2312" w:hAnsi="仿宋_GB2312" w:eastAsia="仿宋_GB2312"/>
          <w:b/>
          <w:bCs/>
          <w:color w:val="000000" w:themeColor="text1"/>
          <w:sz w:val="32"/>
          <w:szCs w:val="32"/>
          <w:highlight w:val="none"/>
          <w:u w:val="none"/>
          <w14:textFill>
            <w14:solidFill>
              <w14:schemeClr w14:val="tx1"/>
            </w14:solidFill>
          </w14:textFill>
        </w:rPr>
        <w:t>加大产业空间供给。</w:t>
      </w:r>
      <w:r>
        <w:rPr>
          <w:rFonts w:hint="eastAsia" w:ascii="仿宋_GB2312" w:hAnsi="仿宋_GB2312" w:eastAsia="仿宋_GB2312"/>
          <w:color w:val="000000" w:themeColor="text1"/>
          <w:sz w:val="32"/>
          <w:szCs w:val="32"/>
          <w:highlight w:val="none"/>
          <w:u w:val="none"/>
          <w14:textFill>
            <w14:solidFill>
              <w14:schemeClr w14:val="tx1"/>
            </w14:solidFill>
          </w14:textFill>
        </w:rPr>
        <w:t>突出规划引领、利益统筹，充分运用“案例+政策工具箱”的工作机制，加强城市更新、土地整备、产业用地提容</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、旧工业区综合提升等</w:t>
      </w:r>
      <w:r>
        <w:rPr>
          <w:rFonts w:hint="eastAsia" w:ascii="仿宋_GB2312" w:hAnsi="仿宋_GB2312" w:eastAsia="仿宋_GB2312"/>
          <w:color w:val="000000" w:themeColor="text1"/>
          <w:sz w:val="32"/>
          <w:szCs w:val="32"/>
          <w:highlight w:val="none"/>
          <w:u w:val="none"/>
          <w14:textFill>
            <w14:solidFill>
              <w14:schemeClr w14:val="tx1"/>
            </w14:solidFill>
          </w14:textFill>
        </w:rPr>
        <w:t>政策联动，</w:t>
      </w:r>
      <w:r>
        <w:rPr>
          <w:rFonts w:hint="eastAsia" w:ascii="仿宋_GB2312" w:hAnsi="仿宋" w:eastAsia="仿宋_GB2312"/>
          <w:color w:val="000000" w:themeColor="text1"/>
          <w:kern w:val="0"/>
          <w:sz w:val="32"/>
          <w:szCs w:val="32"/>
          <w:highlight w:val="none"/>
          <w:u w:val="none"/>
          <w14:textFill>
            <w14:solidFill>
              <w14:schemeClr w14:val="tx1"/>
            </w14:solidFill>
          </w14:textFill>
        </w:rPr>
        <w:t>推动连片产业用地开发，</w:t>
      </w:r>
      <w:r>
        <w:rPr>
          <w:rFonts w:hint="eastAsia" w:ascii="仿宋_GB2312" w:hAnsi="仿宋_GB2312" w:eastAsia="仿宋_GB2312"/>
          <w:color w:val="000000" w:themeColor="text1"/>
          <w:sz w:val="32"/>
          <w:szCs w:val="32"/>
          <w:highlight w:val="none"/>
          <w:u w:val="none"/>
          <w14:textFill>
            <w14:solidFill>
              <w14:schemeClr w14:val="tx1"/>
            </w14:solidFill>
          </w14:textFill>
        </w:rPr>
        <w:t>加快打造一批龙头企业引领、产业链上下游企业集聚的战略性新兴产业园区。充分</w:t>
      </w:r>
      <w:r>
        <w:rPr>
          <w:rFonts w:hint="eastAsia" w:ascii="仿宋_GB2312" w:hAnsi="黑体" w:eastAsia="仿宋_GB2312"/>
          <w:color w:val="000000" w:themeColor="text1"/>
          <w:sz w:val="32"/>
          <w:szCs w:val="32"/>
          <w:highlight w:val="none"/>
          <w:u w:val="none"/>
          <w14:textFill>
            <w14:solidFill>
              <w14:schemeClr w14:val="tx1"/>
            </w14:solidFill>
          </w14:textFill>
        </w:rPr>
        <w:t>发挥区属国有企业对接市场和政府桥梁作用，</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通过购买产业用地、产业用房或合作建设园中园等模式，</w:t>
      </w:r>
      <w:r>
        <w:rPr>
          <w:rFonts w:hint="eastAsia" w:ascii="仿宋_GB2312" w:hAnsi="仿宋_GB2312" w:eastAsia="仿宋_GB2312"/>
          <w:color w:val="000000" w:themeColor="text1"/>
          <w:sz w:val="32"/>
          <w:szCs w:val="32"/>
          <w:highlight w:val="none"/>
          <w:u w:val="none"/>
          <w14:textFill>
            <w14:solidFill>
              <w14:schemeClr w14:val="tx1"/>
            </w14:solidFill>
          </w14:textFill>
        </w:rPr>
        <w:t>多渠道持续供应建设标准高、运营管理水平高、园区形象好以及成本可控制、房租可预期的</w:t>
      </w:r>
      <w:r>
        <w:rPr>
          <w:rFonts w:hint="eastAsia" w:ascii="仿宋_GB2312" w:hAnsi="仿宋_GB2312" w:eastAsia="仿宋_GB2312"/>
          <w:color w:val="000000" w:themeColor="text1"/>
          <w:sz w:val="32"/>
          <w:szCs w:val="32"/>
          <w:highlight w:val="none"/>
          <w:u w:val="none"/>
          <w:lang w:eastAsia="zh-CN"/>
          <w14:textFill>
            <w14:solidFill>
              <w14:schemeClr w14:val="tx1"/>
            </w14:solidFill>
          </w14:textFill>
        </w:rPr>
        <w:t>产业空间</w:t>
      </w:r>
      <w:r>
        <w:rPr>
          <w:rFonts w:hint="eastAsia" w:ascii="仿宋_GB2312" w:hAnsi="仿宋_GB2312" w:eastAsia="仿宋_GB2312"/>
          <w:color w:val="000000" w:themeColor="text1"/>
          <w:sz w:val="32"/>
          <w:szCs w:val="32"/>
          <w:highlight w:val="none"/>
          <w:u w:val="none"/>
          <w14:textFill>
            <w14:solidFill>
              <w14:schemeClr w14:val="tx1"/>
            </w14:solidFill>
          </w14:textFill>
        </w:rPr>
        <w:t>。进一步完善联</w:t>
      </w:r>
      <w:r>
        <w:rPr>
          <w:rFonts w:hint="eastAsia" w:ascii="仿宋_GB2312" w:hAnsi="黑体" w:eastAsia="仿宋_GB2312"/>
          <w:bCs/>
          <w:color w:val="000000" w:themeColor="text1"/>
          <w:sz w:val="32"/>
          <w:szCs w:val="32"/>
          <w:highlight w:val="none"/>
          <w:u w:val="none"/>
          <w14:textFill>
            <w14:solidFill>
              <w14:schemeClr w14:val="tx1"/>
            </w14:solidFill>
          </w14:textFill>
        </w:rPr>
        <w:t>弹性出让、先租后让、</w:t>
      </w:r>
      <w:r>
        <w:rPr>
          <w:rFonts w:hint="eastAsia" w:ascii="仿宋_GB2312" w:hAnsi="仿宋" w:eastAsia="仿宋_GB2312"/>
          <w:color w:val="000000" w:themeColor="text1"/>
          <w:kern w:val="0"/>
          <w:sz w:val="32"/>
          <w:szCs w:val="32"/>
          <w:highlight w:val="none"/>
          <w:u w:val="none"/>
          <w14:textFill>
            <w14:solidFill>
              <w14:schemeClr w14:val="tx1"/>
            </w14:solidFill>
          </w14:textFill>
        </w:rPr>
        <w:t>长期</w:t>
      </w:r>
      <w:r>
        <w:rPr>
          <w:rFonts w:hint="eastAsia" w:ascii="仿宋_GB2312" w:hAnsi="黑体" w:eastAsia="仿宋_GB2312"/>
          <w:bCs/>
          <w:color w:val="auto"/>
          <w:sz w:val="32"/>
          <w:szCs w:val="32"/>
          <w:highlight w:val="none"/>
          <w:u w:val="none"/>
        </w:rPr>
        <w:t>租赁</w:t>
      </w:r>
      <w:r>
        <w:rPr>
          <w:rFonts w:hint="eastAsia" w:ascii="仿宋_GB2312" w:hAnsi="仿宋_GB2312" w:eastAsia="仿宋_GB2312"/>
          <w:color w:val="auto"/>
          <w:sz w:val="32"/>
          <w:szCs w:val="32"/>
          <w:highlight w:val="none"/>
          <w:u w:val="none"/>
        </w:rPr>
        <w:t>、闲置土地使用权收回等土地政策。到2025年，“两个一千万”工程全面完成，新建改造和存量纳管的高标准产业空间各不少于1000万平方米。</w:t>
      </w:r>
    </w:p>
    <w:p w14:paraId="496F02A2">
      <w:pPr>
        <w:spacing w:line="560" w:lineRule="exact"/>
        <w:ind w:firstLine="643" w:firstLineChars="200"/>
        <w:rPr>
          <w:rFonts w:ascii="仿宋_GB2312" w:hAnsi="仿宋_GB2312" w:eastAsia="仿宋_GB2312"/>
          <w:color w:val="000000" w:themeColor="text1"/>
          <w:sz w:val="32"/>
          <w:szCs w:val="32"/>
          <w:highlight w:val="none"/>
          <w:u w:val="none"/>
          <w14:textFill>
            <w14:solidFill>
              <w14:schemeClr w14:val="tx1"/>
            </w14:solidFill>
          </w14:textFill>
        </w:rPr>
      </w:pPr>
      <w:r>
        <w:rPr>
          <w:rFonts w:hint="eastAsia" w:ascii="仿宋_GB2312" w:eastAsia="仿宋_GB2312"/>
          <w:b/>
          <w:color w:val="000000" w:themeColor="text1"/>
          <w:sz w:val="32"/>
          <w:szCs w:val="32"/>
          <w:highlight w:val="none"/>
          <w:u w:val="none"/>
          <w14:textFill>
            <w14:solidFill>
              <w14:schemeClr w14:val="tx1"/>
            </w14:solidFill>
          </w14:textFill>
        </w:rPr>
        <w:t>再造三大产业集聚基地。</w:t>
      </w:r>
      <w:r>
        <w:rPr>
          <w:rFonts w:hint="eastAsia" w:ascii="仿宋_GB2312" w:hAnsi="仿宋_GB2312" w:eastAsia="仿宋_GB2312"/>
          <w:color w:val="000000" w:themeColor="text1"/>
          <w:sz w:val="32"/>
          <w:szCs w:val="32"/>
          <w:highlight w:val="none"/>
          <w:u w:val="none"/>
          <w14:textFill>
            <w14:solidFill>
              <w14:schemeClr w14:val="tx1"/>
            </w14:solidFill>
          </w14:textFill>
        </w:rPr>
        <w:t>推动钟表产业集聚基地向</w:t>
      </w:r>
      <w:r>
        <w:rPr>
          <w:rFonts w:hint="eastAsia" w:ascii="仿宋_GB2312" w:eastAsia="仿宋_GB2312"/>
          <w:color w:val="000000" w:themeColor="text1"/>
          <w:sz w:val="32"/>
          <w:szCs w:val="32"/>
          <w:highlight w:val="none"/>
          <w:u w:val="none"/>
          <w14:textFill>
            <w14:solidFill>
              <w14:schemeClr w14:val="tx1"/>
            </w14:solidFill>
          </w14:textFill>
        </w:rPr>
        <w:t>工业设计元素与可穿戴设备等消费电子领域延伸，搭建完善的标准、检测、计量、创新创意和知识产权保护体系，</w:t>
      </w:r>
      <w:r>
        <w:rPr>
          <w:rFonts w:ascii="仿宋_GB2312" w:eastAsia="仿宋_GB2312"/>
          <w:color w:val="000000" w:themeColor="text1"/>
          <w:sz w:val="32"/>
          <w:szCs w:val="32"/>
          <w:highlight w:val="none"/>
          <w:u w:val="none"/>
          <w14:textFill>
            <w14:solidFill>
              <w14:schemeClr w14:val="tx1"/>
            </w14:solidFill>
          </w14:textFill>
        </w:rPr>
        <w:t>推动</w:t>
      </w:r>
      <w:r>
        <w:rPr>
          <w:rFonts w:hint="eastAsia" w:ascii="仿宋_GB2312" w:eastAsia="仿宋_GB2312"/>
          <w:color w:val="000000" w:themeColor="text1"/>
          <w:sz w:val="32"/>
          <w:szCs w:val="32"/>
          <w:highlight w:val="none"/>
          <w:u w:val="none"/>
          <w14:textFill>
            <w14:solidFill>
              <w14:schemeClr w14:val="tx1"/>
            </w14:solidFill>
          </w14:textFill>
        </w:rPr>
        <w:t>园</w:t>
      </w:r>
      <w:r>
        <w:rPr>
          <w:rFonts w:ascii="仿宋_GB2312" w:eastAsia="仿宋_GB2312"/>
          <w:color w:val="000000" w:themeColor="text1"/>
          <w:sz w:val="32"/>
          <w:szCs w:val="32"/>
          <w:highlight w:val="none"/>
          <w:u w:val="none"/>
          <w14:textFill>
            <w14:solidFill>
              <w14:schemeClr w14:val="tx1"/>
            </w14:solidFill>
          </w14:textFill>
        </w:rPr>
        <w:t>区</w:t>
      </w:r>
      <w:r>
        <w:rPr>
          <w:rFonts w:hint="eastAsia" w:ascii="仿宋_GB2312" w:eastAsia="仿宋_GB2312"/>
          <w:color w:val="000000" w:themeColor="text1"/>
          <w:sz w:val="32"/>
          <w:szCs w:val="32"/>
          <w:highlight w:val="none"/>
          <w:u w:val="none"/>
          <w14:textFill>
            <w14:solidFill>
              <w14:schemeClr w14:val="tx1"/>
            </w14:solidFill>
          </w14:textFill>
        </w:rPr>
        <w:t>规划</w:t>
      </w:r>
      <w:r>
        <w:rPr>
          <w:rFonts w:ascii="仿宋_GB2312" w:eastAsia="仿宋_GB2312"/>
          <w:color w:val="000000" w:themeColor="text1"/>
          <w:sz w:val="32"/>
          <w:szCs w:val="32"/>
          <w:highlight w:val="none"/>
          <w:u w:val="none"/>
          <w14:textFill>
            <w14:solidFill>
              <w14:schemeClr w14:val="tx1"/>
            </w14:solidFill>
          </w14:textFill>
        </w:rPr>
        <w:t>建设中更</w:t>
      </w:r>
      <w:r>
        <w:rPr>
          <w:rFonts w:hint="eastAsia" w:ascii="仿宋_GB2312" w:eastAsia="仿宋_GB2312"/>
          <w:color w:val="000000" w:themeColor="text1"/>
          <w:sz w:val="32"/>
          <w:szCs w:val="32"/>
          <w:highlight w:val="none"/>
          <w:u w:val="none"/>
          <w:lang w:eastAsia="zh-CN"/>
          <w14:textFill>
            <w14:solidFill>
              <w14:schemeClr w14:val="tx1"/>
            </w14:solidFill>
          </w14:textFill>
        </w:rPr>
        <w:t>加</w:t>
      </w:r>
      <w:r>
        <w:rPr>
          <w:rFonts w:hint="eastAsia" w:ascii="仿宋_GB2312" w:eastAsia="仿宋_GB2312"/>
          <w:color w:val="000000" w:themeColor="text1"/>
          <w:sz w:val="32"/>
          <w:szCs w:val="32"/>
          <w:highlight w:val="none"/>
          <w:u w:val="none"/>
          <w14:textFill>
            <w14:solidFill>
              <w14:schemeClr w14:val="tx1"/>
            </w14:solidFill>
          </w14:textFill>
        </w:rPr>
        <w:t>突出瑞士钟表等</w:t>
      </w:r>
      <w:r>
        <w:rPr>
          <w:rFonts w:ascii="仿宋_GB2312" w:eastAsia="仿宋_GB2312"/>
          <w:color w:val="000000" w:themeColor="text1"/>
          <w:sz w:val="32"/>
          <w:szCs w:val="32"/>
          <w:highlight w:val="none"/>
          <w:u w:val="none"/>
          <w14:textFill>
            <w14:solidFill>
              <w14:schemeClr w14:val="tx1"/>
            </w14:solidFill>
          </w14:textFill>
        </w:rPr>
        <w:t>国际化、</w:t>
      </w:r>
      <w:r>
        <w:rPr>
          <w:rFonts w:hint="eastAsia" w:ascii="仿宋_GB2312" w:eastAsia="仿宋_GB2312"/>
          <w:color w:val="000000" w:themeColor="text1"/>
          <w:sz w:val="32"/>
          <w:szCs w:val="32"/>
          <w:highlight w:val="none"/>
          <w:u w:val="none"/>
          <w14:textFill>
            <w14:solidFill>
              <w14:schemeClr w14:val="tx1"/>
            </w14:solidFill>
          </w14:textFill>
        </w:rPr>
        <w:t>特</w:t>
      </w:r>
      <w:r>
        <w:rPr>
          <w:rFonts w:ascii="仿宋_GB2312" w:eastAsia="仿宋_GB2312"/>
          <w:color w:val="000000" w:themeColor="text1"/>
          <w:sz w:val="32"/>
          <w:szCs w:val="32"/>
          <w:highlight w:val="none"/>
          <w:u w:val="none"/>
          <w14:textFill>
            <w14:solidFill>
              <w14:schemeClr w14:val="tx1"/>
            </w14:solidFill>
          </w14:textFill>
        </w:rPr>
        <w:t>色化</w:t>
      </w:r>
      <w:r>
        <w:rPr>
          <w:rFonts w:hint="eastAsia" w:ascii="仿宋_GB2312" w:eastAsia="仿宋_GB2312"/>
          <w:color w:val="000000" w:themeColor="text1"/>
          <w:sz w:val="32"/>
          <w:szCs w:val="32"/>
          <w:highlight w:val="none"/>
          <w:u w:val="none"/>
          <w14:textFill>
            <w14:solidFill>
              <w14:schemeClr w14:val="tx1"/>
            </w14:solidFill>
          </w14:textFill>
        </w:rPr>
        <w:t>文化元素，加</w:t>
      </w:r>
      <w:r>
        <w:rPr>
          <w:rFonts w:ascii="仿宋_GB2312" w:eastAsia="仿宋_GB2312"/>
          <w:color w:val="000000" w:themeColor="text1"/>
          <w:sz w:val="32"/>
          <w:szCs w:val="32"/>
          <w:highlight w:val="none"/>
          <w:u w:val="none"/>
          <w14:textFill>
            <w14:solidFill>
              <w14:schemeClr w14:val="tx1"/>
            </w14:solidFill>
          </w14:textFill>
        </w:rPr>
        <w:t>快</w:t>
      </w:r>
      <w:r>
        <w:rPr>
          <w:rFonts w:hint="eastAsia" w:ascii="仿宋_GB2312" w:eastAsia="仿宋_GB2312"/>
          <w:color w:val="000000" w:themeColor="text1"/>
          <w:sz w:val="32"/>
          <w:szCs w:val="32"/>
          <w:highlight w:val="none"/>
          <w:u w:val="none"/>
          <w14:textFill>
            <w14:solidFill>
              <w14:schemeClr w14:val="tx1"/>
            </w14:solidFill>
          </w14:textFill>
        </w:rPr>
        <w:t>时间谷产业园区建设，</w:t>
      </w:r>
      <w:r>
        <w:rPr>
          <w:rFonts w:ascii="仿宋_GB2312" w:eastAsia="仿宋_GB2312"/>
          <w:color w:val="000000" w:themeColor="text1"/>
          <w:sz w:val="32"/>
          <w:szCs w:val="32"/>
          <w:highlight w:val="none"/>
          <w:u w:val="none"/>
          <w14:textFill>
            <w14:solidFill>
              <w14:schemeClr w14:val="tx1"/>
            </w14:solidFill>
          </w14:textFill>
        </w:rPr>
        <w:t>打造</w:t>
      </w:r>
      <w:r>
        <w:rPr>
          <w:rFonts w:hint="eastAsia" w:ascii="仿宋_GB2312" w:eastAsia="仿宋_GB2312"/>
          <w:color w:val="000000" w:themeColor="text1"/>
          <w:sz w:val="32"/>
          <w:szCs w:val="32"/>
          <w:highlight w:val="none"/>
          <w:u w:val="none"/>
          <w14:textFill>
            <w14:solidFill>
              <w14:schemeClr w14:val="tx1"/>
            </w14:solidFill>
          </w14:textFill>
        </w:rPr>
        <w:t>具</w:t>
      </w:r>
      <w:r>
        <w:rPr>
          <w:rFonts w:ascii="仿宋_GB2312" w:eastAsia="仿宋_GB2312"/>
          <w:color w:val="000000" w:themeColor="text1"/>
          <w:sz w:val="32"/>
          <w:szCs w:val="32"/>
          <w:highlight w:val="none"/>
          <w:u w:val="none"/>
          <w14:textFill>
            <w14:solidFill>
              <w14:schemeClr w14:val="tx1"/>
            </w14:solidFill>
          </w14:textFill>
        </w:rPr>
        <w:t>有国际风情的</w:t>
      </w:r>
      <w:r>
        <w:rPr>
          <w:rFonts w:hint="eastAsia" w:ascii="仿宋_GB2312" w:eastAsia="仿宋_GB2312"/>
          <w:color w:val="000000" w:themeColor="text1"/>
          <w:sz w:val="32"/>
          <w:szCs w:val="32"/>
          <w:highlight w:val="none"/>
          <w:u w:val="none"/>
          <w14:textFill>
            <w14:solidFill>
              <w14:schemeClr w14:val="tx1"/>
            </w14:solidFill>
          </w14:textFill>
        </w:rPr>
        <w:t>文</w:t>
      </w:r>
      <w:r>
        <w:rPr>
          <w:rFonts w:ascii="仿宋_GB2312" w:eastAsia="仿宋_GB2312"/>
          <w:color w:val="000000" w:themeColor="text1"/>
          <w:sz w:val="32"/>
          <w:szCs w:val="32"/>
          <w:highlight w:val="none"/>
          <w:u w:val="none"/>
          <w14:textFill>
            <w14:solidFill>
              <w14:schemeClr w14:val="tx1"/>
            </w14:solidFill>
          </w14:textFill>
        </w:rPr>
        <w:t>化</w:t>
      </w:r>
      <w:r>
        <w:rPr>
          <w:rFonts w:hint="eastAsia" w:ascii="仿宋_GB2312" w:eastAsia="仿宋_GB2312"/>
          <w:color w:val="000000" w:themeColor="text1"/>
          <w:sz w:val="32"/>
          <w:szCs w:val="32"/>
          <w:highlight w:val="none"/>
          <w:u w:val="none"/>
          <w14:textFill>
            <w14:solidFill>
              <w14:schemeClr w14:val="tx1"/>
            </w14:solidFill>
          </w14:textFill>
        </w:rPr>
        <w:t>创意</w:t>
      </w:r>
      <w:r>
        <w:rPr>
          <w:rFonts w:ascii="仿宋_GB2312" w:eastAsia="仿宋_GB2312"/>
          <w:color w:val="000000" w:themeColor="text1"/>
          <w:sz w:val="32"/>
          <w:szCs w:val="32"/>
          <w:highlight w:val="none"/>
          <w:u w:val="none"/>
          <w14:textFill>
            <w14:solidFill>
              <w14:schemeClr w14:val="tx1"/>
            </w14:solidFill>
          </w14:textFill>
        </w:rPr>
        <w:t>产业园</w:t>
      </w:r>
      <w:r>
        <w:rPr>
          <w:rFonts w:hint="eastAsia" w:ascii="仿宋_GB2312" w:eastAsia="仿宋_GB2312"/>
          <w:color w:val="000000" w:themeColor="text1"/>
          <w:sz w:val="32"/>
          <w:szCs w:val="32"/>
          <w:highlight w:val="none"/>
          <w:u w:val="none"/>
          <w14:textFill>
            <w14:solidFill>
              <w14:schemeClr w14:val="tx1"/>
            </w14:solidFill>
          </w14:textFill>
        </w:rPr>
        <w:t>。加快内衣产业集聚基地对时尚服饰总部企业和设计企业的引入，完善众创空间、展示中心、酒店、咖啡馆等配套设施，</w:t>
      </w:r>
      <w:r>
        <w:rPr>
          <w:rFonts w:hint="eastAsia" w:ascii="仿宋_GB2312" w:hAnsi="Times New Roman" w:eastAsia="仿宋_GB2312"/>
          <w:color w:val="000000" w:themeColor="text1"/>
          <w:sz w:val="32"/>
          <w:szCs w:val="32"/>
          <w:highlight w:val="none"/>
          <w:u w:val="none"/>
          <w14:textFill>
            <w14:solidFill>
              <w14:schemeClr w14:val="tx1"/>
            </w14:solidFill>
          </w14:textFill>
        </w:rPr>
        <w:t>形成设计密集型时尚创意产业基地。推动模具基地整体环</w:t>
      </w:r>
      <w:r>
        <w:rPr>
          <w:rFonts w:ascii="仿宋_GB2312" w:hAnsi="Times New Roman" w:eastAsia="仿宋_GB2312"/>
          <w:color w:val="000000" w:themeColor="text1"/>
          <w:sz w:val="32"/>
          <w:szCs w:val="32"/>
          <w:highlight w:val="none"/>
          <w:u w:val="none"/>
          <w14:textFill>
            <w14:solidFill>
              <w14:schemeClr w14:val="tx1"/>
            </w14:solidFill>
          </w14:textFill>
        </w:rPr>
        <w:t>境</w:t>
      </w:r>
      <w:r>
        <w:rPr>
          <w:rFonts w:hint="eastAsia" w:ascii="仿宋_GB2312" w:hAnsi="Times New Roman" w:eastAsia="仿宋_GB2312"/>
          <w:color w:val="000000" w:themeColor="text1"/>
          <w:sz w:val="32"/>
          <w:szCs w:val="32"/>
          <w:highlight w:val="none"/>
          <w:u w:val="none"/>
          <w14:textFill>
            <w14:solidFill>
              <w14:schemeClr w14:val="tx1"/>
            </w14:solidFill>
          </w14:textFill>
        </w:rPr>
        <w:t>提升，建</w:t>
      </w:r>
      <w:r>
        <w:rPr>
          <w:rFonts w:ascii="仿宋_GB2312" w:hAnsi="Times New Roman" w:eastAsia="仿宋_GB2312"/>
          <w:color w:val="000000" w:themeColor="text1"/>
          <w:sz w:val="32"/>
          <w:szCs w:val="32"/>
          <w:highlight w:val="none"/>
          <w:u w:val="none"/>
          <w14:textFill>
            <w14:solidFill>
              <w14:schemeClr w14:val="tx1"/>
            </w14:solidFill>
          </w14:textFill>
        </w:rPr>
        <w:t>设</w:t>
      </w:r>
      <w:r>
        <w:rPr>
          <w:rFonts w:hint="eastAsia" w:ascii="仿宋_GB2312" w:hAnsi="Times New Roman" w:eastAsia="仿宋_GB2312"/>
          <w:color w:val="000000" w:themeColor="text1"/>
          <w:sz w:val="32"/>
          <w:szCs w:val="32"/>
          <w:highlight w:val="none"/>
          <w:u w:val="none"/>
          <w14:textFill>
            <w14:solidFill>
              <w14:schemeClr w14:val="tx1"/>
            </w14:solidFill>
          </w14:textFill>
        </w:rPr>
        <w:t>模具研发设计、加工、检测、展示交易及技术培训中心等公共服务平台</w:t>
      </w:r>
      <w:r>
        <w:rPr>
          <w:rFonts w:hint="eastAsia" w:ascii="仿宋_GB2312" w:hAnsi="仿宋_GB2312" w:eastAsia="仿宋_GB2312"/>
          <w:color w:val="000000" w:themeColor="text1"/>
          <w:sz w:val="32"/>
          <w:szCs w:val="32"/>
          <w:highlight w:val="none"/>
          <w:u w:val="none"/>
          <w14:textFill>
            <w14:solidFill>
              <w14:schemeClr w14:val="tx1"/>
            </w14:solidFill>
          </w14:textFill>
        </w:rPr>
        <w:t>，</w:t>
      </w:r>
      <w:r>
        <w:rPr>
          <w:rFonts w:hint="eastAsia" w:ascii="仿宋_GB2312" w:hAnsi="Times New Roman" w:eastAsia="仿宋_GB2312"/>
          <w:color w:val="000000" w:themeColor="text1"/>
          <w:sz w:val="32"/>
          <w:szCs w:val="32"/>
          <w:highlight w:val="none"/>
          <w:u w:val="none"/>
          <w14:textFill>
            <w14:solidFill>
              <w14:schemeClr w14:val="tx1"/>
            </w14:solidFill>
          </w14:textFill>
        </w:rPr>
        <w:t>完</w:t>
      </w:r>
      <w:r>
        <w:rPr>
          <w:rFonts w:ascii="仿宋_GB2312" w:hAnsi="Times New Roman" w:eastAsia="仿宋_GB2312"/>
          <w:color w:val="000000" w:themeColor="text1"/>
          <w:sz w:val="32"/>
          <w:szCs w:val="32"/>
          <w:highlight w:val="none"/>
          <w:u w:val="none"/>
          <w14:textFill>
            <w14:solidFill>
              <w14:schemeClr w14:val="tx1"/>
            </w14:solidFill>
          </w14:textFill>
        </w:rPr>
        <w:t>善</w:t>
      </w:r>
      <w:r>
        <w:rPr>
          <w:rFonts w:hint="eastAsia" w:ascii="仿宋_GB2312" w:hAnsi="Times New Roman" w:eastAsia="仿宋_GB2312"/>
          <w:color w:val="000000" w:themeColor="text1"/>
          <w:sz w:val="32"/>
          <w:szCs w:val="32"/>
          <w:highlight w:val="none"/>
          <w:u w:val="none"/>
          <w14:textFill>
            <w14:solidFill>
              <w14:schemeClr w14:val="tx1"/>
            </w14:solidFill>
          </w14:textFill>
        </w:rPr>
        <w:t>公共服务及配套设施等，</w:t>
      </w:r>
      <w:r>
        <w:rPr>
          <w:rFonts w:hint="eastAsia" w:ascii="仿宋_GB2312" w:hAnsi="仿宋_GB2312" w:eastAsia="仿宋_GB2312"/>
          <w:color w:val="000000" w:themeColor="text1"/>
          <w:sz w:val="32"/>
          <w:szCs w:val="32"/>
          <w:highlight w:val="none"/>
          <w:u w:val="none"/>
          <w14:textFill>
            <w14:solidFill>
              <w14:schemeClr w14:val="tx1"/>
            </w14:solidFill>
          </w14:textFill>
        </w:rPr>
        <w:t>打</w:t>
      </w:r>
      <w:r>
        <w:rPr>
          <w:rFonts w:ascii="仿宋_GB2312" w:hAnsi="仿宋_GB2312" w:eastAsia="仿宋_GB2312"/>
          <w:color w:val="000000" w:themeColor="text1"/>
          <w:sz w:val="32"/>
          <w:szCs w:val="32"/>
          <w:highlight w:val="none"/>
          <w:u w:val="none"/>
          <w14:textFill>
            <w14:solidFill>
              <w14:schemeClr w14:val="tx1"/>
            </w14:solidFill>
          </w14:textFill>
        </w:rPr>
        <w:t>造</w:t>
      </w:r>
      <w:r>
        <w:rPr>
          <w:rFonts w:hint="eastAsia" w:ascii="仿宋_GB2312" w:hAnsi="仿宋_GB2312" w:eastAsia="仿宋_GB2312"/>
          <w:color w:val="000000" w:themeColor="text1"/>
          <w:sz w:val="32"/>
          <w:szCs w:val="32"/>
          <w:highlight w:val="none"/>
          <w:u w:val="none"/>
          <w14:textFill>
            <w14:solidFill>
              <w14:schemeClr w14:val="tx1"/>
            </w14:solidFill>
          </w14:textFill>
        </w:rPr>
        <w:t>传</w:t>
      </w:r>
      <w:r>
        <w:rPr>
          <w:rFonts w:ascii="仿宋_GB2312" w:hAnsi="仿宋_GB2312" w:eastAsia="仿宋_GB2312"/>
          <w:color w:val="000000" w:themeColor="text1"/>
          <w:sz w:val="32"/>
          <w:szCs w:val="32"/>
          <w:highlight w:val="none"/>
          <w:u w:val="none"/>
          <w14:textFill>
            <w14:solidFill>
              <w14:schemeClr w14:val="tx1"/>
            </w14:solidFill>
          </w14:textFill>
        </w:rPr>
        <w:t>统与现代</w:t>
      </w:r>
      <w:r>
        <w:rPr>
          <w:rFonts w:hint="eastAsia" w:ascii="仿宋_GB2312" w:hAnsi="仿宋_GB2312" w:eastAsia="仿宋_GB2312"/>
          <w:color w:val="000000" w:themeColor="text1"/>
          <w:sz w:val="32"/>
          <w:szCs w:val="32"/>
          <w:highlight w:val="none"/>
          <w:u w:val="none"/>
          <w14:textFill>
            <w14:solidFill>
              <w14:schemeClr w14:val="tx1"/>
            </w14:solidFill>
          </w14:textFill>
        </w:rPr>
        <w:t>相</w:t>
      </w:r>
      <w:r>
        <w:rPr>
          <w:rFonts w:ascii="仿宋_GB2312" w:hAnsi="仿宋_GB2312" w:eastAsia="仿宋_GB2312"/>
          <w:color w:val="000000" w:themeColor="text1"/>
          <w:sz w:val="32"/>
          <w:szCs w:val="32"/>
          <w:highlight w:val="none"/>
          <w:u w:val="none"/>
          <w14:textFill>
            <w14:solidFill>
              <w14:schemeClr w14:val="tx1"/>
            </w14:solidFill>
          </w14:textFill>
        </w:rPr>
        <w:t>结合的</w:t>
      </w:r>
      <w:r>
        <w:rPr>
          <w:rFonts w:hint="eastAsia" w:ascii="仿宋_GB2312" w:hAnsi="仿宋_GB2312" w:eastAsia="仿宋_GB2312"/>
          <w:color w:val="000000" w:themeColor="text1"/>
          <w:sz w:val="32"/>
          <w:szCs w:val="32"/>
          <w:highlight w:val="none"/>
          <w:u w:val="none"/>
          <w14:textFill>
            <w14:solidFill>
              <w14:schemeClr w14:val="tx1"/>
            </w14:solidFill>
          </w14:textFill>
        </w:rPr>
        <w:t>智</w:t>
      </w:r>
      <w:r>
        <w:rPr>
          <w:rFonts w:ascii="仿宋_GB2312" w:hAnsi="仿宋_GB2312" w:eastAsia="仿宋_GB2312"/>
          <w:color w:val="000000" w:themeColor="text1"/>
          <w:sz w:val="32"/>
          <w:szCs w:val="32"/>
          <w:highlight w:val="none"/>
          <w:u w:val="none"/>
          <w14:textFill>
            <w14:solidFill>
              <w14:schemeClr w14:val="tx1"/>
            </w14:solidFill>
          </w14:textFill>
        </w:rPr>
        <w:t>慧</w:t>
      </w:r>
      <w:r>
        <w:rPr>
          <w:rFonts w:hint="eastAsia" w:ascii="仿宋_GB2312" w:hAnsi="仿宋_GB2312" w:eastAsia="仿宋_GB2312"/>
          <w:color w:val="000000" w:themeColor="text1"/>
          <w:sz w:val="32"/>
          <w:szCs w:val="32"/>
          <w:highlight w:val="none"/>
          <w:u w:val="none"/>
          <w14:textFill>
            <w14:solidFill>
              <w14:schemeClr w14:val="tx1"/>
            </w14:solidFill>
          </w14:textFill>
        </w:rPr>
        <w:t>产</w:t>
      </w:r>
      <w:r>
        <w:rPr>
          <w:rFonts w:ascii="仿宋_GB2312" w:hAnsi="仿宋_GB2312" w:eastAsia="仿宋_GB2312"/>
          <w:color w:val="000000" w:themeColor="text1"/>
          <w:sz w:val="32"/>
          <w:szCs w:val="32"/>
          <w:highlight w:val="none"/>
          <w:u w:val="none"/>
          <w14:textFill>
            <w14:solidFill>
              <w14:schemeClr w14:val="tx1"/>
            </w14:solidFill>
          </w14:textFill>
        </w:rPr>
        <w:t>业园区</w:t>
      </w:r>
      <w:r>
        <w:rPr>
          <w:rFonts w:hint="eastAsia" w:ascii="仿宋_GB2312" w:hAnsi="Times New Roman" w:eastAsia="仿宋_GB2312"/>
          <w:color w:val="000000" w:themeColor="text1"/>
          <w:sz w:val="32"/>
          <w:szCs w:val="32"/>
          <w:highlight w:val="none"/>
          <w:u w:val="none"/>
          <w14:textFill>
            <w14:solidFill>
              <w14:schemeClr w14:val="tx1"/>
            </w14:solidFill>
          </w14:textFill>
        </w:rPr>
        <w:t>。</w:t>
      </w:r>
    </w:p>
    <w:p w14:paraId="34057905">
      <w:pPr>
        <w:spacing w:line="560" w:lineRule="exact"/>
        <w:ind w:firstLine="630" w:firstLineChars="196"/>
        <w:rPr>
          <w:rFonts w:ascii="仿宋_GB2312" w:hAnsi="Mongolian Baiti" w:eastAsia="仿宋_GB2312" w:cs="Mongolian Baiti"/>
          <w:color w:val="000000" w:themeColor="text1"/>
          <w:sz w:val="32"/>
          <w:szCs w:val="32"/>
          <w:highlight w:val="none"/>
          <w:u w:val="none"/>
          <w14:textFill>
            <w14:solidFill>
              <w14:schemeClr w14:val="tx1"/>
            </w14:solidFill>
          </w14:textFill>
        </w:rPr>
      </w:pPr>
      <w:r>
        <w:rPr>
          <w:rFonts w:hint="eastAsia" w:ascii="仿宋_GB2312" w:eastAsia="仿宋_GB2312"/>
          <w:b/>
          <w:color w:val="000000" w:themeColor="text1"/>
          <w:sz w:val="32"/>
          <w:szCs w:val="32"/>
          <w:highlight w:val="none"/>
          <w:u w:val="none"/>
          <w14:textFill>
            <w14:solidFill>
              <w14:schemeClr w14:val="tx1"/>
            </w14:solidFill>
          </w14:textFill>
        </w:rPr>
        <w:t>积极稳妥推进城市更新</w:t>
      </w:r>
      <w:r>
        <w:rPr>
          <w:rFonts w:ascii="仿宋_GB2312" w:eastAsia="仿宋_GB2312"/>
          <w:b/>
          <w:color w:val="000000" w:themeColor="text1"/>
          <w:sz w:val="32"/>
          <w:szCs w:val="32"/>
          <w:highlight w:val="none"/>
          <w:u w:val="none"/>
          <w14:textFill>
            <w14:solidFill>
              <w14:schemeClr w14:val="tx1"/>
            </w14:solidFill>
          </w14:textFill>
        </w:rPr>
        <w:t>。</w:t>
      </w:r>
      <w:r>
        <w:rPr>
          <w:rFonts w:hint="eastAsia" w:ascii="仿宋_GB2312" w:hAnsi="Times New Roman" w:eastAsia="仿宋_GB2312"/>
          <w:color w:val="000000" w:themeColor="text1"/>
          <w:sz w:val="32"/>
          <w:szCs w:val="32"/>
          <w:highlight w:val="none"/>
          <w:u w:val="none"/>
          <w14:textFill>
            <w14:solidFill>
              <w14:schemeClr w14:val="tx1"/>
            </w14:solidFill>
          </w14:textFill>
        </w:rPr>
        <w:t>把握好城市更新的时序、力度和节奏，</w:t>
      </w:r>
      <w:r>
        <w:rPr>
          <w:rFonts w:hint="eastAsia" w:ascii="仿宋_GB2312" w:hAnsi="Times New Roman" w:eastAsia="仿宋_GB2312"/>
          <w:color w:val="000000" w:themeColor="text1"/>
          <w:kern w:val="0"/>
          <w:sz w:val="32"/>
          <w:szCs w:val="32"/>
          <w:highlight w:val="none"/>
          <w:u w:val="none"/>
          <w14:textFill>
            <w14:solidFill>
              <w14:schemeClr w14:val="tx1"/>
            </w14:solidFill>
          </w14:textFill>
        </w:rPr>
        <w:t>严守31.8平方公里工业区块线，确保工业用地面积不低于区块线内总用地面积的</w:t>
      </w:r>
      <w:r>
        <w:rPr>
          <w:rFonts w:hint="eastAsia" w:ascii="仿宋_GB2312" w:hAnsi="仿宋" w:eastAsia="仿宋_GB2312"/>
          <w:color w:val="000000" w:themeColor="text1"/>
          <w:kern w:val="0"/>
          <w:sz w:val="32"/>
          <w:szCs w:val="32"/>
          <w:highlight w:val="none"/>
          <w:u w:val="none"/>
          <w14:textFill>
            <w14:solidFill>
              <w14:schemeClr w14:val="tx1"/>
            </w14:solidFill>
          </w14:textFill>
        </w:rPr>
        <w:t>60%。</w:t>
      </w:r>
      <w:r>
        <w:rPr>
          <w:rFonts w:hint="eastAsia" w:ascii="仿宋_GB2312" w:hAnsi="Times New Roman" w:eastAsia="仿宋_GB2312"/>
          <w:color w:val="000000" w:themeColor="text1"/>
          <w:sz w:val="32"/>
          <w:szCs w:val="32"/>
          <w:highlight w:val="none"/>
          <w:u w:val="none"/>
          <w14:textFill>
            <w14:solidFill>
              <w14:schemeClr w14:val="tx1"/>
            </w14:solidFill>
          </w14:textFill>
        </w:rPr>
        <w:t>重点推进光明科学城、</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松白路和光侨路两侧</w:t>
      </w:r>
      <w:r>
        <w:rPr>
          <w:rFonts w:hint="eastAsia" w:ascii="仿宋_GB2312" w:hAnsi="Times New Roman" w:eastAsia="仿宋_GB2312"/>
          <w:color w:val="000000" w:themeColor="text1"/>
          <w:sz w:val="32"/>
          <w:szCs w:val="32"/>
          <w:highlight w:val="none"/>
          <w:u w:val="none"/>
          <w14:textFill>
            <w14:solidFill>
              <w14:schemeClr w14:val="tx1"/>
            </w14:solidFill>
          </w14:textFill>
        </w:rPr>
        <w:t>的城市更新，从严控制“工改商住”城市更新，</w:t>
      </w: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妥善安排涉及规模以上大中型制造业企业的城市更新项目，维护制造业发展的基本环境。</w:t>
      </w:r>
      <w:r>
        <w:rPr>
          <w:rFonts w:hint="eastAsia" w:ascii="仿宋_GB2312" w:hAnsi="Times New Roman" w:eastAsia="仿宋_GB2312"/>
          <w:color w:val="000000" w:themeColor="text1"/>
          <w:sz w:val="32"/>
          <w:szCs w:val="32"/>
          <w:highlight w:val="none"/>
          <w:u w:val="none"/>
          <w14:textFill>
            <w14:solidFill>
              <w14:schemeClr w14:val="tx1"/>
            </w14:solidFill>
          </w14:textFill>
        </w:rPr>
        <w:t>加快审批已公告批准的城市更新计划项目，促成</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项目</w:t>
      </w:r>
      <w:r>
        <w:rPr>
          <w:rFonts w:hint="eastAsia" w:ascii="仿宋_GB2312" w:hAnsi="Times New Roman" w:eastAsia="仿宋_GB2312"/>
          <w:color w:val="000000" w:themeColor="text1"/>
          <w:sz w:val="32"/>
          <w:szCs w:val="32"/>
          <w:highlight w:val="none"/>
          <w:u w:val="none"/>
          <w14:textFill>
            <w14:solidFill>
              <w14:schemeClr w14:val="tx1"/>
            </w14:solidFill>
          </w14:textFill>
        </w:rPr>
        <w:t>早日进入建设阶段拉动投资，尽快建成投产实现产能，为经济增长提供支</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撑</w:t>
      </w:r>
      <w:r>
        <w:rPr>
          <w:rFonts w:hint="eastAsia" w:ascii="仿宋_GB2312" w:hAnsi="Times New Roman" w:eastAsia="仿宋_GB2312"/>
          <w:color w:val="000000" w:themeColor="text1"/>
          <w:sz w:val="32"/>
          <w:szCs w:val="32"/>
          <w:highlight w:val="none"/>
          <w:u w:val="none"/>
          <w14:textFill>
            <w14:solidFill>
              <w14:schemeClr w14:val="tx1"/>
            </w14:solidFill>
          </w14:textFill>
        </w:rPr>
        <w:t>。推动老</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旧</w:t>
      </w:r>
      <w:r>
        <w:rPr>
          <w:rFonts w:hint="eastAsia" w:ascii="仿宋_GB2312" w:hAnsi="Times New Roman" w:eastAsia="仿宋_GB2312"/>
          <w:color w:val="000000" w:themeColor="text1"/>
          <w:sz w:val="32"/>
          <w:szCs w:val="32"/>
          <w:highlight w:val="none"/>
          <w:u w:val="none"/>
          <w14:textFill>
            <w14:solidFill>
              <w14:schemeClr w14:val="tx1"/>
            </w14:solidFill>
          </w14:textFill>
        </w:rPr>
        <w:t>工业园区综合整治和二次开发，释放产业空间</w:t>
      </w:r>
      <w:r>
        <w:rPr>
          <w:rFonts w:hint="eastAsia" w:ascii="仿宋_GB2312" w:hAnsi="Times New Roman" w:eastAsia="仿宋_GB2312"/>
          <w:color w:val="000000" w:themeColor="text1"/>
          <w:sz w:val="32"/>
          <w:szCs w:val="32"/>
          <w:highlight w:val="none"/>
          <w:u w:val="none"/>
          <w:lang w:eastAsia="zh-CN"/>
          <w14:textFill>
            <w14:solidFill>
              <w14:schemeClr w14:val="tx1"/>
            </w14:solidFill>
          </w14:textFill>
        </w:rPr>
        <w:t>并</w:t>
      </w:r>
      <w:r>
        <w:rPr>
          <w:rFonts w:hint="eastAsia" w:ascii="仿宋_GB2312" w:hAnsi="Times New Roman" w:eastAsia="仿宋_GB2312"/>
          <w:color w:val="000000" w:themeColor="text1"/>
          <w:sz w:val="32"/>
          <w:szCs w:val="32"/>
          <w:highlight w:val="none"/>
          <w:u w:val="none"/>
          <w14:textFill>
            <w14:solidFill>
              <w14:schemeClr w14:val="tx1"/>
            </w14:solidFill>
          </w14:textFill>
        </w:rPr>
        <w:t>精准配置给招引企业、高新技术企业、规模以上工业企业等优质企业</w:t>
      </w: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w:t>
      </w:r>
    </w:p>
    <w:tbl>
      <w:tblPr>
        <w:tblStyle w:val="17"/>
        <w:tblpPr w:leftFromText="180" w:rightFromText="180" w:vertAnchor="text" w:horzAnchor="margin" w:tblpY="33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6FF4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AF8AEB6">
            <w:pPr>
              <w:spacing w:line="560" w:lineRule="exact"/>
              <w:jc w:val="center"/>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专栏</w:t>
            </w:r>
            <w:r>
              <w:rPr>
                <w:rFonts w:hint="eastAsia" w:ascii="宋体" w:hAnsi="宋体"/>
                <w:b/>
                <w:color w:val="000000" w:themeColor="text1"/>
                <w:sz w:val="24"/>
                <w:szCs w:val="24"/>
                <w:highlight w:val="none"/>
                <w:u w:val="none"/>
                <w:lang w:val="en-US" w:eastAsia="zh-CN"/>
                <w14:textFill>
                  <w14:solidFill>
                    <w14:schemeClr w14:val="tx1"/>
                  </w14:solidFill>
                </w14:textFill>
              </w:rPr>
              <w:t>9</w:t>
            </w:r>
            <w:r>
              <w:rPr>
                <w:rFonts w:hint="eastAsia" w:ascii="宋体" w:hAnsi="宋体"/>
                <w:b/>
                <w:color w:val="000000" w:themeColor="text1"/>
                <w:sz w:val="24"/>
                <w:szCs w:val="24"/>
                <w:highlight w:val="none"/>
                <w:u w:val="none"/>
                <w14:textFill>
                  <w14:solidFill>
                    <w14:schemeClr w14:val="tx1"/>
                  </w14:solidFill>
                </w14:textFill>
              </w:rPr>
              <w:t>：重点产业园区</w:t>
            </w:r>
          </w:p>
          <w:p w14:paraId="619A1EDB">
            <w:pPr>
              <w:spacing w:line="560" w:lineRule="exact"/>
              <w:ind w:firstLine="482" w:firstLineChars="20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——大型综合园区。①新型显示产业园：</w:t>
            </w:r>
            <w:r>
              <w:rPr>
                <w:rFonts w:hint="eastAsia" w:ascii="宋体" w:hAnsi="宋体"/>
                <w:color w:val="000000" w:themeColor="text1"/>
                <w:sz w:val="24"/>
                <w:szCs w:val="24"/>
                <w:highlight w:val="none"/>
                <w:u w:val="none"/>
                <w:lang w:eastAsia="zh-CN"/>
                <w14:textFill>
                  <w14:solidFill>
                    <w14:schemeClr w14:val="tx1"/>
                  </w14:solidFill>
                </w14:textFill>
              </w:rPr>
              <w:t>光明国际平板显示园区</w:t>
            </w:r>
            <w:r>
              <w:rPr>
                <w:rFonts w:hint="eastAsia" w:ascii="宋体" w:hAnsi="宋体"/>
                <w:color w:val="000000" w:themeColor="text1"/>
                <w:sz w:val="24"/>
                <w:szCs w:val="24"/>
                <w:highlight w:val="none"/>
                <w:u w:val="none"/>
                <w14:textFill>
                  <w14:solidFill>
                    <w14:schemeClr w14:val="tx1"/>
                  </w14:solidFill>
                </w14:textFill>
              </w:rPr>
              <w:t>。</w:t>
            </w:r>
            <w:r>
              <w:rPr>
                <w:rFonts w:hint="eastAsia" w:ascii="宋体" w:hAnsi="宋体"/>
                <w:b/>
                <w:color w:val="000000" w:themeColor="text1"/>
                <w:sz w:val="24"/>
                <w:szCs w:val="24"/>
                <w:highlight w:val="none"/>
                <w:u w:val="none"/>
                <w14:textFill>
                  <w14:solidFill>
                    <w14:schemeClr w14:val="tx1"/>
                  </w14:solidFill>
                </w14:textFill>
              </w:rPr>
              <w:t>②智能制造产业园：</w:t>
            </w:r>
            <w:r>
              <w:rPr>
                <w:rFonts w:hint="eastAsia" w:ascii="宋体" w:hAnsi="宋体"/>
                <w:color w:val="000000" w:themeColor="text1"/>
                <w:sz w:val="24"/>
                <w:szCs w:val="24"/>
                <w:highlight w:val="none"/>
                <w:u w:val="none"/>
                <w14:textFill>
                  <w14:solidFill>
                    <w14:schemeClr w14:val="tx1"/>
                  </w14:solidFill>
                </w14:textFill>
              </w:rPr>
              <w:t>招商局光明科技园、电达谷源产业园</w:t>
            </w:r>
            <w:r>
              <w:rPr>
                <w:rFonts w:hint="eastAsia" w:ascii="宋体" w:hAnsi="宋体"/>
                <w:b/>
                <w:color w:val="000000" w:themeColor="text1"/>
                <w:sz w:val="24"/>
                <w:szCs w:val="24"/>
                <w:highlight w:val="none"/>
                <w:u w:val="none"/>
                <w14:textFill>
                  <w14:solidFill>
                    <w14:schemeClr w14:val="tx1"/>
                  </w14:solidFill>
                </w14:textFill>
              </w:rPr>
              <w:t>。③生命</w:t>
            </w:r>
            <w:r>
              <w:rPr>
                <w:rFonts w:hint="eastAsia" w:ascii="宋体" w:hAnsi="宋体"/>
                <w:b/>
                <w:color w:val="000000" w:themeColor="text1"/>
                <w:sz w:val="24"/>
                <w:szCs w:val="24"/>
                <w:highlight w:val="none"/>
                <w:u w:val="none"/>
                <w:lang w:eastAsia="zh-CN"/>
                <w14:textFill>
                  <w14:solidFill>
                    <w14:schemeClr w14:val="tx1"/>
                  </w14:solidFill>
                </w14:textFill>
              </w:rPr>
              <w:t>科学</w:t>
            </w:r>
            <w:r>
              <w:rPr>
                <w:rFonts w:hint="eastAsia" w:ascii="宋体" w:hAnsi="宋体"/>
                <w:b/>
                <w:color w:val="000000" w:themeColor="text1"/>
                <w:sz w:val="24"/>
                <w:szCs w:val="24"/>
                <w:highlight w:val="none"/>
                <w:u w:val="none"/>
                <w14:textFill>
                  <w14:solidFill>
                    <w14:schemeClr w14:val="tx1"/>
                  </w14:solidFill>
                </w14:textFill>
              </w:rPr>
              <w:t>产业园：</w:t>
            </w:r>
            <w:r>
              <w:rPr>
                <w:rFonts w:hint="eastAsia" w:ascii="宋体" w:hAnsi="宋体"/>
                <w:color w:val="000000" w:themeColor="text1"/>
                <w:sz w:val="24"/>
                <w:szCs w:val="24"/>
                <w:highlight w:val="none"/>
                <w:u w:val="none"/>
                <w14:textFill>
                  <w14:solidFill>
                    <w14:schemeClr w14:val="tx1"/>
                  </w14:solidFill>
                </w14:textFill>
              </w:rPr>
              <w:t>卫光生命科学园、恒泰裕工业园。</w:t>
            </w:r>
            <w:r>
              <w:rPr>
                <w:rFonts w:hint="eastAsia" w:ascii="宋体" w:hAnsi="宋体"/>
                <w:b/>
                <w:color w:val="000000" w:themeColor="text1"/>
                <w:sz w:val="24"/>
                <w:szCs w:val="24"/>
                <w:highlight w:val="none"/>
                <w:u w:val="none"/>
                <w14:textFill>
                  <w14:solidFill>
                    <w14:schemeClr w14:val="tx1"/>
                  </w14:solidFill>
                </w14:textFill>
              </w:rPr>
              <w:t>④新材料产业园：</w:t>
            </w:r>
            <w:r>
              <w:rPr>
                <w:rFonts w:hint="eastAsia" w:ascii="宋体" w:hAnsi="宋体"/>
                <w:color w:val="000000" w:themeColor="text1"/>
                <w:sz w:val="24"/>
                <w:szCs w:val="24"/>
                <w:highlight w:val="none"/>
                <w:u w:val="none"/>
                <w14:textFill>
                  <w14:solidFill>
                    <w14:schemeClr w14:val="tx1"/>
                  </w14:solidFill>
                </w14:textFill>
              </w:rPr>
              <w:t>贝特瑞产业园、星源材质产业园、旭硝子产业园。</w:t>
            </w:r>
          </w:p>
          <w:p w14:paraId="246A4415">
            <w:pPr>
              <w:spacing w:line="560" w:lineRule="exact"/>
              <w:ind w:firstLine="482" w:firstLineChars="20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——特色主题园。①5G产业示范园：</w:t>
            </w:r>
            <w:r>
              <w:rPr>
                <w:rFonts w:hint="eastAsia" w:ascii="宋体" w:hAnsi="宋体"/>
                <w:color w:val="000000" w:themeColor="text1"/>
                <w:sz w:val="24"/>
                <w:szCs w:val="24"/>
                <w:highlight w:val="none"/>
                <w:u w:val="none"/>
                <w14:textFill>
                  <w14:solidFill>
                    <w14:schemeClr w14:val="tx1"/>
                  </w14:solidFill>
                </w14:textFill>
              </w:rPr>
              <w:t>围绕5G产业链上下游开展精准招商，建设5G产业集聚区。支持普联、研祥等企业将5G战略布局光明，围绕“5G+数字工厂”、“5G+工业控制”、“5G+智能制造”等领域，搭建超高速率、零时延、超大连接、信息融合的5G网络试验环境，打造10</w:t>
            </w:r>
            <w:r>
              <w:rPr>
                <w:rFonts w:hint="eastAsia" w:ascii="宋体" w:hAnsi="宋体"/>
                <w:color w:val="000000" w:themeColor="text1"/>
                <w:sz w:val="24"/>
                <w:szCs w:val="24"/>
                <w:highlight w:val="none"/>
                <w:u w:val="none"/>
                <w:lang w:eastAsia="zh-CN"/>
                <w14:textFill>
                  <w14:solidFill>
                    <w14:schemeClr w14:val="tx1"/>
                  </w14:solidFill>
                </w14:textFill>
              </w:rPr>
              <w:t>个</w:t>
            </w:r>
            <w:r>
              <w:rPr>
                <w:rFonts w:hint="eastAsia" w:ascii="宋体" w:hAnsi="宋体"/>
                <w:color w:val="000000" w:themeColor="text1"/>
                <w:sz w:val="24"/>
                <w:szCs w:val="24"/>
                <w:highlight w:val="none"/>
                <w:u w:val="none"/>
                <w14:textFill>
                  <w14:solidFill>
                    <w14:schemeClr w14:val="tx1"/>
                  </w14:solidFill>
                </w14:textFill>
              </w:rPr>
              <w:t>以上5G应用示范园。</w:t>
            </w:r>
            <w:r>
              <w:rPr>
                <w:rFonts w:hint="eastAsia" w:ascii="宋体" w:hAnsi="宋体"/>
                <w:b/>
                <w:color w:val="000000" w:themeColor="text1"/>
                <w:sz w:val="24"/>
                <w:szCs w:val="24"/>
                <w:highlight w:val="none"/>
                <w:u w:val="none"/>
                <w14:textFill>
                  <w14:solidFill>
                    <w14:schemeClr w14:val="tx1"/>
                  </w14:solidFill>
                </w14:textFill>
              </w:rPr>
              <w:t>②数</w:t>
            </w:r>
            <w:r>
              <w:rPr>
                <w:rFonts w:ascii="宋体" w:hAnsi="宋体"/>
                <w:b/>
                <w:color w:val="000000" w:themeColor="text1"/>
                <w:sz w:val="24"/>
                <w:szCs w:val="24"/>
                <w:highlight w:val="none"/>
                <w:u w:val="none"/>
                <w14:textFill>
                  <w14:solidFill>
                    <w14:schemeClr w14:val="tx1"/>
                  </w14:solidFill>
                </w14:textFill>
              </w:rPr>
              <w:t>字经济</w:t>
            </w:r>
            <w:r>
              <w:rPr>
                <w:rFonts w:hint="eastAsia" w:ascii="宋体" w:hAnsi="宋体"/>
                <w:b/>
                <w:color w:val="000000" w:themeColor="text1"/>
                <w:sz w:val="24"/>
                <w:szCs w:val="24"/>
                <w:highlight w:val="none"/>
                <w:u w:val="none"/>
                <w14:textFill>
                  <w14:solidFill>
                    <w14:schemeClr w14:val="tx1"/>
                  </w14:solidFill>
                </w14:textFill>
              </w:rPr>
              <w:t>产业园：</w:t>
            </w:r>
            <w:r>
              <w:rPr>
                <w:rFonts w:hint="eastAsia" w:ascii="宋体" w:hAnsi="宋体"/>
                <w:color w:val="000000" w:themeColor="text1"/>
                <w:sz w:val="24"/>
                <w:szCs w:val="24"/>
                <w:highlight w:val="none"/>
                <w:u w:val="none"/>
                <w14:textFill>
                  <w14:solidFill>
                    <w14:schemeClr w14:val="tx1"/>
                  </w14:solidFill>
                </w14:textFill>
              </w:rPr>
              <w:t>围绕数据存储与计算技术、数据获取、挖掘与分析技术领域、数据安全技术等领域，引进和培育一批具有核心竞争力的大数据骨干企业，引导大数据产业链上下游企业加速集聚。推动人工智能与数字经济广东省实验室（深圳）与大数据特色产业园区开展直接对接，开展产学转化。支持建立大数据企业孵化平台，开展大数据技术的产业化项目孵化。</w:t>
            </w:r>
          </w:p>
          <w:p w14:paraId="3352EE33">
            <w:pPr>
              <w:tabs>
                <w:tab w:val="left" w:pos="5655"/>
              </w:tabs>
              <w:spacing w:line="560" w:lineRule="exact"/>
              <w:ind w:firstLine="482" w:firstLineChars="20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——创新创业园区。</w:t>
            </w:r>
            <w:r>
              <w:rPr>
                <w:rFonts w:hint="eastAsia" w:ascii="宋体" w:hAnsi="宋体"/>
                <w:color w:val="000000" w:themeColor="text1"/>
                <w:sz w:val="24"/>
                <w:szCs w:val="24"/>
                <w:highlight w:val="none"/>
                <w:u w:val="none"/>
                <w14:textFill>
                  <w14:solidFill>
                    <w14:schemeClr w14:val="tx1"/>
                  </w14:solidFill>
                </w14:textFill>
              </w:rPr>
              <w:t>中鹏程工业园</w:t>
            </w:r>
            <w:r>
              <w:rPr>
                <w:rFonts w:hint="eastAsia" w:ascii="宋体" w:hAnsi="宋体"/>
                <w:color w:val="000000" w:themeColor="text1"/>
                <w:sz w:val="24"/>
                <w:szCs w:val="24"/>
                <w:highlight w:val="none"/>
                <w:u w:val="none"/>
                <w:lang w:eastAsia="zh-CN"/>
                <w14:textFill>
                  <w14:solidFill>
                    <w14:schemeClr w14:val="tx1"/>
                  </w14:solidFill>
                </w14:textFill>
              </w:rPr>
              <w:t>、田寮第一工业区</w:t>
            </w:r>
            <w:r>
              <w:rPr>
                <w:rFonts w:hint="eastAsia" w:ascii="宋体" w:hAnsi="宋体"/>
                <w:color w:val="000000" w:themeColor="text1"/>
                <w:sz w:val="24"/>
                <w:szCs w:val="24"/>
                <w:highlight w:val="none"/>
                <w:u w:val="none"/>
                <w14:textFill>
                  <w14:solidFill>
                    <w14:schemeClr w14:val="tx1"/>
                  </w14:solidFill>
                </w14:textFill>
              </w:rPr>
              <w:t>。</w:t>
            </w:r>
          </w:p>
        </w:tc>
      </w:tr>
    </w:tbl>
    <w:p w14:paraId="167248B6">
      <w:pPr>
        <w:spacing w:line="560" w:lineRule="exact"/>
        <w:ind w:firstLine="640" w:firstLineChars="200"/>
        <w:rPr>
          <w:rFonts w:ascii="仿宋_GB2312" w:hAnsi="仿宋_GB2312" w:eastAsia="仿宋_GB2312"/>
          <w:color w:val="000000" w:themeColor="text1"/>
          <w:sz w:val="32"/>
          <w:szCs w:val="32"/>
          <w:highlight w:val="none"/>
          <w:u w:val="none"/>
          <w14:textFill>
            <w14:solidFill>
              <w14:schemeClr w14:val="tx1"/>
            </w14:solidFill>
          </w14:textFill>
        </w:rPr>
      </w:pPr>
    </w:p>
    <w:p w14:paraId="50F93DFB">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61" w:name="_Toc56442313"/>
      <w:bookmarkStart w:id="162" w:name="_Toc1887"/>
      <w:bookmarkStart w:id="163" w:name="_Toc14348"/>
      <w:bookmarkStart w:id="164" w:name="_Toc27075"/>
      <w:bookmarkStart w:id="165" w:name="_Toc5576"/>
      <w:bookmarkStart w:id="166" w:name="_Toc53583318"/>
      <w:r>
        <w:rPr>
          <w:rFonts w:hint="eastAsia" w:ascii="楷体_GB2312" w:hAnsi="楷体_GB2312" w:eastAsia="楷体_GB2312" w:cs="楷体_GB2312"/>
          <w:color w:val="000000" w:themeColor="text1"/>
          <w:highlight w:val="none"/>
          <w:u w:val="none"/>
          <w14:textFill>
            <w14:solidFill>
              <w14:schemeClr w14:val="tx1"/>
            </w14:solidFill>
          </w14:textFill>
        </w:rPr>
        <w:t>（五）提升产业服务能级</w:t>
      </w:r>
      <w:bookmarkEnd w:id="161"/>
      <w:bookmarkEnd w:id="162"/>
      <w:bookmarkEnd w:id="163"/>
      <w:bookmarkEnd w:id="164"/>
      <w:bookmarkEnd w:id="165"/>
    </w:p>
    <w:bookmarkEnd w:id="166"/>
    <w:p w14:paraId="29AD209F">
      <w:pPr>
        <w:snapToGrid w:val="0"/>
        <w:spacing w:line="560" w:lineRule="exact"/>
        <w:ind w:firstLine="633" w:firstLineChars="198"/>
        <w:rPr>
          <w:rFonts w:ascii="仿宋_GB2312" w:hAnsi="楷体" w:eastAsia="仿宋_GB2312"/>
          <w:b/>
          <w:color w:val="000000" w:themeColor="text1"/>
          <w:sz w:val="32"/>
          <w:szCs w:val="32"/>
          <w:highlight w:val="none"/>
          <w:u w:val="none"/>
          <w14:textFill>
            <w14:solidFill>
              <w14:schemeClr w14:val="tx1"/>
            </w14:solidFill>
          </w14:textFill>
        </w:rPr>
      </w:pPr>
      <w:r>
        <w:rPr>
          <w:rFonts w:hint="eastAsia" w:ascii="仿宋_GB2312" w:hAnsi="仿宋" w:eastAsia="仿宋_GB2312" w:cs="Mongolian Baiti"/>
          <w:color w:val="000000" w:themeColor="text1"/>
          <w:sz w:val="32"/>
          <w:szCs w:val="32"/>
          <w:highlight w:val="none"/>
          <w:u w:val="none"/>
          <w14:textFill>
            <w14:solidFill>
              <w14:schemeClr w14:val="tx1"/>
            </w14:solidFill>
          </w14:textFill>
        </w:rPr>
        <w:t>坚持供给侧结构性改革思维，围绕战略性新兴产业建链、强链</w:t>
      </w: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补链</w:t>
      </w: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延链，不断增加产业发展所需的人、财、物等优质要素的供给，降低实体经济生产经营成本</w:t>
      </w:r>
      <w:r>
        <w:rPr>
          <w:rFonts w:hint="eastAsia" w:ascii="仿宋_GB2312" w:hAnsi="仿宋" w:eastAsia="仿宋_GB2312" w:cs="Mongolian Baiti"/>
          <w:color w:val="000000" w:themeColor="text1"/>
          <w:sz w:val="32"/>
          <w:szCs w:val="32"/>
          <w:highlight w:val="none"/>
          <w:u w:val="none"/>
          <w:lang w:eastAsia="zh-CN"/>
          <w14:textFill>
            <w14:solidFill>
              <w14:schemeClr w14:val="tx1"/>
            </w14:solidFill>
          </w14:textFill>
        </w:rPr>
        <w:t>，</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稳定发展预期，为打造国际一流的营商环境奠定坚实的基础</w:t>
      </w: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w:t>
      </w:r>
    </w:p>
    <w:p w14:paraId="200ACE3E">
      <w:pPr>
        <w:spacing w:line="560" w:lineRule="exact"/>
        <w:ind w:firstLine="643" w:firstLineChars="200"/>
        <w:rPr>
          <w:rFonts w:ascii="仿宋_GB2312" w:hAnsi="仿宋_GB2312" w:eastAsia="仿宋_GB2312" w:cs="仿宋_GB2312"/>
          <w:color w:val="000000" w:themeColor="text1"/>
          <w:sz w:val="32"/>
          <w:szCs w:val="32"/>
          <w:highlight w:val="none"/>
          <w:u w:val="none"/>
          <w14:textFill>
            <w14:solidFill>
              <w14:schemeClr w14:val="tx1"/>
            </w14:solidFill>
          </w14:textFill>
        </w:rPr>
      </w:pPr>
      <w:bookmarkStart w:id="167" w:name="_Toc48953667"/>
      <w:r>
        <w:rPr>
          <w:rFonts w:hint="eastAsia" w:ascii="仿宋_GB2312" w:eastAsia="仿宋_GB2312" w:cs="楷体_GB2312"/>
          <w:b/>
          <w:color w:val="000000" w:themeColor="text1"/>
          <w:kern w:val="0"/>
          <w:sz w:val="32"/>
          <w:szCs w:val="32"/>
          <w:highlight w:val="none"/>
          <w:u w:val="none"/>
          <w14:textFill>
            <w14:solidFill>
              <w14:schemeClr w14:val="tx1"/>
            </w14:solidFill>
          </w14:textFill>
        </w:rPr>
        <w:t>加大产业发展资金支持。</w:t>
      </w:r>
      <w:bookmarkEnd w:id="167"/>
      <w:r>
        <w:rPr>
          <w:rFonts w:hint="eastAsia" w:ascii="仿宋_GB2312" w:eastAsia="仿宋_GB2312"/>
          <w:color w:val="000000" w:themeColor="text1"/>
          <w:sz w:val="32"/>
          <w:szCs w:val="32"/>
          <w:highlight w:val="none"/>
          <w:u w:val="none"/>
          <w14:textFill>
            <w14:solidFill>
              <w14:schemeClr w14:val="tx1"/>
            </w14:solidFill>
          </w14:textFill>
        </w:rPr>
        <w:t>进一步优化产业发展专项资金的结构，</w:t>
      </w:r>
      <w:r>
        <w:rPr>
          <w:rFonts w:hint="eastAsia" w:ascii="仿宋_GB2312" w:eastAsia="仿宋_GB2312" w:cs="仿宋_GB2312"/>
          <w:color w:val="000000" w:themeColor="text1"/>
          <w:kern w:val="0"/>
          <w:sz w:val="32"/>
          <w:szCs w:val="32"/>
          <w:highlight w:val="none"/>
          <w:u w:val="none"/>
          <w14:textFill>
            <w14:solidFill>
              <w14:schemeClr w14:val="tx1"/>
            </w14:solidFill>
          </w14:textFill>
        </w:rPr>
        <w:t>采用直接资助、股权资助、贷款贴息、风险补偿等多元化扶持方式，完善专项资金扶持体系。</w:t>
      </w:r>
      <w:r>
        <w:rPr>
          <w:rFonts w:hint="eastAsia" w:ascii="仿宋_GB2312" w:eastAsia="仿宋_GB2312"/>
          <w:color w:val="000000" w:themeColor="text1"/>
          <w:sz w:val="32"/>
          <w:szCs w:val="32"/>
          <w:highlight w:val="none"/>
          <w:u w:val="none"/>
          <w14:textFill>
            <w14:solidFill>
              <w14:schemeClr w14:val="tx1"/>
            </w14:solidFill>
          </w14:textFill>
        </w:rPr>
        <w:t>提高产业引导基金运作水平，加强与上级引导基金、金融机构以及知名投资机构</w:t>
      </w:r>
      <w:r>
        <w:rPr>
          <w:rFonts w:hint="eastAsia" w:ascii="仿宋_GB2312" w:eastAsia="仿宋_GB2312"/>
          <w:color w:val="000000" w:themeColor="text1"/>
          <w:sz w:val="32"/>
          <w:szCs w:val="32"/>
          <w:highlight w:val="none"/>
          <w:u w:val="none"/>
          <w:lang w:eastAsia="zh-CN"/>
          <w14:textFill>
            <w14:solidFill>
              <w14:schemeClr w14:val="tx1"/>
            </w14:solidFill>
          </w14:textFill>
        </w:rPr>
        <w:t>的</w:t>
      </w:r>
      <w:r>
        <w:rPr>
          <w:rFonts w:hint="eastAsia" w:ascii="仿宋_GB2312" w:eastAsia="仿宋_GB2312"/>
          <w:color w:val="000000" w:themeColor="text1"/>
          <w:sz w:val="32"/>
          <w:szCs w:val="32"/>
          <w:highlight w:val="none"/>
          <w:u w:val="none"/>
          <w14:textFill>
            <w14:solidFill>
              <w14:schemeClr w14:val="tx1"/>
            </w14:solidFill>
          </w14:textFill>
        </w:rPr>
        <w:t>合作，健全天使投资、创业投资、股权投资、并购投资等产业基金业态，探索设立概念验证基金、科技成果转化基金、专新特精引导基金，</w:t>
      </w:r>
      <w:r>
        <w:rPr>
          <w:rFonts w:hint="eastAsia" w:ascii="仿宋_GB2312" w:eastAsia="仿宋_GB2312" w:cs="仿宋_GB2312"/>
          <w:color w:val="000000" w:themeColor="text1"/>
          <w:kern w:val="0"/>
          <w:sz w:val="32"/>
          <w:szCs w:val="32"/>
          <w:highlight w:val="none"/>
          <w:u w:val="none"/>
          <w14:textFill>
            <w14:solidFill>
              <w14:schemeClr w14:val="tx1"/>
            </w14:solidFill>
          </w14:textFill>
        </w:rPr>
        <w:t>撬动社会投资</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投向创新创业、新兴产业发展</w:t>
      </w:r>
      <w:r>
        <w:rPr>
          <w:rFonts w:hint="eastAsia" w:ascii="仿宋_GB2312" w:eastAsia="仿宋_GB2312" w:cs="仿宋_GB2312"/>
          <w:color w:val="000000" w:themeColor="text1"/>
          <w:kern w:val="0"/>
          <w:sz w:val="32"/>
          <w:szCs w:val="32"/>
          <w:highlight w:val="none"/>
          <w:u w:val="none"/>
          <w14:textFill>
            <w14:solidFill>
              <w14:schemeClr w14:val="tx1"/>
            </w14:solidFill>
          </w14:textFill>
        </w:rPr>
        <w:t>。</w:t>
      </w:r>
      <w:bookmarkStart w:id="168" w:name="_Toc48953668"/>
      <w:r>
        <w:rPr>
          <w:rFonts w:hint="eastAsia" w:ascii="仿宋_GB2312" w:hAnsi="Times New Roman" w:eastAsia="仿宋_GB2312"/>
          <w:color w:val="000000" w:themeColor="text1"/>
          <w:sz w:val="32"/>
          <w:szCs w:val="32"/>
          <w:highlight w:val="none"/>
          <w:u w:val="none"/>
          <w14:textFill>
            <w14:solidFill>
              <w14:schemeClr w14:val="tx1"/>
            </w14:solidFill>
          </w14:textFill>
        </w:rPr>
        <w:t>推动金融与科技对接，</w:t>
      </w:r>
      <w:r>
        <w:rPr>
          <w:rFonts w:hint="eastAsia" w:ascii="仿宋_GB2312" w:eastAsia="仿宋_GB2312"/>
          <w:color w:val="000000" w:themeColor="text1"/>
          <w:sz w:val="32"/>
          <w:szCs w:val="32"/>
          <w:highlight w:val="none"/>
          <w:u w:val="none"/>
          <w14:textFill>
            <w14:solidFill>
              <w14:schemeClr w14:val="tx1"/>
            </w14:solidFill>
          </w14:textFill>
        </w:rPr>
        <w:t>规划建设粤港澳大湾区全球技术成果路演中心，采</w:t>
      </w:r>
      <w:r>
        <w:rPr>
          <w:rFonts w:ascii="仿宋_GB2312" w:eastAsia="仿宋_GB2312"/>
          <w:color w:val="000000" w:themeColor="text1"/>
          <w:sz w:val="32"/>
          <w:szCs w:val="32"/>
          <w:highlight w:val="none"/>
          <w:u w:val="none"/>
          <w14:textFill>
            <w14:solidFill>
              <w14:schemeClr w14:val="tx1"/>
            </w14:solidFill>
          </w14:textFill>
        </w:rPr>
        <w:t>用</w:t>
      </w:r>
      <w:r>
        <w:rPr>
          <w:rFonts w:hint="eastAsia" w:ascii="仿宋_GB2312" w:eastAsia="仿宋_GB2312"/>
          <w:color w:val="000000" w:themeColor="text1"/>
          <w:sz w:val="32"/>
          <w:szCs w:val="32"/>
          <w:highlight w:val="none"/>
          <w:u w:val="none"/>
          <w14:textFill>
            <w14:solidFill>
              <w14:schemeClr w14:val="tx1"/>
            </w14:solidFill>
          </w14:textFill>
        </w:rPr>
        <w:t>“</w:t>
      </w:r>
      <w:r>
        <w:rPr>
          <w:rFonts w:ascii="仿宋_GB2312" w:eastAsia="仿宋_GB2312"/>
          <w:color w:val="000000" w:themeColor="text1"/>
          <w:sz w:val="32"/>
          <w:szCs w:val="32"/>
          <w:highlight w:val="none"/>
          <w:u w:val="none"/>
          <w14:textFill>
            <w14:solidFill>
              <w14:schemeClr w14:val="tx1"/>
            </w14:solidFill>
          </w14:textFill>
        </w:rPr>
        <w:t>线上</w:t>
      </w:r>
      <w:r>
        <w:rPr>
          <w:rFonts w:hint="eastAsia" w:ascii="仿宋_GB2312" w:eastAsia="仿宋_GB2312"/>
          <w:color w:val="000000" w:themeColor="text1"/>
          <w:sz w:val="32"/>
          <w:szCs w:val="32"/>
          <w:highlight w:val="none"/>
          <w:u w:val="none"/>
          <w14:textFill>
            <w14:solidFill>
              <w14:schemeClr w14:val="tx1"/>
            </w14:solidFill>
          </w14:textFill>
        </w:rPr>
        <w:t>+</w:t>
      </w:r>
      <w:r>
        <w:rPr>
          <w:rFonts w:ascii="仿宋_GB2312" w:eastAsia="仿宋_GB2312"/>
          <w:color w:val="000000" w:themeColor="text1"/>
          <w:sz w:val="32"/>
          <w:szCs w:val="32"/>
          <w:highlight w:val="none"/>
          <w:u w:val="none"/>
          <w14:textFill>
            <w14:solidFill>
              <w14:schemeClr w14:val="tx1"/>
            </w14:solidFill>
          </w14:textFill>
        </w:rPr>
        <w:t>线下</w:t>
      </w:r>
      <w:r>
        <w:rPr>
          <w:rFonts w:hint="eastAsia" w:ascii="仿宋_GB2312" w:eastAsia="仿宋_GB2312"/>
          <w:color w:val="000000" w:themeColor="text1"/>
          <w:sz w:val="32"/>
          <w:szCs w:val="32"/>
          <w:highlight w:val="none"/>
          <w:u w:val="none"/>
          <w14:textFill>
            <w14:solidFill>
              <w14:schemeClr w14:val="tx1"/>
            </w14:solidFill>
          </w14:textFill>
        </w:rPr>
        <w:t>”</w:t>
      </w:r>
      <w:r>
        <w:rPr>
          <w:rFonts w:ascii="仿宋_GB2312" w:eastAsia="仿宋_GB2312"/>
          <w:color w:val="000000" w:themeColor="text1"/>
          <w:sz w:val="32"/>
          <w:szCs w:val="32"/>
          <w:highlight w:val="none"/>
          <w:u w:val="none"/>
          <w14:textFill>
            <w14:solidFill>
              <w14:schemeClr w14:val="tx1"/>
            </w14:solidFill>
          </w14:textFill>
        </w:rPr>
        <w:t>双重服务模式，</w:t>
      </w:r>
      <w:r>
        <w:rPr>
          <w:rFonts w:hint="eastAsia" w:ascii="仿宋_GB2312" w:eastAsia="仿宋_GB2312"/>
          <w:color w:val="000000" w:themeColor="text1"/>
          <w:sz w:val="32"/>
          <w:szCs w:val="32"/>
          <w:highlight w:val="none"/>
          <w:u w:val="none"/>
          <w14:textFill>
            <w14:solidFill>
              <w14:schemeClr w14:val="tx1"/>
            </w14:solidFill>
          </w14:textFill>
        </w:rPr>
        <w:t>围绕</w:t>
      </w:r>
      <w:r>
        <w:rPr>
          <w:rFonts w:ascii="仿宋_GB2312" w:eastAsia="仿宋_GB2312"/>
          <w:color w:val="000000" w:themeColor="text1"/>
          <w:sz w:val="32"/>
          <w:szCs w:val="32"/>
          <w:highlight w:val="none"/>
          <w:u w:val="none"/>
          <w14:textFill>
            <w14:solidFill>
              <w14:schemeClr w14:val="tx1"/>
            </w14:solidFill>
          </w14:textFill>
        </w:rPr>
        <w:t>新一代信息技术、高</w:t>
      </w:r>
      <w:r>
        <w:rPr>
          <w:rFonts w:hint="eastAsia" w:ascii="仿宋_GB2312" w:eastAsia="仿宋_GB2312"/>
          <w:color w:val="000000" w:themeColor="text1"/>
          <w:sz w:val="32"/>
          <w:szCs w:val="32"/>
          <w:highlight w:val="none"/>
          <w:u w:val="none"/>
          <w14:textFill>
            <w14:solidFill>
              <w14:schemeClr w14:val="tx1"/>
            </w14:solidFill>
          </w14:textFill>
        </w:rPr>
        <w:t>端</w:t>
      </w:r>
      <w:r>
        <w:rPr>
          <w:rFonts w:ascii="仿宋_GB2312" w:eastAsia="仿宋_GB2312"/>
          <w:color w:val="000000" w:themeColor="text1"/>
          <w:sz w:val="32"/>
          <w:szCs w:val="32"/>
          <w:highlight w:val="none"/>
          <w:u w:val="none"/>
          <w14:textFill>
            <w14:solidFill>
              <w14:schemeClr w14:val="tx1"/>
            </w14:solidFill>
          </w14:textFill>
        </w:rPr>
        <w:t>装备等</w:t>
      </w:r>
      <w:r>
        <w:rPr>
          <w:rFonts w:hint="eastAsia" w:ascii="仿宋_GB2312" w:eastAsia="仿宋_GB2312"/>
          <w:color w:val="000000" w:themeColor="text1"/>
          <w:sz w:val="32"/>
          <w:szCs w:val="32"/>
          <w:highlight w:val="none"/>
          <w:u w:val="none"/>
          <w14:textFill>
            <w14:solidFill>
              <w14:schemeClr w14:val="tx1"/>
            </w14:solidFill>
          </w14:textFill>
        </w:rPr>
        <w:t>战略</w:t>
      </w:r>
      <w:r>
        <w:rPr>
          <w:rFonts w:ascii="仿宋_GB2312" w:eastAsia="仿宋_GB2312"/>
          <w:color w:val="000000" w:themeColor="text1"/>
          <w:sz w:val="32"/>
          <w:szCs w:val="32"/>
          <w:highlight w:val="none"/>
          <w:u w:val="none"/>
          <w14:textFill>
            <w14:solidFill>
              <w14:schemeClr w14:val="tx1"/>
            </w14:solidFill>
          </w14:textFill>
        </w:rPr>
        <w:t>性</w:t>
      </w:r>
      <w:r>
        <w:rPr>
          <w:rFonts w:hint="eastAsia" w:ascii="仿宋_GB2312" w:eastAsia="仿宋_GB2312"/>
          <w:color w:val="000000" w:themeColor="text1"/>
          <w:sz w:val="32"/>
          <w:szCs w:val="32"/>
          <w:highlight w:val="none"/>
          <w:u w:val="none"/>
          <w:lang w:eastAsia="zh-CN"/>
          <w14:textFill>
            <w14:solidFill>
              <w14:schemeClr w14:val="tx1"/>
            </w14:solidFill>
          </w14:textFill>
        </w:rPr>
        <w:t>新兴</w:t>
      </w:r>
      <w:r>
        <w:rPr>
          <w:rFonts w:ascii="仿宋_GB2312" w:eastAsia="仿宋_GB2312"/>
          <w:color w:val="000000" w:themeColor="text1"/>
          <w:sz w:val="32"/>
          <w:szCs w:val="32"/>
          <w:highlight w:val="none"/>
          <w:u w:val="none"/>
          <w14:textFill>
            <w14:solidFill>
              <w14:schemeClr w14:val="tx1"/>
            </w14:solidFill>
          </w14:textFill>
        </w:rPr>
        <w:t>产业领域</w:t>
      </w:r>
      <w:r>
        <w:rPr>
          <w:rFonts w:hint="eastAsia" w:ascii="仿宋_GB2312" w:eastAsia="仿宋_GB2312"/>
          <w:color w:val="000000" w:themeColor="text1"/>
          <w:sz w:val="32"/>
          <w:szCs w:val="32"/>
          <w:highlight w:val="none"/>
          <w:u w:val="none"/>
          <w14:textFill>
            <w14:solidFill>
              <w14:schemeClr w14:val="tx1"/>
            </w14:solidFill>
          </w14:textFill>
        </w:rPr>
        <w:t>举</w:t>
      </w:r>
      <w:r>
        <w:rPr>
          <w:rFonts w:ascii="仿宋_GB2312" w:eastAsia="仿宋_GB2312"/>
          <w:color w:val="000000" w:themeColor="text1"/>
          <w:sz w:val="32"/>
          <w:szCs w:val="32"/>
          <w:highlight w:val="none"/>
          <w:u w:val="none"/>
          <w14:textFill>
            <w14:solidFill>
              <w14:schemeClr w14:val="tx1"/>
            </w14:solidFill>
          </w14:textFill>
        </w:rPr>
        <w:t>办</w:t>
      </w:r>
      <w:r>
        <w:rPr>
          <w:rFonts w:hint="eastAsia" w:ascii="仿宋_GB2312" w:eastAsia="仿宋_GB2312"/>
          <w:color w:val="000000" w:themeColor="text1"/>
          <w:sz w:val="32"/>
          <w:szCs w:val="32"/>
          <w:highlight w:val="none"/>
          <w:u w:val="none"/>
          <w14:textFill>
            <w14:solidFill>
              <w14:schemeClr w14:val="tx1"/>
            </w14:solidFill>
          </w14:textFill>
        </w:rPr>
        <w:t>专</w:t>
      </w:r>
      <w:r>
        <w:rPr>
          <w:rFonts w:ascii="仿宋_GB2312" w:eastAsia="仿宋_GB2312"/>
          <w:color w:val="000000" w:themeColor="text1"/>
          <w:sz w:val="32"/>
          <w:szCs w:val="32"/>
          <w:highlight w:val="none"/>
          <w:u w:val="none"/>
          <w14:textFill>
            <w14:solidFill>
              <w14:schemeClr w14:val="tx1"/>
            </w14:solidFill>
          </w14:textFill>
        </w:rPr>
        <w:t>场路演活动，推动光明科学城科研</w:t>
      </w:r>
      <w:r>
        <w:rPr>
          <w:rFonts w:hint="eastAsia" w:ascii="仿宋_GB2312" w:eastAsia="仿宋_GB2312"/>
          <w:color w:val="000000" w:themeColor="text1"/>
          <w:sz w:val="32"/>
          <w:szCs w:val="32"/>
          <w:highlight w:val="none"/>
          <w:u w:val="none"/>
          <w14:textFill>
            <w14:solidFill>
              <w14:schemeClr w14:val="tx1"/>
            </w14:solidFill>
          </w14:textFill>
        </w:rPr>
        <w:t>成果</w:t>
      </w:r>
      <w:r>
        <w:rPr>
          <w:rFonts w:ascii="仿宋_GB2312" w:eastAsia="仿宋_GB2312"/>
          <w:color w:val="000000" w:themeColor="text1"/>
          <w:sz w:val="32"/>
          <w:szCs w:val="32"/>
          <w:highlight w:val="none"/>
          <w:u w:val="none"/>
          <w14:textFill>
            <w14:solidFill>
              <w14:schemeClr w14:val="tx1"/>
            </w14:solidFill>
          </w14:textFill>
        </w:rPr>
        <w:t>项目</w:t>
      </w:r>
      <w:r>
        <w:rPr>
          <w:rFonts w:hint="eastAsia" w:ascii="仿宋_GB2312" w:eastAsia="仿宋_GB2312"/>
          <w:color w:val="000000" w:themeColor="text1"/>
          <w:sz w:val="32"/>
          <w:szCs w:val="32"/>
          <w:highlight w:val="none"/>
          <w:u w:val="none"/>
          <w14:textFill>
            <w14:solidFill>
              <w14:schemeClr w14:val="tx1"/>
            </w14:solidFill>
          </w14:textFill>
        </w:rPr>
        <w:t>转</w:t>
      </w:r>
      <w:r>
        <w:rPr>
          <w:rFonts w:ascii="仿宋_GB2312" w:eastAsia="仿宋_GB2312"/>
          <w:color w:val="000000" w:themeColor="text1"/>
          <w:sz w:val="32"/>
          <w:szCs w:val="32"/>
          <w:highlight w:val="none"/>
          <w:u w:val="none"/>
          <w14:textFill>
            <w14:solidFill>
              <w14:schemeClr w14:val="tx1"/>
            </w14:solidFill>
          </w14:textFill>
        </w:rPr>
        <w:t>化，并</w:t>
      </w:r>
      <w:r>
        <w:rPr>
          <w:rFonts w:hint="eastAsia" w:ascii="仿宋_GB2312" w:eastAsia="仿宋_GB2312"/>
          <w:color w:val="000000" w:themeColor="text1"/>
          <w:sz w:val="32"/>
          <w:szCs w:val="32"/>
          <w:highlight w:val="none"/>
          <w:u w:val="none"/>
          <w14:textFill>
            <w14:solidFill>
              <w14:schemeClr w14:val="tx1"/>
            </w14:solidFill>
          </w14:textFill>
        </w:rPr>
        <w:t>吸引</w:t>
      </w:r>
      <w:r>
        <w:rPr>
          <w:rFonts w:hint="eastAsia" w:ascii="仿宋_GB2312" w:hAnsi="Times New Roman" w:eastAsia="仿宋_GB2312"/>
          <w:color w:val="000000" w:themeColor="text1"/>
          <w:sz w:val="32"/>
          <w:szCs w:val="32"/>
          <w:highlight w:val="none"/>
          <w:u w:val="none"/>
          <w14:textFill>
            <w14:solidFill>
              <w14:schemeClr w14:val="tx1"/>
            </w14:solidFill>
          </w14:textFill>
        </w:rPr>
        <w:t>各类投资机构、科技创新企业和团队来光明发展。</w:t>
      </w:r>
      <w:r>
        <w:rPr>
          <w:rFonts w:hint="eastAsia" w:ascii="仿宋_GB2312" w:hAnsi="仿宋_GB2312" w:eastAsia="仿宋_GB2312"/>
          <w:color w:val="000000" w:themeColor="text1"/>
          <w:sz w:val="32"/>
          <w:szCs w:val="32"/>
          <w:highlight w:val="none"/>
          <w:u w:val="none"/>
          <w14:textFill>
            <w14:solidFill>
              <w14:schemeClr w14:val="tx1"/>
            </w14:solidFill>
          </w14:textFill>
        </w:rPr>
        <w:t>创新发展以中小企业为主要服务对象的</w:t>
      </w:r>
      <w:r>
        <w:rPr>
          <w:rFonts w:hint="eastAsia" w:ascii="仿宋_GB2312" w:eastAsia="仿宋_GB2312"/>
          <w:color w:val="000000" w:themeColor="text1"/>
          <w:sz w:val="32"/>
          <w:szCs w:val="32"/>
          <w:highlight w:val="none"/>
          <w:u w:val="none"/>
          <w14:textFill>
            <w14:solidFill>
              <w14:schemeClr w14:val="tx1"/>
            </w14:solidFill>
          </w14:textFill>
        </w:rPr>
        <w:t>供应链金融，</w:t>
      </w:r>
      <w:r>
        <w:rPr>
          <w:rFonts w:hint="eastAsia" w:ascii="仿宋_GB2312" w:hAnsi="仿宋_GB2312" w:eastAsia="仿宋_GB2312"/>
          <w:color w:val="000000" w:themeColor="text1"/>
          <w:sz w:val="32"/>
          <w:szCs w:val="32"/>
          <w:highlight w:val="none"/>
          <w:u w:val="none"/>
          <w14:textFill>
            <w14:solidFill>
              <w14:schemeClr w14:val="tx1"/>
            </w14:solidFill>
          </w14:textFill>
        </w:rPr>
        <w:t>大力推广设备融资租赁服务。</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鼓励创投机构、科技银行、科技保险、融资担保等金融机构探索投贷联动、投债联动、投保联动等新模式，对科技型企业进行投资和提供增值服务。</w:t>
      </w:r>
    </w:p>
    <w:p w14:paraId="103CED7D">
      <w:pPr>
        <w:spacing w:line="560" w:lineRule="exact"/>
        <w:ind w:firstLine="643" w:firstLineChars="200"/>
        <w:rPr>
          <w:rFonts w:ascii="仿宋_GB2312" w:eastAsia="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b/>
          <w:color w:val="000000" w:themeColor="text1"/>
          <w:sz w:val="32"/>
          <w:szCs w:val="32"/>
          <w:highlight w:val="none"/>
          <w:u w:val="none"/>
          <w14:textFill>
            <w14:solidFill>
              <w14:schemeClr w14:val="tx1"/>
            </w14:solidFill>
          </w14:textFill>
        </w:rPr>
        <w:t>构建物流供应链体系。</w:t>
      </w:r>
      <w:r>
        <w:rPr>
          <w:rFonts w:hint="eastAsia" w:ascii="仿宋_GB2312" w:hAnsi="仿宋_GB2312" w:eastAsia="仿宋_GB2312"/>
          <w:color w:val="000000" w:themeColor="text1"/>
          <w:sz w:val="32"/>
          <w:szCs w:val="32"/>
          <w:highlight w:val="none"/>
          <w:u w:val="none"/>
          <w14:textFill>
            <w14:solidFill>
              <w14:schemeClr w14:val="tx1"/>
            </w14:solidFill>
          </w14:textFill>
        </w:rPr>
        <w:t>紧抓光明高铁站建设机遇，</w:t>
      </w:r>
      <w:r>
        <w:rPr>
          <w:rFonts w:hint="eastAsia" w:ascii="仿宋_GB2312" w:eastAsia="仿宋_GB2312"/>
          <w:color w:val="000000" w:themeColor="text1"/>
          <w:sz w:val="32"/>
          <w:szCs w:val="32"/>
          <w:highlight w:val="none"/>
          <w:u w:val="none"/>
          <w14:textFill>
            <w14:solidFill>
              <w14:schemeClr w14:val="tx1"/>
            </w14:solidFill>
          </w14:textFill>
        </w:rPr>
        <w:t>建设粤港澳大湾区电子信息零部件和元器件交易市场，以塑造“华强北电子市场2.0”为目标，发布电子零部件交易价格指数，构建产业基础硬件供应链体系，打造二手智能终端及中间零部件商品集散地。</w:t>
      </w:r>
      <w:r>
        <w:rPr>
          <w:rFonts w:hint="eastAsia" w:ascii="仿宋_GB2312" w:hAnsi="仿宋_GB2312" w:eastAsia="仿宋_GB2312"/>
          <w:color w:val="000000" w:themeColor="text1"/>
          <w:sz w:val="32"/>
          <w:szCs w:val="32"/>
          <w:highlight w:val="none"/>
          <w:u w:val="none"/>
          <w14:textFill>
            <w14:solidFill>
              <w14:schemeClr w14:val="tx1"/>
            </w14:solidFill>
          </w14:textFill>
        </w:rPr>
        <w:t>大力发展第三方物流、供应链管理、城市配送、综合贸易物流、电子商务物流、物流</w:t>
      </w:r>
      <w:r>
        <w:rPr>
          <w:rFonts w:hint="eastAsia" w:ascii="仿宋_GB2312" w:hAnsi="仿宋" w:eastAsia="仿宋_GB2312"/>
          <w:color w:val="000000" w:themeColor="text1"/>
          <w:kern w:val="0"/>
          <w:sz w:val="32"/>
          <w:szCs w:val="32"/>
          <w:highlight w:val="none"/>
          <w:u w:val="none"/>
          <w14:textFill>
            <w14:solidFill>
              <w14:schemeClr w14:val="tx1"/>
            </w14:solidFill>
          </w14:textFill>
        </w:rPr>
        <w:t>金融</w:t>
      </w:r>
      <w:r>
        <w:rPr>
          <w:rFonts w:hint="eastAsia" w:ascii="仿宋_GB2312" w:hAnsi="仿宋_GB2312" w:eastAsia="仿宋_GB2312"/>
          <w:color w:val="000000" w:themeColor="text1"/>
          <w:sz w:val="32"/>
          <w:szCs w:val="32"/>
          <w:highlight w:val="none"/>
          <w:u w:val="none"/>
          <w14:textFill>
            <w14:solidFill>
              <w14:schemeClr w14:val="tx1"/>
            </w14:solidFill>
          </w14:textFill>
        </w:rPr>
        <w:t>服务及衍生服务，推动物流金融、物流交易、物流标准化发展，提升物流产业要素配置效能。推进智慧物流建设，促进物流与先进制造业、商业等联动发展。制定物流用地总体规划，推进物流园区、配送中心、末端网点等物流基础设施建设，打造国际型物流供应链枢纽。</w:t>
      </w:r>
    </w:p>
    <w:p w14:paraId="54488B65">
      <w:pPr>
        <w:spacing w:line="560" w:lineRule="exact"/>
        <w:ind w:firstLine="643" w:firstLineChars="200"/>
        <w:rPr>
          <w:rFonts w:ascii="仿宋_GB2312" w:hAnsi="宋体" w:eastAsia="仿宋_GB2312"/>
          <w:color w:val="000000" w:themeColor="text1"/>
          <w:sz w:val="32"/>
          <w:szCs w:val="32"/>
          <w:highlight w:val="none"/>
          <w:u w:val="none"/>
          <w14:textFill>
            <w14:solidFill>
              <w14:schemeClr w14:val="tx1"/>
            </w14:solidFill>
          </w14:textFill>
        </w:rPr>
      </w:pPr>
      <w:bookmarkStart w:id="169" w:name="_Toc36286621"/>
      <w:bookmarkStart w:id="170" w:name="_Toc48953665"/>
      <w:bookmarkStart w:id="171" w:name="_Toc42762170"/>
      <w:r>
        <w:rPr>
          <w:rFonts w:hint="eastAsia" w:ascii="仿宋_GB2312" w:hAnsi="宋体" w:eastAsia="仿宋_GB2312"/>
          <w:b/>
          <w:color w:val="000000" w:themeColor="text1"/>
          <w:sz w:val="32"/>
          <w:szCs w:val="32"/>
          <w:highlight w:val="none"/>
          <w:u w:val="none"/>
          <w14:textFill>
            <w14:solidFill>
              <w14:schemeClr w14:val="tx1"/>
            </w14:solidFill>
          </w14:textFill>
        </w:rPr>
        <w:t>强化知识产权保护。</w:t>
      </w:r>
      <w:r>
        <w:rPr>
          <w:rFonts w:hint="eastAsia" w:ascii="仿宋_GB2312" w:hAnsi="宋体" w:eastAsia="仿宋_GB2312"/>
          <w:color w:val="000000" w:themeColor="text1"/>
          <w:sz w:val="32"/>
          <w:szCs w:val="32"/>
          <w:highlight w:val="none"/>
          <w:u w:val="none"/>
          <w14:textFill>
            <w14:solidFill>
              <w14:schemeClr w14:val="tx1"/>
            </w14:solidFill>
          </w14:textFill>
        </w:rPr>
        <w:t>开展新型知识产权法律保护试点，完善互联网信息等数字知识产权财产权益保护制度，建立知识产权侵权惩罚性赔偿制度，实施知识产权领域以信用为基础的分级分类监管。</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加快建设光明知识产权保护中心，面向战略性新兴产业开展快速授权、确权、维权一站式服务，提升重点产业民营企业知识产权创造和保护效率。在重点产业领域建设知识产权保护工作站，为企业提供技术转移政策咨询和维权服务。推进知识产权投融资试点，争取全市知识产权证券化试点，在科技成果产权交易上先行先试。组织专利代理援助服务，面向民营企业推广知识产权托管服务，鼓励专利代理机构为困难民营小微企业提供免费专利代理服务。</w:t>
      </w:r>
      <w:bookmarkEnd w:id="169"/>
      <w:bookmarkEnd w:id="170"/>
      <w:bookmarkEnd w:id="171"/>
    </w:p>
    <w:bookmarkEnd w:id="168"/>
    <w:p w14:paraId="68020D5B">
      <w:pPr>
        <w:snapToGrid w:val="0"/>
        <w:spacing w:line="560" w:lineRule="exact"/>
        <w:ind w:firstLine="636" w:firstLineChars="198"/>
        <w:rPr>
          <w:rFonts w:ascii="仿宋_GB2312" w:hAnsi="仿宋_GB2312" w:eastAsia="仿宋_GB2312" w:cs="仿宋_GB2312"/>
          <w:color w:val="000000" w:themeColor="text1"/>
          <w:sz w:val="32"/>
          <w:szCs w:val="32"/>
          <w:highlight w:val="none"/>
          <w:u w:val="none"/>
          <w14:textFill>
            <w14:solidFill>
              <w14:schemeClr w14:val="tx1"/>
            </w14:solidFill>
          </w14:textFill>
        </w:rPr>
      </w:pPr>
      <w:r>
        <w:rPr>
          <w:rFonts w:hint="eastAsia" w:ascii="仿宋_GB2312" w:hAnsi="仿宋_GB2312" w:eastAsia="仿宋_GB2312"/>
          <w:b/>
          <w:color w:val="000000" w:themeColor="text1"/>
          <w:sz w:val="32"/>
          <w:szCs w:val="32"/>
          <w:highlight w:val="none"/>
          <w:u w:val="none"/>
          <w14:textFill>
            <w14:solidFill>
              <w14:schemeClr w14:val="tx1"/>
            </w14:solidFill>
          </w14:textFill>
        </w:rPr>
        <w:t>稳定产业用地用房成本。</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支持区属国企通过加大产业保障房供给，加大对产业园区的统租统管、对零散工业厂房资源整合收储，运用市场机制平抑产业用房价格和租金水平。推动优质企业参股“工改工”城市更新，以市场化方式最大程度降低入驻成本，形成可复制、可推广的模式。鼓励自有园区企业申报“工改工”城市更新，在原址扩大再生产，释放产业用地潜能。抑制厂房租金上涨趋势，稳定制造业企业的发展预期。规范社区股份公司城市更新和厂房租赁管理，出台产业空间管控管理办法，完善产业用房信息平台，框定各类工业园区租金水平；严格执行法定水电价格，严控新增公摊面积，坚决打击恶意炒作、囤积工业厂房扰乱破坏厂房租售市场的行为。</w:t>
      </w:r>
    </w:p>
    <w:p w14:paraId="432A1B48">
      <w:pPr>
        <w:spacing w:line="560" w:lineRule="exact"/>
        <w:ind w:firstLine="643" w:firstLineChars="200"/>
        <w:rPr>
          <w:rFonts w:ascii="仿宋_GB2312" w:hAnsi="仿宋" w:eastAsia="仿宋_GB2312" w:cs="Mongolian Baiti"/>
          <w:color w:val="000000" w:themeColor="text1"/>
          <w:sz w:val="32"/>
          <w:szCs w:val="32"/>
          <w:highlight w:val="none"/>
          <w:u w:val="none"/>
          <w14:textFill>
            <w14:solidFill>
              <w14:schemeClr w14:val="tx1"/>
            </w14:solidFill>
          </w14:textFill>
        </w:rPr>
      </w:pPr>
      <w:r>
        <w:rPr>
          <w:rFonts w:hint="eastAsia" w:ascii="仿宋_GB2312" w:hAnsi="仿宋" w:eastAsia="仿宋_GB2312" w:cs="Mongolian Baiti"/>
          <w:b/>
          <w:color w:val="000000" w:themeColor="text1"/>
          <w:sz w:val="32"/>
          <w:szCs w:val="32"/>
          <w:highlight w:val="none"/>
          <w:u w:val="none"/>
          <w14:textFill>
            <w14:solidFill>
              <w14:schemeClr w14:val="tx1"/>
            </w14:solidFill>
          </w14:textFill>
        </w:rPr>
        <w:t>加强产业人才引进培育。</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实施更加开放的人才政策，深化人才评价制度改革</w:t>
      </w:r>
      <w:r>
        <w:rPr>
          <w:rFonts w:hint="eastAsia" w:ascii="仿宋_GB2312" w:hAnsi="仿宋" w:eastAsia="仿宋_GB2312" w:cs="Mongolian Baiti"/>
          <w:color w:val="000000" w:themeColor="text1"/>
          <w:sz w:val="32"/>
          <w:szCs w:val="32"/>
          <w:highlight w:val="none"/>
          <w:u w:val="none"/>
          <w:lang w:eastAsia="zh-CN"/>
          <w14:textFill>
            <w14:solidFill>
              <w14:schemeClr w14:val="tx1"/>
            </w14:solidFill>
          </w14:textFill>
        </w:rPr>
        <w:t>，健全以创新能力、质量、实效、贡献为导向的人才评价体系</w:t>
      </w:r>
      <w:r>
        <w:rPr>
          <w:rFonts w:hint="eastAsia" w:ascii="仿宋_GB2312" w:hAnsi="仿宋" w:eastAsia="仿宋_GB2312" w:cs="Mongolian Baiti"/>
          <w:color w:val="000000" w:themeColor="text1"/>
          <w:sz w:val="32"/>
          <w:szCs w:val="32"/>
          <w:highlight w:val="none"/>
          <w:u w:val="none"/>
          <w14:textFill>
            <w14:solidFill>
              <w14:schemeClr w14:val="tx1"/>
            </w14:solidFill>
          </w14:textFill>
        </w:rPr>
        <w:t>。加强高层次国际化科研人才、高水平管理人才、中等层次技术人才靶向引进、柔性引进。争取在光明科学城率先开展技术移民试点，建立技术移民职业清单和积分评估制度。支持探索建立高度便利化的境外专业人才执业制度，放宽境外人员参加各类职业资格考试的限制。建设人才社区，完善人才安居、国际医疗保险结算、子女入学等政策，为各类人才在光明安居乐业创造良好环境。面向战略性新兴产业重点发展领域，大力</w:t>
      </w:r>
      <w:r>
        <w:rPr>
          <w:rFonts w:hint="eastAsia" w:ascii="仿宋_GB2312" w:hAnsi="Mongolian Baiti" w:eastAsia="仿宋_GB2312" w:cs="Mongolian Baiti"/>
          <w:color w:val="000000" w:themeColor="text1"/>
          <w:sz w:val="32"/>
          <w:szCs w:val="32"/>
          <w:highlight w:val="none"/>
          <w:u w:val="none"/>
          <w14:textFill>
            <w14:solidFill>
              <w14:schemeClr w14:val="tx1"/>
            </w14:solidFill>
          </w14:textFill>
        </w:rPr>
        <w:t>推广德国“双元制”技能人才培养模式，倡导“工匠精神”，</w:t>
      </w:r>
      <w:r>
        <w:rPr>
          <w:rFonts w:hint="eastAsia" w:ascii="仿宋_GB2312" w:hAnsi="Times New Roman" w:eastAsia="仿宋_GB2312"/>
          <w:color w:val="000000" w:themeColor="text1"/>
          <w:sz w:val="32"/>
          <w:szCs w:val="32"/>
          <w:highlight w:val="none"/>
          <w:u w:val="none"/>
          <w14:textFill>
            <w14:solidFill>
              <w14:schemeClr w14:val="tx1"/>
            </w14:solidFill>
          </w14:textFill>
        </w:rPr>
        <w:t>引进一批培训专用高端设备，建立一批标准教室、实操车间、实训基地。</w:t>
      </w:r>
    </w:p>
    <w:p w14:paraId="2CBA6215">
      <w:pPr>
        <w:spacing w:line="560" w:lineRule="exact"/>
        <w:ind w:firstLine="643" w:firstLineChars="200"/>
        <w:rPr>
          <w:rFonts w:ascii="仿宋_GB2312" w:hAnsi="Times New Roman" w:eastAsia="仿宋_GB2312" w:cs="仿宋_GB2312"/>
          <w:bCs/>
          <w:color w:val="000000" w:themeColor="text1"/>
          <w:sz w:val="32"/>
          <w:szCs w:val="32"/>
          <w:highlight w:val="none"/>
          <w:u w:val="none"/>
          <w14:textFill>
            <w14:solidFill>
              <w14:schemeClr w14:val="tx1"/>
            </w14:solidFill>
          </w14:textFill>
        </w:rPr>
      </w:pPr>
      <w:r>
        <w:rPr>
          <w:rFonts w:hint="eastAsia" w:ascii="仿宋_GB2312" w:hAnsi="Times New Roman" w:eastAsia="仿宋_GB2312" w:cs="仿宋_GB2312"/>
          <w:b/>
          <w:color w:val="000000" w:themeColor="text1"/>
          <w:sz w:val="32"/>
          <w:szCs w:val="32"/>
          <w:highlight w:val="none"/>
          <w:u w:val="none"/>
          <w14:textFill>
            <w14:solidFill>
              <w14:schemeClr w14:val="tx1"/>
            </w14:solidFill>
          </w14:textFill>
        </w:rPr>
        <w:t>进一步提高政府服务水平。</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深化“放管服”改革，落实权力清单、责任清单、负面清单制度，简化优化审批事项，进一步放宽市场准入，实现清单之外无审批。完善事中事后监管机制，全面推进监管事项标准化，开展监管数据治理。深化“互联网+政务服务”改革，</w:t>
      </w:r>
      <w:r>
        <w:rPr>
          <w:rFonts w:hint="eastAsia" w:ascii="仿宋_GB2312" w:hAnsi="Times New Roman" w:eastAsia="仿宋_GB2312" w:cs="仿宋_GB2312"/>
          <w:bCs/>
          <w:color w:val="000000" w:themeColor="text1"/>
          <w:sz w:val="32"/>
          <w:szCs w:val="32"/>
          <w:highlight w:val="none"/>
          <w:u w:val="none"/>
          <w14:textFill>
            <w14:solidFill>
              <w14:schemeClr w14:val="tx1"/>
            </w14:solidFill>
          </w14:textFill>
        </w:rPr>
        <w:t xml:space="preserve">加强5G在城市治理和政府管理上的应用，推进掌上办公，促进政府数字化转型。每年推出一批“秒批”和不见面审批服务，让更多涉企事项实现在线办理、不见面审批、不出门办成事。成立营商环境咨询监督委员会，健全政企沟通机制，充分听取社会各界的建议和意见。建立健全一站式企业公共服务平台，形成线上线下相结合的企业服务体系，不断优化企业全生命周期服务。 </w:t>
      </w:r>
    </w:p>
    <w:tbl>
      <w:tblPr>
        <w:tblStyle w:val="17"/>
        <w:tblpPr w:leftFromText="180" w:rightFromText="180" w:vertAnchor="text" w:horzAnchor="margin" w:tblpY="32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58598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2" w:type="dxa"/>
          </w:tcPr>
          <w:p w14:paraId="55BC4322">
            <w:pPr>
              <w:tabs>
                <w:tab w:val="left" w:pos="567"/>
                <w:tab w:val="left" w:pos="1230"/>
                <w:tab w:val="left" w:pos="1389"/>
              </w:tabs>
              <w:snapToGrid w:val="0"/>
              <w:spacing w:line="560" w:lineRule="exact"/>
              <w:jc w:val="center"/>
              <w:rPr>
                <w:rFonts w:ascii="宋体" w:hAnsi="宋体"/>
                <w:b/>
                <w:color w:val="000000" w:themeColor="text1"/>
                <w:sz w:val="24"/>
                <w:szCs w:val="24"/>
                <w:highlight w:val="none"/>
                <w:u w:val="none"/>
                <w14:textFill>
                  <w14:solidFill>
                    <w14:schemeClr w14:val="tx1"/>
                  </w14:solidFill>
                </w14:textFill>
              </w:rPr>
            </w:pPr>
            <w:bookmarkStart w:id="172" w:name="_Toc447203040"/>
            <w:bookmarkStart w:id="173" w:name="_Toc42762214"/>
            <w:bookmarkStart w:id="174" w:name="_Toc3691_WPSOffice_Level1"/>
            <w:r>
              <w:rPr>
                <w:rFonts w:hint="eastAsia" w:ascii="宋体" w:hAnsi="宋体"/>
                <w:b/>
                <w:color w:val="000000" w:themeColor="text1"/>
                <w:sz w:val="24"/>
                <w:szCs w:val="24"/>
                <w:highlight w:val="none"/>
                <w:u w:val="none"/>
                <w14:textFill>
                  <w14:solidFill>
                    <w14:schemeClr w14:val="tx1"/>
                  </w14:solidFill>
                </w14:textFill>
              </w:rPr>
              <w:t>专栏</w:t>
            </w:r>
            <w:r>
              <w:rPr>
                <w:rFonts w:hint="eastAsia" w:ascii="宋体" w:hAnsi="宋体"/>
                <w:b/>
                <w:color w:val="000000" w:themeColor="text1"/>
                <w:sz w:val="24"/>
                <w:szCs w:val="24"/>
                <w:highlight w:val="none"/>
                <w:u w:val="none"/>
                <w:lang w:val="en-US" w:eastAsia="zh-CN"/>
                <w14:textFill>
                  <w14:solidFill>
                    <w14:schemeClr w14:val="tx1"/>
                  </w14:solidFill>
                </w14:textFill>
              </w:rPr>
              <w:t>10</w:t>
            </w:r>
            <w:r>
              <w:rPr>
                <w:rFonts w:hint="eastAsia" w:ascii="宋体" w:hAnsi="宋体"/>
                <w:b/>
                <w:color w:val="000000" w:themeColor="text1"/>
                <w:sz w:val="24"/>
                <w:szCs w:val="24"/>
                <w:highlight w:val="none"/>
                <w:u w:val="none"/>
                <w14:textFill>
                  <w14:solidFill>
                    <w14:schemeClr w14:val="tx1"/>
                  </w14:solidFill>
                </w14:textFill>
              </w:rPr>
              <w:t>：产业配套服务重</w:t>
            </w:r>
            <w:r>
              <w:rPr>
                <w:rFonts w:ascii="宋体" w:hAnsi="宋体"/>
                <w:b/>
                <w:color w:val="000000" w:themeColor="text1"/>
                <w:sz w:val="24"/>
                <w:szCs w:val="24"/>
                <w:highlight w:val="none"/>
                <w:u w:val="none"/>
                <w14:textFill>
                  <w14:solidFill>
                    <w14:schemeClr w14:val="tx1"/>
                  </w14:solidFill>
                </w14:textFill>
              </w:rPr>
              <w:t>点</w:t>
            </w:r>
            <w:r>
              <w:rPr>
                <w:rFonts w:hint="eastAsia" w:ascii="宋体" w:hAnsi="宋体"/>
                <w:b/>
                <w:color w:val="000000" w:themeColor="text1"/>
                <w:sz w:val="24"/>
                <w:szCs w:val="24"/>
                <w:highlight w:val="none"/>
                <w:u w:val="none"/>
                <w14:textFill>
                  <w14:solidFill>
                    <w14:schemeClr w14:val="tx1"/>
                  </w14:solidFill>
                </w14:textFill>
              </w:rPr>
              <w:t>项目</w:t>
            </w:r>
          </w:p>
          <w:p w14:paraId="4684CE7E">
            <w:pPr>
              <w:tabs>
                <w:tab w:val="left" w:pos="567"/>
                <w:tab w:val="left" w:pos="1230"/>
                <w:tab w:val="left" w:pos="1389"/>
              </w:tabs>
              <w:snapToGrid w:val="0"/>
              <w:spacing w:line="560" w:lineRule="exact"/>
              <w:ind w:firstLine="482" w:firstLineChars="200"/>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——要素交易市场：</w:t>
            </w:r>
            <w:r>
              <w:rPr>
                <w:rFonts w:hint="eastAsia" w:ascii="宋体" w:hAnsi="宋体"/>
                <w:color w:val="000000" w:themeColor="text1"/>
                <w:sz w:val="24"/>
                <w:szCs w:val="24"/>
                <w:highlight w:val="none"/>
                <w:u w:val="none"/>
                <w14:textFill>
                  <w14:solidFill>
                    <w14:schemeClr w14:val="tx1"/>
                  </w14:solidFill>
                </w14:textFill>
              </w:rPr>
              <w:t>积</w:t>
            </w:r>
            <w:r>
              <w:rPr>
                <w:rFonts w:ascii="宋体" w:hAnsi="宋体"/>
                <w:color w:val="000000" w:themeColor="text1"/>
                <w:sz w:val="24"/>
                <w:szCs w:val="24"/>
                <w:highlight w:val="none"/>
                <w:u w:val="none"/>
                <w14:textFill>
                  <w14:solidFill>
                    <w14:schemeClr w14:val="tx1"/>
                  </w14:solidFill>
                </w14:textFill>
              </w:rPr>
              <w:t>极推进</w:t>
            </w:r>
            <w:r>
              <w:rPr>
                <w:rFonts w:hint="eastAsia" w:ascii="宋体" w:hAnsi="宋体"/>
                <w:color w:val="000000" w:themeColor="text1"/>
                <w:sz w:val="24"/>
                <w:szCs w:val="24"/>
                <w:highlight w:val="none"/>
                <w:u w:val="none"/>
                <w14:textFill>
                  <w14:solidFill>
                    <w14:schemeClr w14:val="tx1"/>
                  </w14:solidFill>
                </w14:textFill>
              </w:rPr>
              <w:t>粤港澳大湾区电子信息零部件和元器件交易市场、新能源汽车维修交易加工中心等项目建设。</w:t>
            </w:r>
          </w:p>
          <w:p w14:paraId="227114EE">
            <w:pPr>
              <w:tabs>
                <w:tab w:val="left" w:pos="567"/>
                <w:tab w:val="left" w:pos="1230"/>
                <w:tab w:val="left" w:pos="1389"/>
              </w:tabs>
              <w:snapToGrid w:val="0"/>
              <w:spacing w:line="560" w:lineRule="exact"/>
              <w:ind w:firstLine="482" w:firstLineChars="20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——科技产业金融：</w:t>
            </w:r>
            <w:r>
              <w:rPr>
                <w:rFonts w:hint="eastAsia" w:ascii="宋体" w:hAnsi="宋体"/>
                <w:color w:val="000000" w:themeColor="text1"/>
                <w:sz w:val="24"/>
                <w:szCs w:val="24"/>
                <w:highlight w:val="none"/>
                <w:u w:val="none"/>
                <w14:textFill>
                  <w14:solidFill>
                    <w14:schemeClr w14:val="tx1"/>
                  </w14:solidFill>
                </w14:textFill>
              </w:rPr>
              <w:t>争取建设粤港澳大湾区全球技术成果路演中心、资本市场培训中心等项目。</w:t>
            </w:r>
          </w:p>
          <w:p w14:paraId="1AC7CD28">
            <w:pPr>
              <w:tabs>
                <w:tab w:val="left" w:pos="567"/>
                <w:tab w:val="left" w:pos="1230"/>
                <w:tab w:val="left" w:pos="1389"/>
              </w:tabs>
              <w:snapToGrid w:val="0"/>
              <w:spacing w:line="560" w:lineRule="exact"/>
              <w:ind w:firstLine="482" w:firstLineChars="20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w:t>
            </w:r>
            <w:r>
              <w:rPr>
                <w:rFonts w:hint="eastAsia" w:ascii="宋体" w:hAnsi="宋体"/>
                <w:b/>
                <w:color w:val="000000" w:themeColor="text1"/>
                <w:kern w:val="0"/>
                <w:sz w:val="24"/>
                <w:szCs w:val="24"/>
                <w:highlight w:val="none"/>
                <w:u w:val="none"/>
                <w14:textFill>
                  <w14:solidFill>
                    <w14:schemeClr w14:val="tx1"/>
                  </w14:solidFill>
                </w14:textFill>
              </w:rPr>
              <w:t>知识产权服务平台：</w:t>
            </w:r>
            <w:r>
              <w:rPr>
                <w:rFonts w:hint="eastAsia" w:ascii="宋体" w:hAnsi="宋体"/>
                <w:color w:val="000000" w:themeColor="text1"/>
                <w:sz w:val="24"/>
                <w:szCs w:val="24"/>
                <w:highlight w:val="none"/>
                <w:u w:val="none"/>
                <w14:textFill>
                  <w14:solidFill>
                    <w14:schemeClr w14:val="tx1"/>
                  </w14:solidFill>
                </w14:textFill>
              </w:rPr>
              <w:t>积</w:t>
            </w:r>
            <w:r>
              <w:rPr>
                <w:rFonts w:ascii="宋体" w:hAnsi="宋体"/>
                <w:color w:val="000000" w:themeColor="text1"/>
                <w:sz w:val="24"/>
                <w:szCs w:val="24"/>
                <w:highlight w:val="none"/>
                <w:u w:val="none"/>
                <w14:textFill>
                  <w14:solidFill>
                    <w14:schemeClr w14:val="tx1"/>
                  </w14:solidFill>
                </w14:textFill>
              </w:rPr>
              <w:t>极推进</w:t>
            </w:r>
            <w:r>
              <w:rPr>
                <w:rFonts w:hint="eastAsia" w:ascii="宋体" w:hAnsi="宋体"/>
                <w:color w:val="000000" w:themeColor="text1"/>
                <w:kern w:val="0"/>
                <w:sz w:val="24"/>
                <w:szCs w:val="24"/>
                <w:highlight w:val="none"/>
                <w:u w:val="none"/>
                <w14:textFill>
                  <w14:solidFill>
                    <w14:schemeClr w14:val="tx1"/>
                  </w14:solidFill>
                </w14:textFill>
              </w:rPr>
              <w:t>光明知识产权保护中心</w:t>
            </w:r>
            <w:r>
              <w:rPr>
                <w:rFonts w:hint="eastAsia" w:ascii="宋体" w:hAnsi="宋体"/>
                <w:color w:val="000000" w:themeColor="text1"/>
                <w:sz w:val="24"/>
                <w:szCs w:val="24"/>
                <w:highlight w:val="none"/>
                <w:u w:val="none"/>
                <w14:textFill>
                  <w14:solidFill>
                    <w14:schemeClr w14:val="tx1"/>
                  </w14:solidFill>
                </w14:textFill>
              </w:rPr>
              <w:t>建设</w:t>
            </w:r>
            <w:r>
              <w:rPr>
                <w:rFonts w:hint="eastAsia" w:ascii="宋体" w:hAnsi="宋体"/>
                <w:color w:val="000000" w:themeColor="text1"/>
                <w:kern w:val="0"/>
                <w:sz w:val="24"/>
                <w:szCs w:val="24"/>
                <w:highlight w:val="none"/>
                <w:u w:val="none"/>
                <w14:textFill>
                  <w14:solidFill>
                    <w14:schemeClr w14:val="tx1"/>
                  </w14:solidFill>
                </w14:textFill>
              </w:rPr>
              <w:t>。</w:t>
            </w:r>
          </w:p>
        </w:tc>
      </w:tr>
    </w:tbl>
    <w:p w14:paraId="65B2B682">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75" w:name="_Toc56442314"/>
      <w:bookmarkStart w:id="176" w:name="_Toc53583319"/>
      <w:bookmarkStart w:id="177" w:name="_Toc27027"/>
      <w:bookmarkStart w:id="178" w:name="_Toc24085"/>
      <w:bookmarkStart w:id="179" w:name="_Toc5037"/>
      <w:bookmarkStart w:id="180" w:name="_Toc20150"/>
      <w:r>
        <w:rPr>
          <w:rFonts w:hint="eastAsia" w:ascii="楷体_GB2312" w:hAnsi="楷体_GB2312" w:eastAsia="楷体_GB2312" w:cs="楷体_GB2312"/>
          <w:color w:val="000000" w:themeColor="text1"/>
          <w:highlight w:val="none"/>
          <w:u w:val="none"/>
          <w14:textFill>
            <w14:solidFill>
              <w14:schemeClr w14:val="tx1"/>
            </w14:solidFill>
          </w14:textFill>
        </w:rPr>
        <w:t>（六）深化对外开放合作</w:t>
      </w:r>
      <w:bookmarkEnd w:id="175"/>
      <w:bookmarkEnd w:id="176"/>
      <w:bookmarkEnd w:id="177"/>
      <w:bookmarkEnd w:id="178"/>
      <w:bookmarkEnd w:id="179"/>
      <w:bookmarkEnd w:id="180"/>
    </w:p>
    <w:p w14:paraId="43175BEE">
      <w:pPr>
        <w:spacing w:line="560" w:lineRule="exact"/>
        <w:ind w:firstLine="640" w:firstLineChars="200"/>
        <w:rPr>
          <w:rFonts w:ascii="仿宋_GB2312" w:hAnsi="Times New Roman" w:eastAsia="仿宋_GB2312" w:cs="仿宋_GB2312"/>
          <w:color w:val="000000" w:themeColor="text1"/>
          <w:sz w:val="32"/>
          <w:szCs w:val="32"/>
          <w:highlight w:val="none"/>
          <w:u w:val="none"/>
          <w14:textFill>
            <w14:solidFill>
              <w14:schemeClr w14:val="tx1"/>
            </w14:solidFill>
          </w14:textFill>
        </w:rPr>
      </w:pPr>
      <w:bookmarkStart w:id="181" w:name="_Toc42762206"/>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坚持以国内大循环为主体、国内国际双循环相互促进，以大湾区综合性国家科学中心建设为抓手，加强与港澳创新资源协同配合</w:t>
      </w:r>
      <w:r>
        <w:rPr>
          <w:rFonts w:ascii="仿宋_GB2312" w:eastAsia="仿宋_GB2312" w:cs="楷体_GB2312"/>
          <w:color w:val="000000" w:themeColor="text1"/>
          <w:kern w:val="0"/>
          <w:sz w:val="32"/>
          <w:szCs w:val="32"/>
          <w:highlight w:val="none"/>
          <w:u w:val="none"/>
          <w14:textFill>
            <w14:solidFill>
              <w14:schemeClr w14:val="tx1"/>
            </w14:solidFill>
          </w14:textFill>
        </w:rPr>
        <w:t>，</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推动</w:t>
      </w:r>
      <w:r>
        <w:rPr>
          <w:rFonts w:ascii="仿宋_GB2312" w:hAnsi="Times New Roman" w:eastAsia="仿宋_GB2312" w:cs="仿宋_GB2312"/>
          <w:color w:val="000000" w:themeColor="text1"/>
          <w:sz w:val="32"/>
          <w:szCs w:val="32"/>
          <w:highlight w:val="none"/>
          <w:u w:val="none"/>
          <w14:textFill>
            <w14:solidFill>
              <w14:schemeClr w14:val="tx1"/>
            </w14:solidFill>
          </w14:textFill>
        </w:rPr>
        <w:t>与区</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外周</w:t>
      </w:r>
      <w:r>
        <w:rPr>
          <w:rFonts w:ascii="仿宋_GB2312" w:hAnsi="Times New Roman" w:eastAsia="仿宋_GB2312" w:cs="仿宋_GB2312"/>
          <w:color w:val="000000" w:themeColor="text1"/>
          <w:sz w:val="32"/>
          <w:szCs w:val="32"/>
          <w:highlight w:val="none"/>
          <w:u w:val="none"/>
          <w14:textFill>
            <w14:solidFill>
              <w14:schemeClr w14:val="tx1"/>
            </w14:solidFill>
          </w14:textFill>
        </w:rPr>
        <w:t>边地区</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交</w:t>
      </w:r>
      <w:r>
        <w:rPr>
          <w:rFonts w:ascii="仿宋_GB2312" w:eastAsia="仿宋_GB2312" w:cs="楷体_GB2312"/>
          <w:color w:val="000000" w:themeColor="text1"/>
          <w:kern w:val="0"/>
          <w:sz w:val="32"/>
          <w:szCs w:val="32"/>
          <w:highlight w:val="none"/>
          <w:u w:val="none"/>
          <w14:textFill>
            <w14:solidFill>
              <w14:schemeClr w14:val="tx1"/>
            </w14:solidFill>
          </w14:textFill>
        </w:rPr>
        <w:t>流合作，</w:t>
      </w:r>
      <w:r>
        <w:rPr>
          <w:rFonts w:hint="eastAsia" w:ascii="仿宋_GB2312" w:eastAsia="仿宋_GB2312" w:cs="楷体_GB2312"/>
          <w:color w:val="000000" w:themeColor="text1"/>
          <w:kern w:val="0"/>
          <w:sz w:val="32"/>
          <w:szCs w:val="32"/>
          <w:highlight w:val="none"/>
          <w:u w:val="none"/>
          <w14:textFill>
            <w14:solidFill>
              <w14:schemeClr w14:val="tx1"/>
            </w14:solidFill>
          </w14:textFill>
        </w:rPr>
        <w:t>探索</w:t>
      </w:r>
      <w:r>
        <w:rPr>
          <w:rFonts w:ascii="仿宋_GB2312" w:eastAsia="仿宋_GB2312" w:cs="楷体_GB2312"/>
          <w:color w:val="000000" w:themeColor="text1"/>
          <w:kern w:val="0"/>
          <w:sz w:val="32"/>
          <w:szCs w:val="32"/>
          <w:highlight w:val="none"/>
          <w:u w:val="none"/>
          <w14:textFill>
            <w14:solidFill>
              <w14:schemeClr w14:val="tx1"/>
            </w14:solidFill>
          </w14:textFill>
        </w:rPr>
        <w:t>跨区域合作新模式</w:t>
      </w:r>
      <w:r>
        <w:rPr>
          <w:rFonts w:ascii="仿宋_GB2312" w:hAnsi="Times New Roman" w:eastAsia="仿宋_GB2312" w:cs="仿宋_GB2312"/>
          <w:color w:val="000000" w:themeColor="text1"/>
          <w:sz w:val="32"/>
          <w:szCs w:val="32"/>
          <w:highlight w:val="none"/>
          <w:u w:val="none"/>
          <w14:textFill>
            <w14:solidFill>
              <w14:schemeClr w14:val="tx1"/>
            </w14:solidFill>
          </w14:textFill>
        </w:rPr>
        <w:t>，</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共同</w:t>
      </w:r>
      <w:r>
        <w:rPr>
          <w:rFonts w:ascii="仿宋_GB2312" w:hAnsi="Times New Roman" w:eastAsia="仿宋_GB2312" w:cs="仿宋_GB2312"/>
          <w:color w:val="000000" w:themeColor="text1"/>
          <w:sz w:val="32"/>
          <w:szCs w:val="32"/>
          <w:highlight w:val="none"/>
          <w:u w:val="none"/>
          <w14:textFill>
            <w14:solidFill>
              <w14:schemeClr w14:val="tx1"/>
            </w14:solidFill>
          </w14:textFill>
        </w:rPr>
        <w:t>推动粤港澳</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大</w:t>
      </w:r>
      <w:r>
        <w:rPr>
          <w:rFonts w:ascii="仿宋_GB2312" w:hAnsi="Times New Roman" w:eastAsia="仿宋_GB2312" w:cs="仿宋_GB2312"/>
          <w:color w:val="000000" w:themeColor="text1"/>
          <w:sz w:val="32"/>
          <w:szCs w:val="32"/>
          <w:highlight w:val="none"/>
          <w:u w:val="none"/>
          <w14:textFill>
            <w14:solidFill>
              <w14:schemeClr w14:val="tx1"/>
            </w14:solidFill>
          </w14:textFill>
        </w:rPr>
        <w:t>湾区建设</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。强化</w:t>
      </w:r>
      <w:r>
        <w:rPr>
          <w:rFonts w:ascii="仿宋_GB2312" w:hAnsi="Times New Roman" w:eastAsia="仿宋_GB2312" w:cs="仿宋_GB2312"/>
          <w:color w:val="000000" w:themeColor="text1"/>
          <w:sz w:val="32"/>
          <w:szCs w:val="32"/>
          <w:highlight w:val="none"/>
          <w:u w:val="none"/>
          <w14:textFill>
            <w14:solidFill>
              <w14:schemeClr w14:val="tx1"/>
            </w14:solidFill>
          </w14:textFill>
        </w:rPr>
        <w:t>同</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“一带一路”沿线国家和地区开展多层次、多领域的务实合作，不</w:t>
      </w:r>
      <w:r>
        <w:rPr>
          <w:rFonts w:ascii="仿宋_GB2312" w:hAnsi="Times New Roman" w:eastAsia="仿宋_GB2312" w:cs="仿宋_GB2312"/>
          <w:color w:val="000000" w:themeColor="text1"/>
          <w:sz w:val="32"/>
          <w:szCs w:val="32"/>
          <w:highlight w:val="none"/>
          <w:u w:val="none"/>
          <w14:textFill>
            <w14:solidFill>
              <w14:schemeClr w14:val="tx1"/>
            </w14:solidFill>
          </w14:textFill>
        </w:rPr>
        <w:t>断提高</w:t>
      </w:r>
      <w:r>
        <w:rPr>
          <w:rFonts w:hint="eastAsia" w:ascii="仿宋_GB2312" w:hAnsi="Times New Roman" w:eastAsia="仿宋_GB2312" w:cs="仿宋_GB2312"/>
          <w:color w:val="000000" w:themeColor="text1"/>
          <w:sz w:val="32"/>
          <w:szCs w:val="32"/>
          <w:highlight w:val="none"/>
          <w:u w:val="none"/>
          <w14:textFill>
            <w14:solidFill>
              <w14:schemeClr w14:val="tx1"/>
            </w14:solidFill>
          </w14:textFill>
        </w:rPr>
        <w:t>“走出去”的竞争力。</w:t>
      </w:r>
    </w:p>
    <w:p w14:paraId="243BFCF7">
      <w:pPr>
        <w:spacing w:line="560" w:lineRule="exact"/>
        <w:ind w:firstLine="643" w:firstLineChars="200"/>
        <w:rPr>
          <w:rFonts w:ascii="仿宋_GB2312" w:eastAsia="仿宋_GB2312" w:cs="楷体_GB2312"/>
          <w:color w:val="000000" w:themeColor="text1"/>
          <w:kern w:val="0"/>
          <w:sz w:val="32"/>
          <w:szCs w:val="32"/>
          <w:highlight w:val="none"/>
          <w:u w:val="none"/>
          <w14:textFill>
            <w14:solidFill>
              <w14:schemeClr w14:val="tx1"/>
            </w14:solidFill>
          </w14:textFill>
        </w:rPr>
      </w:pPr>
      <w:bookmarkStart w:id="182" w:name="_Toc42762207"/>
      <w:r>
        <w:rPr>
          <w:rFonts w:hint="eastAsia" w:ascii="仿宋_GB2312" w:eastAsia="仿宋_GB2312" w:cs="楷体_GB2312"/>
          <w:b/>
          <w:color w:val="000000" w:themeColor="text1"/>
          <w:kern w:val="0"/>
          <w:sz w:val="32"/>
          <w:szCs w:val="32"/>
          <w:highlight w:val="none"/>
          <w:u w:val="none"/>
          <w14:textFill>
            <w14:solidFill>
              <w14:schemeClr w14:val="tx1"/>
            </w14:solidFill>
          </w14:textFill>
        </w:rPr>
        <w:t>加强与周边区域的合作</w:t>
      </w:r>
      <w:bookmarkEnd w:id="182"/>
      <w:r>
        <w:rPr>
          <w:rFonts w:hint="eastAsia" w:ascii="仿宋_GB2312" w:eastAsia="仿宋_GB2312" w:cs="楷体_GB2312"/>
          <w:b/>
          <w:color w:val="000000" w:themeColor="text1"/>
          <w:kern w:val="0"/>
          <w:sz w:val="32"/>
          <w:szCs w:val="32"/>
          <w:highlight w:val="none"/>
          <w:u w:val="none"/>
          <w14:textFill>
            <w14:solidFill>
              <w14:schemeClr w14:val="tx1"/>
            </w14:solidFill>
          </w14:textFill>
        </w:rPr>
        <w:t>。</w:t>
      </w:r>
      <w:r>
        <w:rPr>
          <w:rFonts w:hint="eastAsia" w:ascii="仿宋_GB2312" w:eastAsia="仿宋_GB2312" w:cs="楷体_GB2312"/>
          <w:color w:val="000000" w:themeColor="text1"/>
          <w:kern w:val="0"/>
          <w:sz w:val="32"/>
          <w:szCs w:val="32"/>
          <w:highlight w:val="none"/>
          <w:u w:val="none"/>
          <w14:textFill>
            <w14:solidFill>
              <w14:schemeClr w14:val="tx1"/>
            </w14:solidFill>
          </w14:textFill>
        </w:rPr>
        <w:t>以科</w:t>
      </w:r>
      <w:r>
        <w:rPr>
          <w:rFonts w:ascii="仿宋_GB2312" w:eastAsia="仿宋_GB2312" w:cs="楷体_GB2312"/>
          <w:color w:val="000000" w:themeColor="text1"/>
          <w:kern w:val="0"/>
          <w:sz w:val="32"/>
          <w:szCs w:val="32"/>
          <w:highlight w:val="none"/>
          <w:u w:val="none"/>
          <w14:textFill>
            <w14:solidFill>
              <w14:schemeClr w14:val="tx1"/>
            </w14:solidFill>
          </w14:textFill>
        </w:rPr>
        <w:t>技创新合作为桥梁，</w:t>
      </w:r>
      <w:r>
        <w:rPr>
          <w:rFonts w:hint="eastAsia" w:ascii="仿宋_GB2312" w:eastAsia="仿宋_GB2312" w:cs="楷体_GB2312"/>
          <w:color w:val="000000" w:themeColor="text1"/>
          <w:kern w:val="0"/>
          <w:sz w:val="32"/>
          <w:szCs w:val="32"/>
          <w:highlight w:val="none"/>
          <w:u w:val="none"/>
          <w14:textFill>
            <w14:solidFill>
              <w14:schemeClr w14:val="tx1"/>
            </w14:solidFill>
          </w14:textFill>
        </w:rPr>
        <w:t>加</w:t>
      </w:r>
      <w:r>
        <w:rPr>
          <w:rFonts w:ascii="仿宋_GB2312" w:eastAsia="仿宋_GB2312" w:cs="楷体_GB2312"/>
          <w:color w:val="000000" w:themeColor="text1"/>
          <w:kern w:val="0"/>
          <w:sz w:val="32"/>
          <w:szCs w:val="32"/>
          <w:highlight w:val="none"/>
          <w:u w:val="none"/>
          <w14:textFill>
            <w14:solidFill>
              <w14:schemeClr w14:val="tx1"/>
            </w14:solidFill>
          </w14:textFill>
        </w:rPr>
        <w:t>强</w:t>
      </w:r>
      <w:r>
        <w:rPr>
          <w:rFonts w:hint="eastAsia" w:ascii="仿宋_GB2312" w:eastAsia="仿宋_GB2312" w:cs="楷体_GB2312"/>
          <w:color w:val="000000" w:themeColor="text1"/>
          <w:kern w:val="0"/>
          <w:sz w:val="32"/>
          <w:szCs w:val="32"/>
          <w:highlight w:val="none"/>
          <w:u w:val="none"/>
          <w14:textFill>
            <w14:solidFill>
              <w14:schemeClr w14:val="tx1"/>
            </w14:solidFill>
          </w14:textFill>
        </w:rPr>
        <w:t>光明科学城、深港科技创新合作区、西丽湖国际科教城之间合</w:t>
      </w:r>
      <w:r>
        <w:rPr>
          <w:rFonts w:ascii="仿宋_GB2312" w:eastAsia="仿宋_GB2312" w:cs="楷体_GB2312"/>
          <w:color w:val="000000" w:themeColor="text1"/>
          <w:kern w:val="0"/>
          <w:sz w:val="32"/>
          <w:szCs w:val="32"/>
          <w:highlight w:val="none"/>
          <w:u w:val="none"/>
          <w14:textFill>
            <w14:solidFill>
              <w14:schemeClr w14:val="tx1"/>
            </w14:solidFill>
          </w14:textFill>
        </w:rPr>
        <w:t>作，探索</w:t>
      </w:r>
      <w:r>
        <w:rPr>
          <w:rFonts w:hint="eastAsia" w:ascii="仿宋_GB2312" w:eastAsia="仿宋_GB2312" w:cs="楷体_GB2312"/>
          <w:color w:val="000000" w:themeColor="text1"/>
          <w:kern w:val="0"/>
          <w:sz w:val="32"/>
          <w:szCs w:val="32"/>
          <w:highlight w:val="none"/>
          <w:u w:val="none"/>
          <w14:textFill>
            <w14:solidFill>
              <w14:schemeClr w14:val="tx1"/>
            </w14:solidFill>
          </w14:textFill>
        </w:rPr>
        <w:t>三</w:t>
      </w:r>
      <w:r>
        <w:rPr>
          <w:rFonts w:ascii="仿宋_GB2312" w:eastAsia="仿宋_GB2312" w:cs="楷体_GB2312"/>
          <w:color w:val="000000" w:themeColor="text1"/>
          <w:kern w:val="0"/>
          <w:sz w:val="32"/>
          <w:szCs w:val="32"/>
          <w:highlight w:val="none"/>
          <w:u w:val="none"/>
          <w14:textFill>
            <w14:solidFill>
              <w14:schemeClr w14:val="tx1"/>
            </w14:solidFill>
          </w14:textFill>
        </w:rPr>
        <w:t>地成立创新合作</w:t>
      </w:r>
      <w:r>
        <w:rPr>
          <w:rFonts w:hint="eastAsia" w:ascii="仿宋_GB2312" w:eastAsia="仿宋_GB2312" w:cs="楷体_GB2312"/>
          <w:color w:val="000000" w:themeColor="text1"/>
          <w:kern w:val="0"/>
          <w:sz w:val="32"/>
          <w:szCs w:val="32"/>
          <w:highlight w:val="none"/>
          <w:u w:val="none"/>
          <w14:textFill>
            <w14:solidFill>
              <w14:schemeClr w14:val="tx1"/>
            </w14:solidFill>
          </w14:textFill>
        </w:rPr>
        <w:t>与</w:t>
      </w:r>
      <w:r>
        <w:rPr>
          <w:rFonts w:ascii="仿宋_GB2312" w:eastAsia="仿宋_GB2312" w:cs="楷体_GB2312"/>
          <w:color w:val="000000" w:themeColor="text1"/>
          <w:kern w:val="0"/>
          <w:sz w:val="32"/>
          <w:szCs w:val="32"/>
          <w:highlight w:val="none"/>
          <w:u w:val="none"/>
          <w14:textFill>
            <w14:solidFill>
              <w14:schemeClr w14:val="tx1"/>
            </w14:solidFill>
          </w14:textFill>
        </w:rPr>
        <w:t>共建</w:t>
      </w:r>
      <w:r>
        <w:rPr>
          <w:rFonts w:hint="eastAsia" w:ascii="仿宋_GB2312" w:eastAsia="仿宋_GB2312" w:cs="楷体_GB2312"/>
          <w:color w:val="000000" w:themeColor="text1"/>
          <w:kern w:val="0"/>
          <w:sz w:val="32"/>
          <w:szCs w:val="32"/>
          <w:highlight w:val="none"/>
          <w:u w:val="none"/>
          <w14:textFill>
            <w14:solidFill>
              <w14:schemeClr w14:val="tx1"/>
            </w14:solidFill>
          </w14:textFill>
        </w:rPr>
        <w:t>共</w:t>
      </w:r>
      <w:r>
        <w:rPr>
          <w:rFonts w:ascii="仿宋_GB2312" w:eastAsia="仿宋_GB2312" w:cs="楷体_GB2312"/>
          <w:color w:val="000000" w:themeColor="text1"/>
          <w:kern w:val="0"/>
          <w:sz w:val="32"/>
          <w:szCs w:val="32"/>
          <w:highlight w:val="none"/>
          <w:u w:val="none"/>
          <w14:textFill>
            <w14:solidFill>
              <w14:schemeClr w14:val="tx1"/>
            </w14:solidFill>
          </w14:textFill>
        </w:rPr>
        <w:t>享机制，</w:t>
      </w:r>
      <w:r>
        <w:rPr>
          <w:rFonts w:hint="eastAsia" w:ascii="仿宋_GB2312" w:eastAsia="仿宋_GB2312" w:cs="楷体_GB2312"/>
          <w:color w:val="000000" w:themeColor="text1"/>
          <w:kern w:val="0"/>
          <w:sz w:val="32"/>
          <w:szCs w:val="32"/>
          <w:highlight w:val="none"/>
          <w:u w:val="none"/>
          <w14:textFill>
            <w14:solidFill>
              <w14:schemeClr w14:val="tx1"/>
            </w14:solidFill>
          </w14:textFill>
        </w:rPr>
        <w:t>在基础设施共</w:t>
      </w:r>
      <w:r>
        <w:rPr>
          <w:rFonts w:ascii="仿宋_GB2312" w:eastAsia="仿宋_GB2312" w:cs="楷体_GB2312"/>
          <w:color w:val="000000" w:themeColor="text1"/>
          <w:kern w:val="0"/>
          <w:sz w:val="32"/>
          <w:szCs w:val="32"/>
          <w:highlight w:val="none"/>
          <w:u w:val="none"/>
          <w14:textFill>
            <w14:solidFill>
              <w14:schemeClr w14:val="tx1"/>
            </w14:solidFill>
          </w14:textFill>
        </w:rPr>
        <w:t>享</w:t>
      </w:r>
      <w:r>
        <w:rPr>
          <w:rFonts w:hint="eastAsia" w:ascii="仿宋_GB2312" w:eastAsia="仿宋_GB2312" w:cs="楷体_GB2312"/>
          <w:color w:val="000000" w:themeColor="text1"/>
          <w:kern w:val="0"/>
          <w:sz w:val="32"/>
          <w:szCs w:val="32"/>
          <w:highlight w:val="none"/>
          <w:u w:val="none"/>
          <w14:textFill>
            <w14:solidFill>
              <w14:schemeClr w14:val="tx1"/>
            </w14:solidFill>
          </w14:textFill>
        </w:rPr>
        <w:t>、技术联合攻关、跨领域</w:t>
      </w:r>
      <w:r>
        <w:rPr>
          <w:rFonts w:ascii="仿宋_GB2312" w:eastAsia="仿宋_GB2312" w:cs="楷体_GB2312"/>
          <w:color w:val="000000" w:themeColor="text1"/>
          <w:kern w:val="0"/>
          <w:sz w:val="32"/>
          <w:szCs w:val="32"/>
          <w:highlight w:val="none"/>
          <w:u w:val="none"/>
          <w14:textFill>
            <w14:solidFill>
              <w14:schemeClr w14:val="tx1"/>
            </w14:solidFill>
          </w14:textFill>
        </w:rPr>
        <w:t>产学研合作</w:t>
      </w:r>
      <w:r>
        <w:rPr>
          <w:rFonts w:hint="eastAsia" w:ascii="仿宋_GB2312" w:eastAsia="仿宋_GB2312" w:cs="楷体_GB2312"/>
          <w:color w:val="000000" w:themeColor="text1"/>
          <w:kern w:val="0"/>
          <w:sz w:val="32"/>
          <w:szCs w:val="32"/>
          <w:highlight w:val="none"/>
          <w:u w:val="none"/>
          <w14:textFill>
            <w14:solidFill>
              <w14:schemeClr w14:val="tx1"/>
            </w14:solidFill>
          </w14:textFill>
        </w:rPr>
        <w:t>、人员互动交流、投</w:t>
      </w:r>
      <w:r>
        <w:rPr>
          <w:rFonts w:ascii="仿宋_GB2312" w:eastAsia="仿宋_GB2312" w:cs="楷体_GB2312"/>
          <w:color w:val="000000" w:themeColor="text1"/>
          <w:kern w:val="0"/>
          <w:sz w:val="32"/>
          <w:szCs w:val="32"/>
          <w:highlight w:val="none"/>
          <w:u w:val="none"/>
          <w14:textFill>
            <w14:solidFill>
              <w14:schemeClr w14:val="tx1"/>
            </w14:solidFill>
          </w14:textFill>
        </w:rPr>
        <w:t>融资等</w:t>
      </w:r>
      <w:r>
        <w:rPr>
          <w:rFonts w:hint="eastAsia" w:ascii="仿宋_GB2312" w:eastAsia="仿宋_GB2312" w:cs="楷体_GB2312"/>
          <w:color w:val="000000" w:themeColor="text1"/>
          <w:kern w:val="0"/>
          <w:sz w:val="32"/>
          <w:szCs w:val="32"/>
          <w:highlight w:val="none"/>
          <w:u w:val="none"/>
          <w14:textFill>
            <w14:solidFill>
              <w14:schemeClr w14:val="tx1"/>
            </w14:solidFill>
          </w14:textFill>
        </w:rPr>
        <w:t>方</w:t>
      </w:r>
      <w:r>
        <w:rPr>
          <w:rFonts w:ascii="仿宋_GB2312" w:eastAsia="仿宋_GB2312" w:cs="楷体_GB2312"/>
          <w:color w:val="000000" w:themeColor="text1"/>
          <w:kern w:val="0"/>
          <w:sz w:val="32"/>
          <w:szCs w:val="32"/>
          <w:highlight w:val="none"/>
          <w:u w:val="none"/>
          <w14:textFill>
            <w14:solidFill>
              <w14:schemeClr w14:val="tx1"/>
            </w14:solidFill>
          </w14:textFill>
        </w:rPr>
        <w:t>面</w:t>
      </w:r>
      <w:r>
        <w:rPr>
          <w:rFonts w:hint="eastAsia" w:ascii="仿宋_GB2312" w:eastAsia="仿宋_GB2312" w:cs="楷体_GB2312"/>
          <w:color w:val="000000" w:themeColor="text1"/>
          <w:kern w:val="0"/>
          <w:sz w:val="32"/>
          <w:szCs w:val="32"/>
          <w:highlight w:val="none"/>
          <w:u w:val="none"/>
          <w14:textFill>
            <w14:solidFill>
              <w14:schemeClr w14:val="tx1"/>
            </w14:solidFill>
          </w14:textFill>
        </w:rPr>
        <w:t>开</w:t>
      </w:r>
      <w:r>
        <w:rPr>
          <w:rFonts w:ascii="仿宋_GB2312" w:eastAsia="仿宋_GB2312" w:cs="楷体_GB2312"/>
          <w:color w:val="000000" w:themeColor="text1"/>
          <w:kern w:val="0"/>
          <w:sz w:val="32"/>
          <w:szCs w:val="32"/>
          <w:highlight w:val="none"/>
          <w:u w:val="none"/>
          <w14:textFill>
            <w14:solidFill>
              <w14:schemeClr w14:val="tx1"/>
            </w14:solidFill>
          </w14:textFill>
        </w:rPr>
        <w:t>展先行探索</w:t>
      </w:r>
      <w:r>
        <w:rPr>
          <w:rFonts w:hint="eastAsia" w:ascii="仿宋_GB2312" w:eastAsia="仿宋_GB2312" w:cs="楷体_GB2312"/>
          <w:color w:val="000000" w:themeColor="text1"/>
          <w:kern w:val="0"/>
          <w:sz w:val="32"/>
          <w:szCs w:val="32"/>
          <w:highlight w:val="none"/>
          <w:u w:val="none"/>
          <w:lang w:eastAsia="zh-CN"/>
          <w14:textFill>
            <w14:solidFill>
              <w14:schemeClr w14:val="tx1"/>
            </w14:solidFill>
          </w14:textFill>
        </w:rPr>
        <w:t>，共同推动与</w:t>
      </w:r>
      <w:r>
        <w:rPr>
          <w:rFonts w:hint="eastAsia" w:ascii="仿宋_GB2312" w:eastAsia="仿宋_GB2312" w:cs="楷体_GB2312"/>
          <w:color w:val="000000" w:themeColor="text1"/>
          <w:kern w:val="0"/>
          <w:sz w:val="32"/>
          <w:szCs w:val="32"/>
          <w:highlight w:val="none"/>
          <w:u w:val="none"/>
          <w14:textFill>
            <w14:solidFill>
              <w14:schemeClr w14:val="tx1"/>
            </w14:solidFill>
          </w14:textFill>
        </w:rPr>
        <w:t>北京、上海、合肥综合性国家科学中心的联动发展。推动建设高铁光明城站至宝安空港站、西丽湖国际科教城、河套深港科技创新合作区的快捷通道，支持西丽科教城内源头创新机构在光明科学城设立分支机构，打造宝安-光明-龙华-龙岗“西融东联”、光明-西丽-河套“南接北拓”科技创新走廊。加强与新桥、松岗、石岩、观澜等周边区域的融合互动发展，发挥科技创新主引擎作用。</w:t>
      </w:r>
    </w:p>
    <w:p w14:paraId="46F56DAB">
      <w:pPr>
        <w:spacing w:line="560" w:lineRule="exact"/>
        <w:ind w:firstLine="643" w:firstLineChars="200"/>
        <w:rPr>
          <w:rFonts w:ascii="仿宋_GB2312" w:eastAsia="仿宋_GB2312" w:cs="楷体_GB2312"/>
          <w:color w:val="000000" w:themeColor="text1"/>
          <w:kern w:val="0"/>
          <w:sz w:val="32"/>
          <w:szCs w:val="32"/>
          <w:highlight w:val="none"/>
          <w:u w:val="none"/>
          <w14:textFill>
            <w14:solidFill>
              <w14:schemeClr w14:val="tx1"/>
            </w14:solidFill>
          </w14:textFill>
        </w:rPr>
      </w:pPr>
      <w:r>
        <w:rPr>
          <w:rFonts w:hint="eastAsia" w:ascii="仿宋_GB2312" w:eastAsia="仿宋_GB2312" w:cs="楷体_GB2312"/>
          <w:b/>
          <w:color w:val="000000" w:themeColor="text1"/>
          <w:kern w:val="0"/>
          <w:sz w:val="32"/>
          <w:szCs w:val="32"/>
          <w:highlight w:val="none"/>
          <w:u w:val="none"/>
          <w14:textFill>
            <w14:solidFill>
              <w14:schemeClr w14:val="tx1"/>
            </w14:solidFill>
          </w14:textFill>
        </w:rPr>
        <w:t>融入大湾区一体化协同</w:t>
      </w:r>
      <w:bookmarkEnd w:id="181"/>
      <w:r>
        <w:rPr>
          <w:rFonts w:hint="eastAsia" w:ascii="仿宋_GB2312" w:eastAsia="仿宋_GB2312" w:cs="楷体_GB2312"/>
          <w:b/>
          <w:color w:val="000000" w:themeColor="text1"/>
          <w:kern w:val="0"/>
          <w:sz w:val="32"/>
          <w:szCs w:val="32"/>
          <w:highlight w:val="none"/>
          <w:u w:val="none"/>
          <w14:textFill>
            <w14:solidFill>
              <w14:schemeClr w14:val="tx1"/>
            </w14:solidFill>
          </w14:textFill>
        </w:rPr>
        <w:t>。</w:t>
      </w:r>
      <w:r>
        <w:rPr>
          <w:rFonts w:hint="eastAsia" w:ascii="仿宋_GB2312" w:eastAsia="仿宋_GB2312" w:cs="楷体_GB2312"/>
          <w:color w:val="000000" w:themeColor="text1"/>
          <w:kern w:val="0"/>
          <w:sz w:val="32"/>
          <w:szCs w:val="32"/>
          <w:highlight w:val="none"/>
          <w:u w:val="none"/>
          <w14:textFill>
            <w14:solidFill>
              <w14:schemeClr w14:val="tx1"/>
            </w14:solidFill>
          </w14:textFill>
        </w:rPr>
        <w:t>重点</w:t>
      </w:r>
      <w:r>
        <w:rPr>
          <w:rFonts w:hint="eastAsia" w:ascii="仿宋_GB2312" w:hAnsi="Times New Roman" w:eastAsia="仿宋_GB2312" w:cs="仿宋_GB2312"/>
          <w:bCs/>
          <w:color w:val="000000" w:themeColor="text1"/>
          <w:sz w:val="32"/>
          <w:szCs w:val="32"/>
          <w:highlight w:val="none"/>
          <w:u w:val="none"/>
          <w14:textFill>
            <w14:solidFill>
              <w14:schemeClr w14:val="tx1"/>
            </w14:solidFill>
          </w14:textFill>
        </w:rPr>
        <w:t>推动</w:t>
      </w:r>
      <w:r>
        <w:rPr>
          <w:rFonts w:hint="eastAsia" w:ascii="仿宋_GB2312" w:eastAsia="仿宋_GB2312" w:cs="楷体_GB2312"/>
          <w:color w:val="000000" w:themeColor="text1"/>
          <w:kern w:val="0"/>
          <w:sz w:val="32"/>
          <w:szCs w:val="32"/>
          <w:highlight w:val="none"/>
          <w:u w:val="none"/>
          <w14:textFill>
            <w14:solidFill>
              <w14:schemeClr w14:val="tx1"/>
            </w14:solidFill>
          </w14:textFill>
        </w:rPr>
        <w:t>与港澳地区在智</w:t>
      </w:r>
      <w:r>
        <w:rPr>
          <w:rFonts w:ascii="仿宋_GB2312" w:eastAsia="仿宋_GB2312" w:cs="楷体_GB2312"/>
          <w:color w:val="000000" w:themeColor="text1"/>
          <w:kern w:val="0"/>
          <w:sz w:val="32"/>
          <w:szCs w:val="32"/>
          <w:highlight w:val="none"/>
          <w:u w:val="none"/>
          <w14:textFill>
            <w14:solidFill>
              <w14:schemeClr w14:val="tx1"/>
            </w14:solidFill>
          </w14:textFill>
        </w:rPr>
        <w:t>能制造、生物医药</w:t>
      </w:r>
      <w:r>
        <w:rPr>
          <w:rFonts w:hint="eastAsia" w:ascii="仿宋_GB2312" w:eastAsia="仿宋_GB2312" w:cs="楷体_GB2312"/>
          <w:color w:val="000000" w:themeColor="text1"/>
          <w:kern w:val="0"/>
          <w:sz w:val="32"/>
          <w:szCs w:val="32"/>
          <w:highlight w:val="none"/>
          <w:u w:val="none"/>
          <w14:textFill>
            <w14:solidFill>
              <w14:schemeClr w14:val="tx1"/>
            </w14:solidFill>
          </w14:textFill>
        </w:rPr>
        <w:t>以</w:t>
      </w:r>
      <w:r>
        <w:rPr>
          <w:rFonts w:ascii="仿宋_GB2312" w:eastAsia="仿宋_GB2312" w:cs="楷体_GB2312"/>
          <w:color w:val="000000" w:themeColor="text1"/>
          <w:kern w:val="0"/>
          <w:sz w:val="32"/>
          <w:szCs w:val="32"/>
          <w:highlight w:val="none"/>
          <w:u w:val="none"/>
          <w14:textFill>
            <w14:solidFill>
              <w14:schemeClr w14:val="tx1"/>
            </w14:solidFill>
          </w14:textFill>
        </w:rPr>
        <w:t>及专业技</w:t>
      </w:r>
      <w:r>
        <w:rPr>
          <w:rFonts w:hint="eastAsia" w:ascii="仿宋_GB2312" w:eastAsia="仿宋_GB2312" w:cs="楷体_GB2312"/>
          <w:color w:val="000000" w:themeColor="text1"/>
          <w:kern w:val="0"/>
          <w:sz w:val="32"/>
          <w:szCs w:val="32"/>
          <w:highlight w:val="none"/>
          <w:u w:val="none"/>
          <w14:textFill>
            <w14:solidFill>
              <w14:schemeClr w14:val="tx1"/>
            </w14:solidFill>
          </w14:textFill>
        </w:rPr>
        <w:t>术</w:t>
      </w:r>
      <w:r>
        <w:rPr>
          <w:rFonts w:ascii="仿宋_GB2312" w:eastAsia="仿宋_GB2312" w:cs="楷体_GB2312"/>
          <w:color w:val="000000" w:themeColor="text1"/>
          <w:kern w:val="0"/>
          <w:sz w:val="32"/>
          <w:szCs w:val="32"/>
          <w:highlight w:val="none"/>
          <w:u w:val="none"/>
          <w14:textFill>
            <w14:solidFill>
              <w14:schemeClr w14:val="tx1"/>
            </w14:solidFill>
          </w14:textFill>
        </w:rPr>
        <w:t>服务业</w:t>
      </w:r>
      <w:r>
        <w:rPr>
          <w:rFonts w:hint="eastAsia" w:ascii="仿宋_GB2312" w:eastAsia="仿宋_GB2312" w:cs="楷体_GB2312"/>
          <w:color w:val="000000" w:themeColor="text1"/>
          <w:kern w:val="0"/>
          <w:sz w:val="32"/>
          <w:szCs w:val="32"/>
          <w:highlight w:val="none"/>
          <w:u w:val="none"/>
          <w14:textFill>
            <w14:solidFill>
              <w14:schemeClr w14:val="tx1"/>
            </w14:solidFill>
          </w14:textFill>
        </w:rPr>
        <w:t>领域</w:t>
      </w:r>
      <w:r>
        <w:rPr>
          <w:rFonts w:ascii="仿宋_GB2312" w:eastAsia="仿宋_GB2312" w:cs="楷体_GB2312"/>
          <w:color w:val="000000" w:themeColor="text1"/>
          <w:kern w:val="0"/>
          <w:sz w:val="32"/>
          <w:szCs w:val="32"/>
          <w:highlight w:val="none"/>
          <w:u w:val="none"/>
          <w14:textFill>
            <w14:solidFill>
              <w14:schemeClr w14:val="tx1"/>
            </w14:solidFill>
          </w14:textFill>
        </w:rPr>
        <w:t>的合作，</w:t>
      </w:r>
      <w:r>
        <w:rPr>
          <w:rFonts w:hint="eastAsia" w:ascii="仿宋_GB2312" w:eastAsia="仿宋_GB2312" w:cs="楷体_GB2312"/>
          <w:color w:val="000000" w:themeColor="text1"/>
          <w:kern w:val="0"/>
          <w:sz w:val="32"/>
          <w:szCs w:val="32"/>
          <w:highlight w:val="none"/>
          <w:u w:val="none"/>
          <w14:textFill>
            <w14:solidFill>
              <w14:schemeClr w14:val="tx1"/>
            </w14:solidFill>
          </w14:textFill>
        </w:rPr>
        <w:t>联</w:t>
      </w:r>
      <w:r>
        <w:rPr>
          <w:rFonts w:ascii="仿宋_GB2312" w:eastAsia="仿宋_GB2312" w:cs="楷体_GB2312"/>
          <w:color w:val="000000" w:themeColor="text1"/>
          <w:kern w:val="0"/>
          <w:sz w:val="32"/>
          <w:szCs w:val="32"/>
          <w:highlight w:val="none"/>
          <w:u w:val="none"/>
          <w14:textFill>
            <w14:solidFill>
              <w14:schemeClr w14:val="tx1"/>
            </w14:solidFill>
          </w14:textFill>
        </w:rPr>
        <w:t>合港澳</w:t>
      </w:r>
      <w:r>
        <w:rPr>
          <w:rFonts w:hint="eastAsia" w:ascii="仿宋_GB2312" w:eastAsia="仿宋_GB2312" w:cs="楷体_GB2312"/>
          <w:color w:val="000000" w:themeColor="text1"/>
          <w:kern w:val="0"/>
          <w:sz w:val="32"/>
          <w:szCs w:val="32"/>
          <w:highlight w:val="none"/>
          <w:u w:val="none"/>
          <w14:textFill>
            <w14:solidFill>
              <w14:schemeClr w14:val="tx1"/>
            </w14:solidFill>
          </w14:textFill>
        </w:rPr>
        <w:t>共</w:t>
      </w:r>
      <w:r>
        <w:rPr>
          <w:rFonts w:ascii="仿宋_GB2312" w:eastAsia="仿宋_GB2312" w:cs="楷体_GB2312"/>
          <w:color w:val="000000" w:themeColor="text1"/>
          <w:kern w:val="0"/>
          <w:sz w:val="32"/>
          <w:szCs w:val="32"/>
          <w:highlight w:val="none"/>
          <w:u w:val="none"/>
          <w14:textFill>
            <w14:solidFill>
              <w14:schemeClr w14:val="tx1"/>
            </w14:solidFill>
          </w14:textFill>
        </w:rPr>
        <w:t>建</w:t>
      </w:r>
      <w:r>
        <w:rPr>
          <w:rFonts w:hint="eastAsia" w:ascii="仿宋_GB2312" w:hAnsi="黑体" w:eastAsia="仿宋_GB2312"/>
          <w:color w:val="000000" w:themeColor="text1"/>
          <w:sz w:val="32"/>
          <w:szCs w:val="32"/>
          <w:highlight w:val="none"/>
          <w:u w:val="none"/>
          <w14:textFill>
            <w14:solidFill>
              <w14:schemeClr w14:val="tx1"/>
            </w14:solidFill>
          </w14:textFill>
        </w:rPr>
        <w:t>技术转移实验室、公共技术服务平台、深港澳创新创业发展基地；利用国际创新资源的科技平台、产学研联盟和创客中心等载体，吸引港澳优秀科研团队及创新创业人才落户光明区；</w:t>
      </w:r>
      <w:r>
        <w:rPr>
          <w:rFonts w:hint="eastAsia" w:ascii="仿宋_GB2312" w:hAnsi="仿宋_GB2312" w:eastAsia="仿宋_GB2312"/>
          <w:color w:val="000000" w:themeColor="text1"/>
          <w:sz w:val="32"/>
          <w:szCs w:val="32"/>
          <w:highlight w:val="none"/>
          <w:u w:val="none"/>
          <w14:textFill>
            <w14:solidFill>
              <w14:schemeClr w14:val="tx1"/>
            </w14:solidFill>
          </w14:textFill>
        </w:rPr>
        <w:t>争取粤港澳认证及相关检测业务互认制度试点，鼓励港资检测机构在光明设立检测认证机构</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w:t>
      </w:r>
      <w:r>
        <w:rPr>
          <w:rFonts w:hint="eastAsia" w:ascii="仿宋_GB2312" w:hAnsi="仿宋_GB2312" w:eastAsia="仿宋_GB2312"/>
          <w:color w:val="000000" w:themeColor="text1"/>
          <w:sz w:val="32"/>
          <w:szCs w:val="32"/>
          <w:highlight w:val="none"/>
          <w:u w:val="none"/>
          <w14:textFill>
            <w14:solidFill>
              <w14:schemeClr w14:val="tx1"/>
            </w14:solidFill>
          </w14:textFill>
        </w:rPr>
        <w:t>开展赴港上市企业培育，推动更多的企业在港交所上市。</w:t>
      </w:r>
      <w:r>
        <w:rPr>
          <w:rFonts w:hint="eastAsia" w:ascii="仿宋_GB2312" w:eastAsia="仿宋_GB2312" w:cs="楷体_GB2312"/>
          <w:color w:val="000000" w:themeColor="text1"/>
          <w:kern w:val="0"/>
          <w:sz w:val="32"/>
          <w:szCs w:val="32"/>
          <w:highlight w:val="none"/>
          <w:u w:val="none"/>
          <w14:textFill>
            <w14:solidFill>
              <w14:schemeClr w14:val="tx1"/>
            </w14:solidFill>
          </w14:textFill>
        </w:rPr>
        <w:t>推动与广州大学城、中新知识城、广州科学城、东莞松山湖科技产业园等广深创新走廊核心节点区的联动发展，探索与东莞、江门、中山等地的功能协调、产业互补、成果共享合作机制。</w:t>
      </w:r>
    </w:p>
    <w:p w14:paraId="3B1EB525">
      <w:pPr>
        <w:spacing w:line="560" w:lineRule="exact"/>
        <w:ind w:firstLine="643" w:firstLineChars="200"/>
        <w:rPr>
          <w:rFonts w:ascii="仿宋_GB2312" w:eastAsia="仿宋_GB2312" w:cs="楷体_GB2312"/>
          <w:color w:val="000000" w:themeColor="text1"/>
          <w:kern w:val="0"/>
          <w:sz w:val="32"/>
          <w:szCs w:val="32"/>
          <w:highlight w:val="none"/>
          <w:u w:val="none"/>
          <w14:textFill>
            <w14:solidFill>
              <w14:schemeClr w14:val="tx1"/>
            </w14:solidFill>
          </w14:textFill>
        </w:rPr>
      </w:pPr>
      <w:r>
        <w:rPr>
          <w:rFonts w:hint="eastAsia" w:ascii="仿宋_GB2312" w:eastAsia="仿宋_GB2312" w:cs="楷体_GB2312"/>
          <w:b/>
          <w:color w:val="000000" w:themeColor="text1"/>
          <w:kern w:val="0"/>
          <w:sz w:val="32"/>
          <w:szCs w:val="32"/>
          <w:highlight w:val="none"/>
          <w:u w:val="none"/>
          <w14:textFill>
            <w14:solidFill>
              <w14:schemeClr w14:val="tx1"/>
            </w14:solidFill>
          </w14:textFill>
        </w:rPr>
        <w:t>加大国际间交流合作。</w:t>
      </w:r>
      <w:r>
        <w:rPr>
          <w:rFonts w:hint="eastAsia" w:ascii="仿宋_GB2312" w:hAnsi="仿宋" w:eastAsia="仿宋_GB2312"/>
          <w:color w:val="000000" w:themeColor="text1"/>
          <w:sz w:val="32"/>
          <w:szCs w:val="32"/>
          <w:highlight w:val="none"/>
          <w:u w:val="none"/>
          <w14:textFill>
            <w14:solidFill>
              <w14:schemeClr w14:val="tx1"/>
            </w14:solidFill>
          </w14:textFill>
        </w:rPr>
        <w:t>加强与“一带一路”沿线国家和新兴市场、</w:t>
      </w:r>
      <w:r>
        <w:rPr>
          <w:rFonts w:ascii="仿宋_GB2312" w:hAnsi="仿宋" w:eastAsia="仿宋_GB2312"/>
          <w:color w:val="000000" w:themeColor="text1"/>
          <w:sz w:val="32"/>
          <w:szCs w:val="32"/>
          <w:highlight w:val="none"/>
          <w:u w:val="none"/>
          <w14:textFill>
            <w14:solidFill>
              <w14:schemeClr w14:val="tx1"/>
            </w14:solidFill>
          </w14:textFill>
        </w:rPr>
        <w:t>Rcep</w:t>
      </w:r>
      <w:r>
        <w:rPr>
          <w:rFonts w:hint="eastAsia" w:ascii="仿宋_GB2312" w:hAnsi="仿宋" w:eastAsia="仿宋_GB2312"/>
          <w:color w:val="000000" w:themeColor="text1"/>
          <w:sz w:val="32"/>
          <w:szCs w:val="32"/>
          <w:highlight w:val="none"/>
          <w:u w:val="none"/>
          <w14:textFill>
            <w14:solidFill>
              <w14:schemeClr w14:val="tx1"/>
            </w14:solidFill>
          </w14:textFill>
        </w:rPr>
        <w:t>国家的经贸</w:t>
      </w:r>
      <w:r>
        <w:rPr>
          <w:rFonts w:hint="eastAsia" w:ascii="仿宋_GB2312" w:hAnsi="仿宋" w:eastAsia="仿宋_GB2312"/>
          <w:color w:val="000000" w:themeColor="text1"/>
          <w:sz w:val="32"/>
          <w:szCs w:val="32"/>
          <w:highlight w:val="none"/>
          <w:u w:val="none"/>
          <w:lang w:eastAsia="zh-CN"/>
          <w14:textFill>
            <w14:solidFill>
              <w14:schemeClr w14:val="tx1"/>
            </w14:solidFill>
          </w14:textFill>
        </w:rPr>
        <w:t>往来</w:t>
      </w:r>
      <w:r>
        <w:rPr>
          <w:rFonts w:ascii="仿宋_GB2312" w:hAnsi="仿宋" w:eastAsia="仿宋_GB2312"/>
          <w:color w:val="000000" w:themeColor="text1"/>
          <w:sz w:val="32"/>
          <w:szCs w:val="32"/>
          <w:highlight w:val="none"/>
          <w:u w:val="none"/>
          <w14:textFill>
            <w14:solidFill>
              <w14:schemeClr w14:val="tx1"/>
            </w14:solidFill>
          </w14:textFill>
        </w:rPr>
        <w:t>，</w:t>
      </w:r>
      <w:r>
        <w:rPr>
          <w:rFonts w:hint="eastAsia" w:ascii="仿宋_GB2312" w:hAnsi="仿宋" w:eastAsia="仿宋_GB2312"/>
          <w:color w:val="000000" w:themeColor="text1"/>
          <w:sz w:val="32"/>
          <w:szCs w:val="32"/>
          <w:highlight w:val="none"/>
          <w:u w:val="none"/>
          <w14:textFill>
            <w14:solidFill>
              <w14:schemeClr w14:val="tx1"/>
            </w14:solidFill>
          </w14:textFill>
        </w:rPr>
        <w:t>扩</w:t>
      </w:r>
      <w:r>
        <w:rPr>
          <w:rFonts w:ascii="仿宋_GB2312" w:hAnsi="仿宋" w:eastAsia="仿宋_GB2312"/>
          <w:color w:val="000000" w:themeColor="text1"/>
          <w:sz w:val="32"/>
          <w:szCs w:val="32"/>
          <w:highlight w:val="none"/>
          <w:u w:val="none"/>
          <w14:textFill>
            <w14:solidFill>
              <w14:schemeClr w14:val="tx1"/>
            </w14:solidFill>
          </w14:textFill>
        </w:rPr>
        <w:t>大</w:t>
      </w:r>
      <w:r>
        <w:rPr>
          <w:rFonts w:hint="eastAsia" w:ascii="仿宋_GB2312" w:hAnsi="仿宋" w:eastAsia="仿宋_GB2312"/>
          <w:color w:val="000000" w:themeColor="text1"/>
          <w:sz w:val="32"/>
          <w:szCs w:val="32"/>
          <w:highlight w:val="none"/>
          <w:u w:val="none"/>
          <w:lang w:eastAsia="zh-CN"/>
          <w14:textFill>
            <w14:solidFill>
              <w14:schemeClr w14:val="tx1"/>
            </w14:solidFill>
          </w14:textFill>
        </w:rPr>
        <w:t>对</w:t>
      </w:r>
      <w:r>
        <w:rPr>
          <w:rFonts w:ascii="仿宋_GB2312" w:hAnsi="仿宋" w:eastAsia="仿宋_GB2312"/>
          <w:color w:val="000000" w:themeColor="text1"/>
          <w:sz w:val="32"/>
          <w:szCs w:val="32"/>
          <w:highlight w:val="none"/>
          <w:u w:val="none"/>
          <w14:textFill>
            <w14:solidFill>
              <w14:schemeClr w14:val="tx1"/>
            </w14:solidFill>
          </w14:textFill>
        </w:rPr>
        <w:t>东</w:t>
      </w:r>
      <w:r>
        <w:rPr>
          <w:rFonts w:hint="eastAsia" w:ascii="仿宋_GB2312" w:hAnsi="仿宋" w:eastAsia="仿宋_GB2312"/>
          <w:color w:val="000000" w:themeColor="text1"/>
          <w:sz w:val="32"/>
          <w:szCs w:val="32"/>
          <w:highlight w:val="none"/>
          <w:u w:val="none"/>
          <w14:textFill>
            <w14:solidFill>
              <w14:schemeClr w14:val="tx1"/>
            </w14:solidFill>
          </w14:textFill>
        </w:rPr>
        <w:t>南</w:t>
      </w:r>
      <w:r>
        <w:rPr>
          <w:rFonts w:ascii="仿宋_GB2312" w:hAnsi="仿宋" w:eastAsia="仿宋_GB2312"/>
          <w:color w:val="000000" w:themeColor="text1"/>
          <w:sz w:val="32"/>
          <w:szCs w:val="32"/>
          <w:highlight w:val="none"/>
          <w:u w:val="none"/>
          <w14:textFill>
            <w14:solidFill>
              <w14:schemeClr w14:val="tx1"/>
            </w14:solidFill>
          </w14:textFill>
        </w:rPr>
        <w:t>亚</w:t>
      </w:r>
      <w:r>
        <w:rPr>
          <w:rFonts w:hint="eastAsia" w:ascii="仿宋_GB2312" w:hAnsi="仿宋" w:eastAsia="仿宋_GB2312"/>
          <w:color w:val="000000" w:themeColor="text1"/>
          <w:sz w:val="32"/>
          <w:szCs w:val="32"/>
          <w:highlight w:val="none"/>
          <w:u w:val="none"/>
          <w:lang w:eastAsia="zh-CN"/>
          <w14:textFill>
            <w14:solidFill>
              <w14:schemeClr w14:val="tx1"/>
            </w14:solidFill>
          </w14:textFill>
        </w:rPr>
        <w:t>等国家战略性新兴产业的产品出货量</w:t>
      </w:r>
      <w:r>
        <w:rPr>
          <w:rFonts w:hint="eastAsia" w:ascii="仿宋_GB2312" w:hAnsi="仿宋" w:eastAsia="仿宋_GB2312"/>
          <w:color w:val="000000" w:themeColor="text1"/>
          <w:sz w:val="32"/>
          <w:szCs w:val="32"/>
          <w:highlight w:val="none"/>
          <w:u w:val="none"/>
          <w14:textFill>
            <w14:solidFill>
              <w14:schemeClr w14:val="tx1"/>
            </w14:solidFill>
          </w14:textFill>
        </w:rPr>
        <w:t>。</w:t>
      </w:r>
      <w:r>
        <w:rPr>
          <w:rFonts w:hint="eastAsia" w:ascii="仿宋_GB2312" w:hAnsi="仿宋" w:eastAsia="仿宋_GB2312"/>
          <w:color w:val="000000" w:themeColor="text1"/>
          <w:sz w:val="32"/>
          <w:szCs w:val="32"/>
          <w:highlight w:val="none"/>
          <w:u w:val="none"/>
          <w:lang w:eastAsia="zh-CN"/>
          <w14:textFill>
            <w14:solidFill>
              <w14:schemeClr w14:val="tx1"/>
            </w14:solidFill>
          </w14:textFill>
        </w:rPr>
        <w:t>强化与欧美产业合作，</w:t>
      </w:r>
      <w:r>
        <w:rPr>
          <w:rFonts w:hint="eastAsia" w:ascii="仿宋_GB2312" w:eastAsia="仿宋_GB2312" w:cs="楷体_GB2312"/>
          <w:color w:val="000000" w:themeColor="text1"/>
          <w:kern w:val="0"/>
          <w:sz w:val="32"/>
          <w:szCs w:val="32"/>
          <w:highlight w:val="none"/>
          <w:u w:val="none"/>
          <w14:textFill>
            <w14:solidFill>
              <w14:schemeClr w14:val="tx1"/>
            </w14:solidFill>
          </w14:textFill>
        </w:rPr>
        <w:t>落实《深圳市与以色列产业研发合作协议》，支持与以色列两地企业开展新技术、新产品、新工艺和新材料的联合研发。积极争取联合国工业发展组织等国际科技组织分支机构落户，扶持具备条件的企业设立海外创新中心。以深圳中欧医疗健康产业示范区、中以科技创新合作光明论坛等平台为依托，链接全球技术、人才、资金等资源，推动光明科学城先进技术跨界融合应用。</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加大外资引进力度，推出“投资</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光明</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地图”和特色经贸考察路线，推动高能级外资项目落地</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w:t>
      </w:r>
      <w:r>
        <w:rPr>
          <w:rFonts w:hint="eastAsia" w:ascii="仿宋_GB2312" w:eastAsia="仿宋_GB2312" w:cs="楷体_GB2312"/>
          <w:color w:val="000000" w:themeColor="text1"/>
          <w:kern w:val="0"/>
          <w:sz w:val="32"/>
          <w:szCs w:val="32"/>
          <w:highlight w:val="none"/>
          <w:u w:val="none"/>
          <w14:textFill>
            <w14:solidFill>
              <w14:schemeClr w14:val="tx1"/>
            </w14:solidFill>
          </w14:textFill>
        </w:rPr>
        <w:t>设立国际学术交流中心，吸引国际学术组织、创新机构和跨国公司在光明举办高水平学术会议等科技交流活动，支持高端专业论坛落户光明。建设国际交流培训学院，邀请国际专业人士，对国内人才开展国际通行规则和法律培训，对国外人才开展国内科研政策、市场规则和生活服务等培训，推动国内外人才双向适应性。建设双语网站，</w:t>
      </w:r>
      <w:r>
        <w:rPr>
          <w:rFonts w:ascii="仿宋_GB2312" w:eastAsia="仿宋_GB2312" w:cs="楷体_GB2312"/>
          <w:color w:val="000000" w:themeColor="text1"/>
          <w:kern w:val="0"/>
          <w:sz w:val="32"/>
          <w:szCs w:val="32"/>
          <w:highlight w:val="none"/>
          <w:u w:val="none"/>
          <w14:textFill>
            <w14:solidFill>
              <w14:schemeClr w14:val="tx1"/>
            </w14:solidFill>
          </w14:textFill>
        </w:rPr>
        <w:t>配备</w:t>
      </w:r>
      <w:r>
        <w:rPr>
          <w:rFonts w:hint="eastAsia" w:ascii="仿宋_GB2312" w:eastAsia="仿宋_GB2312" w:cs="楷体_GB2312"/>
          <w:color w:val="000000" w:themeColor="text1"/>
          <w:kern w:val="0"/>
          <w:sz w:val="32"/>
          <w:szCs w:val="32"/>
          <w:highlight w:val="none"/>
          <w:u w:val="none"/>
          <w14:textFill>
            <w14:solidFill>
              <w14:schemeClr w14:val="tx1"/>
            </w14:solidFill>
          </w14:textFill>
        </w:rPr>
        <w:t>双语社区服务人员，采用中英双语交通标识，提升国际化水平。</w:t>
      </w:r>
    </w:p>
    <w:tbl>
      <w:tblPr>
        <w:tblStyle w:val="17"/>
        <w:tblpPr w:leftFromText="180" w:rightFromText="180" w:vertAnchor="text" w:horzAnchor="margin" w:tblpY="264"/>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2"/>
      </w:tblGrid>
      <w:tr w14:paraId="317F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472" w:type="dxa"/>
          </w:tcPr>
          <w:p w14:paraId="68A56EB6">
            <w:pPr>
              <w:tabs>
                <w:tab w:val="left" w:pos="567"/>
                <w:tab w:val="left" w:pos="1230"/>
                <w:tab w:val="left" w:pos="1389"/>
              </w:tabs>
              <w:snapToGrid w:val="0"/>
              <w:spacing w:line="560" w:lineRule="exact"/>
              <w:jc w:val="center"/>
              <w:rPr>
                <w:rFonts w:ascii="宋体" w:hAnsi="宋体"/>
                <w:b/>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专栏</w:t>
            </w:r>
            <w:r>
              <w:rPr>
                <w:rFonts w:hint="eastAsia" w:ascii="宋体" w:hAnsi="宋体"/>
                <w:b/>
                <w:color w:val="000000" w:themeColor="text1"/>
                <w:sz w:val="24"/>
                <w:szCs w:val="24"/>
                <w:highlight w:val="none"/>
                <w:u w:val="none"/>
                <w:lang w:val="en-US" w:eastAsia="zh-CN"/>
                <w14:textFill>
                  <w14:solidFill>
                    <w14:schemeClr w14:val="tx1"/>
                  </w14:solidFill>
                </w14:textFill>
              </w:rPr>
              <w:t>11</w:t>
            </w:r>
            <w:r>
              <w:rPr>
                <w:rFonts w:hint="eastAsia" w:ascii="宋体" w:hAnsi="宋体"/>
                <w:b/>
                <w:color w:val="000000" w:themeColor="text1"/>
                <w:sz w:val="24"/>
                <w:szCs w:val="24"/>
                <w:highlight w:val="none"/>
                <w:u w:val="none"/>
                <w14:textFill>
                  <w14:solidFill>
                    <w14:schemeClr w14:val="tx1"/>
                  </w14:solidFill>
                </w14:textFill>
              </w:rPr>
              <w:t>：区域</w:t>
            </w:r>
            <w:r>
              <w:rPr>
                <w:rFonts w:ascii="宋体" w:hAnsi="宋体"/>
                <w:b/>
                <w:color w:val="000000" w:themeColor="text1"/>
                <w:sz w:val="24"/>
                <w:szCs w:val="24"/>
                <w:highlight w:val="none"/>
                <w:u w:val="none"/>
                <w14:textFill>
                  <w14:solidFill>
                    <w14:schemeClr w14:val="tx1"/>
                  </w14:solidFill>
                </w14:textFill>
              </w:rPr>
              <w:t>合作</w:t>
            </w:r>
            <w:r>
              <w:rPr>
                <w:rFonts w:hint="eastAsia" w:ascii="宋体" w:hAnsi="宋体"/>
                <w:b/>
                <w:color w:val="000000" w:themeColor="text1"/>
                <w:sz w:val="24"/>
                <w:szCs w:val="24"/>
                <w:highlight w:val="none"/>
                <w:u w:val="none"/>
                <w14:textFill>
                  <w14:solidFill>
                    <w14:schemeClr w14:val="tx1"/>
                  </w14:solidFill>
                </w14:textFill>
              </w:rPr>
              <w:t>重</w:t>
            </w:r>
            <w:r>
              <w:rPr>
                <w:rFonts w:ascii="宋体" w:hAnsi="宋体"/>
                <w:b/>
                <w:color w:val="000000" w:themeColor="text1"/>
                <w:sz w:val="24"/>
                <w:szCs w:val="24"/>
                <w:highlight w:val="none"/>
                <w:u w:val="none"/>
                <w14:textFill>
                  <w14:solidFill>
                    <w14:schemeClr w14:val="tx1"/>
                  </w14:solidFill>
                </w14:textFill>
              </w:rPr>
              <w:t>点</w:t>
            </w:r>
            <w:r>
              <w:rPr>
                <w:rFonts w:hint="eastAsia" w:ascii="宋体" w:hAnsi="宋体"/>
                <w:b/>
                <w:color w:val="000000" w:themeColor="text1"/>
                <w:sz w:val="24"/>
                <w:szCs w:val="24"/>
                <w:highlight w:val="none"/>
                <w:u w:val="none"/>
                <w14:textFill>
                  <w14:solidFill>
                    <w14:schemeClr w14:val="tx1"/>
                  </w14:solidFill>
                </w14:textFill>
              </w:rPr>
              <w:t>项目</w:t>
            </w:r>
          </w:p>
          <w:p w14:paraId="5F69074D">
            <w:pPr>
              <w:tabs>
                <w:tab w:val="left" w:pos="567"/>
                <w:tab w:val="left" w:pos="1230"/>
                <w:tab w:val="left" w:pos="1389"/>
              </w:tabs>
              <w:snapToGrid w:val="0"/>
              <w:spacing w:line="560" w:lineRule="exact"/>
              <w:ind w:firstLine="482" w:firstLineChars="20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——湾区合</w:t>
            </w:r>
            <w:r>
              <w:rPr>
                <w:rFonts w:ascii="宋体" w:hAnsi="宋体"/>
                <w:b/>
                <w:color w:val="000000" w:themeColor="text1"/>
                <w:sz w:val="24"/>
                <w:szCs w:val="24"/>
                <w:highlight w:val="none"/>
                <w:u w:val="none"/>
                <w14:textFill>
                  <w14:solidFill>
                    <w14:schemeClr w14:val="tx1"/>
                  </w14:solidFill>
                </w14:textFill>
              </w:rPr>
              <w:t>作平台</w:t>
            </w:r>
            <w:r>
              <w:rPr>
                <w:rFonts w:hint="eastAsia" w:ascii="宋体" w:hAnsi="宋体"/>
                <w:b/>
                <w:color w:val="000000" w:themeColor="text1"/>
                <w:sz w:val="24"/>
                <w:szCs w:val="24"/>
                <w:highlight w:val="none"/>
                <w:u w:val="none"/>
                <w14:textFill>
                  <w14:solidFill>
                    <w14:schemeClr w14:val="tx1"/>
                  </w14:solidFill>
                </w14:textFill>
              </w:rPr>
              <w:t>：</w:t>
            </w:r>
            <w:r>
              <w:rPr>
                <w:rFonts w:hint="eastAsia" w:ascii="宋体" w:hAnsi="宋体"/>
                <w:color w:val="000000" w:themeColor="text1"/>
                <w:sz w:val="24"/>
                <w:szCs w:val="24"/>
                <w:highlight w:val="none"/>
                <w:u w:val="none"/>
                <w14:textFill>
                  <w14:solidFill>
                    <w14:schemeClr w14:val="tx1"/>
                  </w14:solidFill>
                </w14:textFill>
              </w:rPr>
              <w:t>积</w:t>
            </w:r>
            <w:r>
              <w:rPr>
                <w:rFonts w:ascii="宋体" w:hAnsi="宋体"/>
                <w:color w:val="000000" w:themeColor="text1"/>
                <w:sz w:val="24"/>
                <w:szCs w:val="24"/>
                <w:highlight w:val="none"/>
                <w:u w:val="none"/>
                <w14:textFill>
                  <w14:solidFill>
                    <w14:schemeClr w14:val="tx1"/>
                  </w14:solidFill>
                </w14:textFill>
              </w:rPr>
              <w:t>极</w:t>
            </w:r>
            <w:r>
              <w:rPr>
                <w:rFonts w:hint="eastAsia" w:ascii="宋体" w:hAnsi="宋体"/>
                <w:color w:val="000000" w:themeColor="text1"/>
                <w:sz w:val="24"/>
                <w:szCs w:val="24"/>
                <w:highlight w:val="none"/>
                <w:u w:val="none"/>
                <w14:textFill>
                  <w14:solidFill>
                    <w14:schemeClr w14:val="tx1"/>
                  </w14:solidFill>
                </w14:textFill>
              </w:rPr>
              <w:t>举</w:t>
            </w:r>
            <w:r>
              <w:rPr>
                <w:rFonts w:ascii="宋体" w:hAnsi="宋体"/>
                <w:color w:val="000000" w:themeColor="text1"/>
                <w:sz w:val="24"/>
                <w:szCs w:val="24"/>
                <w:highlight w:val="none"/>
                <w:u w:val="none"/>
                <w14:textFill>
                  <w14:solidFill>
                    <w14:schemeClr w14:val="tx1"/>
                  </w14:solidFill>
                </w14:textFill>
              </w:rPr>
              <w:t>办</w:t>
            </w:r>
            <w:r>
              <w:rPr>
                <w:rFonts w:hint="eastAsia" w:ascii="宋体" w:hAnsi="宋体"/>
                <w:color w:val="000000" w:themeColor="text1"/>
                <w:sz w:val="24"/>
                <w:szCs w:val="24"/>
                <w:highlight w:val="none"/>
                <w:u w:val="none"/>
                <w14:textFill>
                  <w14:solidFill>
                    <w14:schemeClr w14:val="tx1"/>
                  </w14:solidFill>
                </w14:textFill>
              </w:rPr>
              <w:t>“与港同行”系列论坛，</w:t>
            </w:r>
            <w:r>
              <w:rPr>
                <w:rFonts w:ascii="宋体" w:hAnsi="宋体"/>
                <w:color w:val="000000" w:themeColor="text1"/>
                <w:sz w:val="24"/>
                <w:szCs w:val="24"/>
                <w:highlight w:val="none"/>
                <w:u w:val="none"/>
                <w14:textFill>
                  <w14:solidFill>
                    <w14:schemeClr w14:val="tx1"/>
                  </w14:solidFill>
                </w14:textFill>
              </w:rPr>
              <w:t>推进</w:t>
            </w:r>
            <w:r>
              <w:rPr>
                <w:rFonts w:hint="eastAsia" w:ascii="宋体" w:hAnsi="宋体"/>
                <w:color w:val="000000" w:themeColor="text1"/>
                <w:sz w:val="24"/>
                <w:szCs w:val="24"/>
                <w:highlight w:val="none"/>
                <w:u w:val="none"/>
                <w14:textFill>
                  <w14:solidFill>
                    <w14:schemeClr w14:val="tx1"/>
                  </w14:solidFill>
                </w14:textFill>
              </w:rPr>
              <w:t>产学研联盟、</w:t>
            </w:r>
            <w:r>
              <w:rPr>
                <w:rFonts w:ascii="宋体" w:hAnsi="宋体"/>
                <w:color w:val="000000" w:themeColor="text1"/>
                <w:sz w:val="24"/>
                <w:szCs w:val="24"/>
                <w:highlight w:val="none"/>
                <w:u w:val="none"/>
                <w14:textFill>
                  <w14:solidFill>
                    <w14:schemeClr w14:val="tx1"/>
                  </w14:solidFill>
                </w14:textFill>
              </w:rPr>
              <w:t>湾区</w:t>
            </w:r>
            <w:r>
              <w:rPr>
                <w:rFonts w:hint="eastAsia" w:ascii="宋体" w:hAnsi="宋体"/>
                <w:color w:val="000000" w:themeColor="text1"/>
                <w:sz w:val="24"/>
                <w:szCs w:val="24"/>
                <w:highlight w:val="none"/>
                <w:u w:val="none"/>
                <w14:textFill>
                  <w14:solidFill>
                    <w14:schemeClr w14:val="tx1"/>
                  </w14:solidFill>
                </w14:textFill>
              </w:rPr>
              <w:t>创</w:t>
            </w:r>
            <w:r>
              <w:rPr>
                <w:rFonts w:ascii="宋体" w:hAnsi="宋体"/>
                <w:color w:val="000000" w:themeColor="text1"/>
                <w:sz w:val="24"/>
                <w:szCs w:val="24"/>
                <w:highlight w:val="none"/>
                <w:u w:val="none"/>
                <w14:textFill>
                  <w14:solidFill>
                    <w14:schemeClr w14:val="tx1"/>
                  </w14:solidFill>
                </w14:textFill>
              </w:rPr>
              <w:t>客中心</w:t>
            </w:r>
            <w:r>
              <w:rPr>
                <w:rFonts w:hint="eastAsia" w:ascii="宋体" w:hAnsi="宋体"/>
                <w:color w:val="000000" w:themeColor="text1"/>
                <w:sz w:val="24"/>
                <w:szCs w:val="24"/>
                <w:highlight w:val="none"/>
                <w:u w:val="none"/>
                <w14:textFill>
                  <w14:solidFill>
                    <w14:schemeClr w14:val="tx1"/>
                  </w14:solidFill>
                </w14:textFill>
              </w:rPr>
              <w:t>等项</w:t>
            </w:r>
            <w:r>
              <w:rPr>
                <w:rFonts w:ascii="宋体" w:hAnsi="宋体"/>
                <w:color w:val="000000" w:themeColor="text1"/>
                <w:sz w:val="24"/>
                <w:szCs w:val="24"/>
                <w:highlight w:val="none"/>
                <w:u w:val="none"/>
                <w14:textFill>
                  <w14:solidFill>
                    <w14:schemeClr w14:val="tx1"/>
                  </w14:solidFill>
                </w14:textFill>
              </w:rPr>
              <w:t>目建设</w:t>
            </w:r>
            <w:r>
              <w:rPr>
                <w:rFonts w:hint="eastAsia" w:ascii="宋体" w:hAnsi="宋体"/>
                <w:color w:val="000000" w:themeColor="text1"/>
                <w:sz w:val="24"/>
                <w:szCs w:val="24"/>
                <w:highlight w:val="none"/>
                <w:u w:val="none"/>
                <w14:textFill>
                  <w14:solidFill>
                    <w14:schemeClr w14:val="tx1"/>
                  </w14:solidFill>
                </w14:textFill>
              </w:rPr>
              <w:t>，</w:t>
            </w:r>
            <w:r>
              <w:rPr>
                <w:rFonts w:ascii="宋体" w:hAnsi="宋体"/>
                <w:color w:val="000000" w:themeColor="text1"/>
                <w:sz w:val="24"/>
                <w:szCs w:val="24"/>
                <w:highlight w:val="none"/>
                <w:u w:val="none"/>
                <w14:textFill>
                  <w14:solidFill>
                    <w14:schemeClr w14:val="tx1"/>
                  </w14:solidFill>
                </w14:textFill>
              </w:rPr>
              <w:t>建设深以产业合作示范园</w:t>
            </w:r>
            <w:r>
              <w:rPr>
                <w:rFonts w:hint="eastAsia" w:ascii="宋体" w:hAnsi="宋体"/>
                <w:color w:val="000000" w:themeColor="text1"/>
                <w:sz w:val="24"/>
                <w:szCs w:val="24"/>
                <w:highlight w:val="none"/>
                <w:u w:val="none"/>
                <w14:textFill>
                  <w14:solidFill>
                    <w14:schemeClr w14:val="tx1"/>
                  </w14:solidFill>
                </w14:textFill>
              </w:rPr>
              <w:t>。</w:t>
            </w:r>
          </w:p>
          <w:p w14:paraId="53128F70">
            <w:pPr>
              <w:tabs>
                <w:tab w:val="left" w:pos="567"/>
                <w:tab w:val="left" w:pos="1230"/>
                <w:tab w:val="left" w:pos="1389"/>
              </w:tabs>
              <w:snapToGrid w:val="0"/>
              <w:spacing w:line="560" w:lineRule="exact"/>
              <w:ind w:firstLine="482" w:firstLineChars="200"/>
              <w:rPr>
                <w:rFonts w:ascii="宋体" w:hAnsi="宋体"/>
                <w:color w:val="000000" w:themeColor="text1"/>
                <w:sz w:val="24"/>
                <w:szCs w:val="24"/>
                <w:highlight w:val="none"/>
                <w:u w:val="none"/>
                <w14:textFill>
                  <w14:solidFill>
                    <w14:schemeClr w14:val="tx1"/>
                  </w14:solidFill>
                </w14:textFill>
              </w:rPr>
            </w:pPr>
            <w:r>
              <w:rPr>
                <w:rFonts w:hint="eastAsia" w:ascii="宋体" w:hAnsi="宋体"/>
                <w:b/>
                <w:color w:val="000000" w:themeColor="text1"/>
                <w:sz w:val="24"/>
                <w:szCs w:val="24"/>
                <w:highlight w:val="none"/>
                <w:u w:val="none"/>
                <w14:textFill>
                  <w14:solidFill>
                    <w14:schemeClr w14:val="tx1"/>
                  </w14:solidFill>
                </w14:textFill>
              </w:rPr>
              <w:t>——国际产业技术合作平台</w:t>
            </w:r>
            <w:r>
              <w:rPr>
                <w:rFonts w:hint="eastAsia" w:ascii="宋体" w:hAnsi="宋体"/>
                <w:color w:val="000000" w:themeColor="text1"/>
                <w:kern w:val="0"/>
                <w:sz w:val="24"/>
                <w:szCs w:val="24"/>
                <w:highlight w:val="none"/>
                <w:u w:val="none"/>
                <w14:textFill>
                  <w14:solidFill>
                    <w14:schemeClr w14:val="tx1"/>
                  </w14:solidFill>
                </w14:textFill>
              </w:rPr>
              <w:t>。</w:t>
            </w:r>
            <w:r>
              <w:rPr>
                <w:rFonts w:hint="eastAsia" w:ascii="宋体" w:hAnsi="宋体"/>
                <w:color w:val="000000" w:themeColor="text1"/>
                <w:sz w:val="24"/>
                <w:szCs w:val="24"/>
                <w:highlight w:val="none"/>
                <w:u w:val="none"/>
                <w14:textFill>
                  <w14:solidFill>
                    <w14:schemeClr w14:val="tx1"/>
                  </w14:solidFill>
                </w14:textFill>
              </w:rPr>
              <w:t>争取</w:t>
            </w:r>
            <w:r>
              <w:rPr>
                <w:rFonts w:hint="eastAsia" w:ascii="宋体" w:hAnsi="宋体"/>
                <w:color w:val="000000" w:themeColor="text1"/>
                <w:kern w:val="0"/>
                <w:sz w:val="24"/>
                <w:szCs w:val="24"/>
                <w:highlight w:val="none"/>
                <w:u w:val="none"/>
                <w14:textFill>
                  <w14:solidFill>
                    <w14:schemeClr w14:val="tx1"/>
                  </w14:solidFill>
                </w14:textFill>
              </w:rPr>
              <w:t>中意国际创新中心、深圳中欧医疗健康产业示范区</w:t>
            </w:r>
            <w:r>
              <w:rPr>
                <w:rFonts w:hint="eastAsia" w:ascii="宋体" w:hAnsi="宋体"/>
                <w:color w:val="000000" w:themeColor="text1"/>
                <w:sz w:val="24"/>
                <w:szCs w:val="24"/>
                <w:highlight w:val="none"/>
                <w:u w:val="none"/>
                <w14:textFill>
                  <w14:solidFill>
                    <w14:schemeClr w14:val="tx1"/>
                  </w14:solidFill>
                </w14:textFill>
              </w:rPr>
              <w:t>等重</w:t>
            </w:r>
            <w:r>
              <w:rPr>
                <w:rFonts w:ascii="宋体" w:hAnsi="宋体"/>
                <w:color w:val="000000" w:themeColor="text1"/>
                <w:sz w:val="24"/>
                <w:szCs w:val="24"/>
                <w:highlight w:val="none"/>
                <w:u w:val="none"/>
                <w14:textFill>
                  <w14:solidFill>
                    <w14:schemeClr w14:val="tx1"/>
                  </w14:solidFill>
                </w14:textFill>
              </w:rPr>
              <w:t>大</w:t>
            </w:r>
            <w:r>
              <w:rPr>
                <w:rFonts w:hint="eastAsia" w:ascii="宋体" w:hAnsi="宋体"/>
                <w:color w:val="000000" w:themeColor="text1"/>
                <w:sz w:val="24"/>
                <w:szCs w:val="24"/>
                <w:highlight w:val="none"/>
                <w:u w:val="none"/>
                <w14:textFill>
                  <w14:solidFill>
                    <w14:schemeClr w14:val="tx1"/>
                  </w14:solidFill>
                </w14:textFill>
              </w:rPr>
              <w:t>项</w:t>
            </w:r>
            <w:r>
              <w:rPr>
                <w:rFonts w:ascii="宋体" w:hAnsi="宋体"/>
                <w:color w:val="000000" w:themeColor="text1"/>
                <w:sz w:val="24"/>
                <w:szCs w:val="24"/>
                <w:highlight w:val="none"/>
                <w:u w:val="none"/>
                <w14:textFill>
                  <w14:solidFill>
                    <w14:schemeClr w14:val="tx1"/>
                  </w14:solidFill>
                </w14:textFill>
              </w:rPr>
              <w:t>目建设</w:t>
            </w:r>
            <w:r>
              <w:rPr>
                <w:rFonts w:hint="eastAsia" w:ascii="宋体" w:hAnsi="宋体"/>
                <w:color w:val="000000" w:themeColor="text1"/>
                <w:kern w:val="0"/>
                <w:sz w:val="24"/>
                <w:szCs w:val="24"/>
                <w:highlight w:val="none"/>
                <w:u w:val="none"/>
                <w14:textFill>
                  <w14:solidFill>
                    <w14:schemeClr w14:val="tx1"/>
                  </w14:solidFill>
                </w14:textFill>
              </w:rPr>
              <w:t>。</w:t>
            </w:r>
          </w:p>
        </w:tc>
      </w:tr>
    </w:tbl>
    <w:p w14:paraId="06974BF9">
      <w:pPr>
        <w:spacing w:line="560" w:lineRule="exact"/>
        <w:rPr>
          <w:rFonts w:ascii="仿宋_GB2312" w:eastAsia="仿宋_GB2312" w:cs="楷体_GB2312"/>
          <w:color w:val="000000" w:themeColor="text1"/>
          <w:kern w:val="0"/>
          <w:sz w:val="32"/>
          <w:szCs w:val="32"/>
          <w:highlight w:val="none"/>
          <w:u w:val="none"/>
          <w14:textFill>
            <w14:solidFill>
              <w14:schemeClr w14:val="tx1"/>
            </w14:solidFill>
          </w14:textFill>
        </w:rPr>
      </w:pPr>
    </w:p>
    <w:p w14:paraId="193D5139">
      <w:pPr>
        <w:pStyle w:val="4"/>
        <w:spacing w:before="0" w:after="0" w:line="560" w:lineRule="exact"/>
        <w:ind w:firstLine="643" w:firstLineChars="200"/>
        <w:rPr>
          <w:rFonts w:ascii="黑体" w:hAnsi="黑体" w:eastAsia="黑体"/>
          <w:color w:val="000000" w:themeColor="text1"/>
          <w:highlight w:val="none"/>
          <w:u w:val="none"/>
          <w14:textFill>
            <w14:solidFill>
              <w14:schemeClr w14:val="tx1"/>
            </w14:solidFill>
          </w14:textFill>
        </w:rPr>
      </w:pPr>
      <w:bookmarkStart w:id="183" w:name="_Toc15303"/>
      <w:bookmarkStart w:id="184" w:name="_Toc25096"/>
      <w:bookmarkStart w:id="185" w:name="_Toc53583320"/>
      <w:bookmarkStart w:id="186" w:name="_Toc24753"/>
      <w:bookmarkStart w:id="187" w:name="_Toc56442315"/>
      <w:bookmarkStart w:id="188" w:name="_Toc13708"/>
      <w:r>
        <w:rPr>
          <w:rFonts w:hint="eastAsia" w:ascii="黑体" w:hAnsi="黑体" w:eastAsia="黑体"/>
          <w:color w:val="000000" w:themeColor="text1"/>
          <w:highlight w:val="none"/>
          <w:u w:val="none"/>
          <w14:textFill>
            <w14:solidFill>
              <w14:schemeClr w14:val="tx1"/>
            </w14:solidFill>
          </w14:textFill>
        </w:rPr>
        <w:t>五、保障措施</w:t>
      </w:r>
      <w:bookmarkEnd w:id="183"/>
      <w:bookmarkEnd w:id="184"/>
      <w:bookmarkEnd w:id="185"/>
      <w:bookmarkEnd w:id="186"/>
      <w:bookmarkEnd w:id="187"/>
      <w:bookmarkEnd w:id="188"/>
    </w:p>
    <w:p w14:paraId="71AA6518">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189" w:name="_Toc53583321"/>
      <w:bookmarkStart w:id="190" w:name="_Toc440892713"/>
      <w:bookmarkStart w:id="191" w:name="_Toc8282_WPSOffice_Level2"/>
      <w:bookmarkStart w:id="192" w:name="_Toc42762215"/>
      <w:bookmarkStart w:id="193" w:name="_Toc447203041"/>
      <w:bookmarkStart w:id="194" w:name="_Toc56442316"/>
      <w:bookmarkStart w:id="195" w:name="_Toc1991"/>
      <w:bookmarkStart w:id="196" w:name="_Toc16515"/>
      <w:bookmarkStart w:id="197" w:name="_Toc32576"/>
      <w:bookmarkStart w:id="198" w:name="_Toc27141"/>
      <w:r>
        <w:rPr>
          <w:rFonts w:hint="eastAsia" w:ascii="楷体_GB2312" w:hAnsi="楷体_GB2312" w:eastAsia="楷体_GB2312" w:cs="楷体_GB2312"/>
          <w:color w:val="000000" w:themeColor="text1"/>
          <w:highlight w:val="none"/>
          <w:u w:val="none"/>
          <w14:textFill>
            <w14:solidFill>
              <w14:schemeClr w14:val="tx1"/>
            </w14:solidFill>
          </w14:textFill>
        </w:rPr>
        <w:t>（一）</w:t>
      </w:r>
      <w:bookmarkEnd w:id="189"/>
      <w:bookmarkEnd w:id="190"/>
      <w:bookmarkEnd w:id="191"/>
      <w:bookmarkEnd w:id="192"/>
      <w:bookmarkEnd w:id="193"/>
      <w:bookmarkStart w:id="199" w:name="_Toc42762216"/>
      <w:bookmarkStart w:id="200" w:name="_Toc48953683"/>
      <w:bookmarkStart w:id="201" w:name="_Toc440892714"/>
      <w:r>
        <w:rPr>
          <w:rFonts w:hint="eastAsia" w:ascii="楷体_GB2312" w:hAnsi="楷体_GB2312" w:eastAsia="楷体_GB2312" w:cs="楷体_GB2312"/>
          <w:color w:val="000000" w:themeColor="text1"/>
          <w:highlight w:val="none"/>
          <w:u w:val="none"/>
          <w14:textFill>
            <w14:solidFill>
              <w14:schemeClr w14:val="tx1"/>
            </w14:solidFill>
          </w14:textFill>
        </w:rPr>
        <w:t>健全规划实施组织机制</w:t>
      </w:r>
      <w:bookmarkEnd w:id="194"/>
      <w:bookmarkEnd w:id="195"/>
      <w:bookmarkEnd w:id="196"/>
      <w:bookmarkEnd w:id="197"/>
      <w:bookmarkEnd w:id="198"/>
    </w:p>
    <w:bookmarkEnd w:id="199"/>
    <w:bookmarkEnd w:id="200"/>
    <w:p w14:paraId="4107974D">
      <w:pPr>
        <w:spacing w:line="560" w:lineRule="exact"/>
        <w:ind w:firstLine="604" w:firstLineChars="189"/>
        <w:rPr>
          <w:rFonts w:ascii="仿宋_GB2312" w:eastAsia="仿宋_GB2312"/>
          <w:color w:val="000000" w:themeColor="text1"/>
          <w:sz w:val="32"/>
          <w:szCs w:val="32"/>
          <w:highlight w:val="none"/>
          <w:u w:val="none"/>
          <w14:textFill>
            <w14:solidFill>
              <w14:schemeClr w14:val="tx1"/>
            </w14:solidFill>
          </w14:textFill>
        </w:rPr>
      </w:pPr>
      <w:r>
        <w:rPr>
          <w:rFonts w:hint="eastAsia" w:ascii="仿宋_GB2312" w:eastAsia="仿宋_GB2312"/>
          <w:color w:val="000000" w:themeColor="text1"/>
          <w:sz w:val="32"/>
          <w:szCs w:val="32"/>
          <w:highlight w:val="none"/>
          <w:u w:val="none"/>
          <w14:textFill>
            <w14:solidFill>
              <w14:schemeClr w14:val="tx1"/>
            </w14:solidFill>
          </w14:textFill>
        </w:rPr>
        <w:t>充分发挥区产业发展领导小组统筹作用，</w:t>
      </w:r>
      <w:r>
        <w:rPr>
          <w:rFonts w:hint="eastAsia" w:ascii="仿宋_GB2312" w:hAnsi="仿宋" w:eastAsia="仿宋_GB2312" w:cs="宋体"/>
          <w:color w:val="000000" w:themeColor="text1"/>
          <w:kern w:val="0"/>
          <w:sz w:val="32"/>
          <w:szCs w:val="32"/>
          <w:highlight w:val="none"/>
          <w:u w:val="none"/>
          <w14:textFill>
            <w14:solidFill>
              <w14:schemeClr w14:val="tx1"/>
            </w14:solidFill>
          </w14:textFill>
        </w:rPr>
        <w:t>做好与上级规划、总体规划和中长期发展规划的衔接，</w:t>
      </w:r>
      <w:r>
        <w:rPr>
          <w:rFonts w:hint="eastAsia" w:ascii="仿宋_GB2312" w:eastAsia="仿宋_GB2312"/>
          <w:color w:val="000000" w:themeColor="text1"/>
          <w:sz w:val="32"/>
          <w:szCs w:val="32"/>
          <w:highlight w:val="none"/>
          <w:u w:val="none"/>
          <w14:textFill>
            <w14:solidFill>
              <w14:schemeClr w14:val="tx1"/>
            </w14:solidFill>
          </w14:textFill>
        </w:rPr>
        <w:t>及时协调解决战略性新兴产业发展规划实施中的重大问题。加强与国家、</w:t>
      </w:r>
      <w:r>
        <w:rPr>
          <w:rFonts w:hint="eastAsia" w:ascii="仿宋_GB2312" w:eastAsia="仿宋_GB2312"/>
          <w:color w:val="000000" w:themeColor="text1"/>
          <w:sz w:val="32"/>
          <w:szCs w:val="32"/>
          <w:highlight w:val="none"/>
          <w:u w:val="none"/>
          <w:lang w:eastAsia="zh-CN"/>
          <w14:textFill>
            <w14:solidFill>
              <w14:schemeClr w14:val="tx1"/>
            </w14:solidFill>
          </w14:textFill>
        </w:rPr>
        <w:t>省</w:t>
      </w:r>
      <w:r>
        <w:rPr>
          <w:rFonts w:hint="eastAsia" w:ascii="仿宋_GB2312" w:eastAsia="仿宋_GB2312"/>
          <w:color w:val="000000" w:themeColor="text1"/>
          <w:sz w:val="32"/>
          <w:szCs w:val="32"/>
          <w:highlight w:val="none"/>
          <w:u w:val="none"/>
          <w14:textFill>
            <w14:solidFill>
              <w14:schemeClr w14:val="tx1"/>
            </w14:solidFill>
          </w14:textFill>
        </w:rPr>
        <w:t>市相关部门对接，争取更多的试点政策支持和制度安排。</w:t>
      </w:r>
      <w:r>
        <w:rPr>
          <w:rFonts w:hint="eastAsia" w:ascii="仿宋_GB2312" w:hAnsi="宋体" w:eastAsia="仿宋_GB2312" w:cs="仿宋_GB2312"/>
          <w:color w:val="000000" w:themeColor="text1"/>
          <w:spacing w:val="3"/>
          <w:sz w:val="32"/>
          <w:szCs w:val="32"/>
          <w:highlight w:val="none"/>
          <w:u w:val="none"/>
          <w14:textFill>
            <w14:solidFill>
              <w14:schemeClr w14:val="tx1"/>
            </w14:solidFill>
          </w14:textFill>
        </w:rPr>
        <w:t>区</w:t>
      </w:r>
      <w:r>
        <w:rPr>
          <w:rFonts w:hint="eastAsia" w:ascii="仿宋_GB2312" w:eastAsia="仿宋_GB2312"/>
          <w:color w:val="000000" w:themeColor="text1"/>
          <w:sz w:val="32"/>
          <w:szCs w:val="32"/>
          <w:highlight w:val="none"/>
          <w:u w:val="none"/>
          <w14:textFill>
            <w14:solidFill>
              <w14:schemeClr w14:val="tx1"/>
            </w14:solidFill>
          </w14:textFill>
        </w:rPr>
        <w:t>相关部门和各街道要根据规划要求，制定相应的实施方案，明确时间表和路线图，进一步落</w:t>
      </w:r>
      <w:r>
        <w:rPr>
          <w:rFonts w:hint="eastAsia" w:ascii="仿宋_GB2312" w:hAnsi="仿宋" w:eastAsia="仿宋_GB2312" w:cs="宋体"/>
          <w:color w:val="000000" w:themeColor="text1"/>
          <w:kern w:val="0"/>
          <w:sz w:val="32"/>
          <w:szCs w:val="32"/>
          <w:highlight w:val="none"/>
          <w:u w:val="none"/>
          <w14:textFill>
            <w14:solidFill>
              <w14:schemeClr w14:val="tx1"/>
            </w14:solidFill>
          </w14:textFill>
        </w:rPr>
        <w:t>实牵头单位和工作责任</w:t>
      </w:r>
      <w:bookmarkEnd w:id="201"/>
      <w:r>
        <w:rPr>
          <w:rFonts w:hint="eastAsia" w:ascii="仿宋_GB2312" w:hAnsi="仿宋" w:eastAsia="仿宋_GB2312" w:cs="宋体"/>
          <w:color w:val="000000" w:themeColor="text1"/>
          <w:kern w:val="0"/>
          <w:sz w:val="32"/>
          <w:szCs w:val="32"/>
          <w:highlight w:val="none"/>
          <w:u w:val="none"/>
          <w14:textFill>
            <w14:solidFill>
              <w14:schemeClr w14:val="tx1"/>
            </w14:solidFill>
          </w14:textFill>
        </w:rPr>
        <w:t>。加强战略性新兴产业统计分析，及时掌握</w:t>
      </w:r>
      <w:r>
        <w:rPr>
          <w:rFonts w:hint="eastAsia" w:ascii="仿宋_GB2312" w:eastAsia="仿宋_GB2312"/>
          <w:color w:val="000000" w:themeColor="text1"/>
          <w:sz w:val="32"/>
          <w:szCs w:val="32"/>
          <w:highlight w:val="none"/>
          <w:u w:val="none"/>
          <w14:textFill>
            <w14:solidFill>
              <w14:schemeClr w14:val="tx1"/>
            </w14:solidFill>
          </w14:textFill>
        </w:rPr>
        <w:t>战略性新兴</w:t>
      </w:r>
      <w:r>
        <w:rPr>
          <w:rFonts w:hint="eastAsia" w:ascii="仿宋_GB2312" w:hAnsi="仿宋" w:eastAsia="仿宋_GB2312" w:cs="宋体"/>
          <w:color w:val="000000" w:themeColor="text1"/>
          <w:kern w:val="0"/>
          <w:sz w:val="32"/>
          <w:szCs w:val="32"/>
          <w:highlight w:val="none"/>
          <w:u w:val="none"/>
          <w14:textFill>
            <w14:solidFill>
              <w14:schemeClr w14:val="tx1"/>
            </w14:solidFill>
          </w14:textFill>
        </w:rPr>
        <w:t>产业发展运行动态。</w:t>
      </w:r>
    </w:p>
    <w:p w14:paraId="4CDAAB45">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202" w:name="_Toc2304"/>
      <w:bookmarkStart w:id="203" w:name="_Toc29450"/>
      <w:bookmarkStart w:id="204" w:name="_Toc28983"/>
      <w:bookmarkStart w:id="205" w:name="_Toc56442317"/>
      <w:bookmarkStart w:id="206" w:name="_Toc373"/>
      <w:r>
        <w:rPr>
          <w:rFonts w:hint="eastAsia" w:ascii="楷体_GB2312" w:hAnsi="楷体_GB2312" w:eastAsia="楷体_GB2312" w:cs="楷体_GB2312"/>
          <w:color w:val="000000" w:themeColor="text1"/>
          <w:highlight w:val="none"/>
          <w:u w:val="none"/>
          <w14:textFill>
            <w14:solidFill>
              <w14:schemeClr w14:val="tx1"/>
            </w14:solidFill>
          </w14:textFill>
        </w:rPr>
        <w:t>（二）强化财政资金引导作用</w:t>
      </w:r>
      <w:bookmarkEnd w:id="202"/>
      <w:bookmarkEnd w:id="203"/>
      <w:bookmarkEnd w:id="204"/>
      <w:bookmarkEnd w:id="205"/>
      <w:bookmarkEnd w:id="206"/>
    </w:p>
    <w:p w14:paraId="1E1C9DD3">
      <w:pPr>
        <w:spacing w:line="560" w:lineRule="exact"/>
        <w:ind w:firstLine="604" w:firstLineChars="189"/>
        <w:rPr>
          <w:rFonts w:ascii="仿宋_GB2312" w:hAnsi="仿宋" w:eastAsia="仿宋_GB2312" w:cs="宋体"/>
          <w:color w:val="000000" w:themeColor="text1"/>
          <w:kern w:val="0"/>
          <w:sz w:val="32"/>
          <w:szCs w:val="32"/>
          <w:highlight w:val="none"/>
          <w:u w:val="none"/>
          <w14:textFill>
            <w14:solidFill>
              <w14:schemeClr w14:val="tx1"/>
            </w14:solidFill>
          </w14:textFill>
        </w:rPr>
      </w:pPr>
      <w:r>
        <w:rPr>
          <w:rFonts w:hint="eastAsia" w:ascii="仿宋_GB2312" w:hAnsi="宋体" w:eastAsia="仿宋_GB2312"/>
          <w:color w:val="000000" w:themeColor="text1"/>
          <w:sz w:val="32"/>
          <w:szCs w:val="32"/>
          <w:highlight w:val="none"/>
          <w:u w:val="none"/>
          <w14:textFill>
            <w14:solidFill>
              <w14:schemeClr w14:val="tx1"/>
            </w14:solidFill>
          </w14:textFill>
        </w:rPr>
        <w:t>加大现有产业发展资金对战略性新兴产业发展的支持力度，</w:t>
      </w:r>
      <w:r>
        <w:rPr>
          <w:rFonts w:hint="eastAsia" w:ascii="仿宋_GB2312" w:hAnsi="仿宋" w:eastAsia="仿宋_GB2312" w:cs="宋体"/>
          <w:color w:val="000000" w:themeColor="text1"/>
          <w:kern w:val="0"/>
          <w:sz w:val="32"/>
          <w:szCs w:val="32"/>
          <w:highlight w:val="none"/>
          <w:u w:val="none"/>
          <w14:textFill>
            <w14:solidFill>
              <w14:schemeClr w14:val="tx1"/>
            </w14:solidFill>
          </w14:textFill>
        </w:rPr>
        <w:t>优先保障重点政策和重点项目的资金需求。深化产业发展专项资金投入方式的改革，注重运用</w:t>
      </w:r>
      <w:r>
        <w:rPr>
          <w:rFonts w:hint="eastAsia" w:ascii="仿宋_GB2312" w:hAnsi="宋体" w:eastAsia="仿宋_GB2312"/>
          <w:color w:val="000000" w:themeColor="text1"/>
          <w:sz w:val="32"/>
          <w:szCs w:val="32"/>
          <w:highlight w:val="none"/>
          <w:u w:val="none"/>
          <w14:textFill>
            <w14:solidFill>
              <w14:schemeClr w14:val="tx1"/>
            </w14:solidFill>
          </w14:textFill>
        </w:rPr>
        <w:t>基金模式，通过市场化、专业化方式合理配置资金，优化资金支出结构。</w:t>
      </w:r>
      <w:r>
        <w:rPr>
          <w:rFonts w:hint="eastAsia" w:ascii="仿宋_GB2312" w:hAnsi="仿宋" w:eastAsia="仿宋_GB2312" w:cs="宋体"/>
          <w:color w:val="000000" w:themeColor="text1"/>
          <w:kern w:val="0"/>
          <w:sz w:val="32"/>
          <w:szCs w:val="32"/>
          <w:highlight w:val="none"/>
          <w:u w:val="none"/>
          <w14:textFill>
            <w14:solidFill>
              <w14:schemeClr w14:val="tx1"/>
            </w14:solidFill>
          </w14:textFill>
        </w:rPr>
        <w:t>建立战略性新兴产业专家咨询制度，发挥行业协会的桥梁纽带作用，畅通与企业的沟通渠道，加强资金投入绩效评价，形成有效的反馈调整机制，确保资金的科学、合理使用，吸引各类社会资本参与光明的科技产业投资建设。</w:t>
      </w:r>
    </w:p>
    <w:p w14:paraId="2187C66D">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207" w:name="_Toc447203043"/>
      <w:bookmarkStart w:id="208" w:name="_Toc31009_WPSOffice_Level2"/>
      <w:bookmarkStart w:id="209" w:name="_Toc42762223"/>
      <w:bookmarkStart w:id="210" w:name="_Toc440892715"/>
      <w:bookmarkStart w:id="211" w:name="_Toc56442318"/>
      <w:bookmarkStart w:id="212" w:name="_Toc53583323"/>
      <w:bookmarkStart w:id="213" w:name="_Toc18077"/>
      <w:bookmarkStart w:id="214" w:name="_Toc5264"/>
      <w:bookmarkStart w:id="215" w:name="_Toc20368"/>
      <w:bookmarkStart w:id="216" w:name="_Toc21173"/>
      <w:r>
        <w:rPr>
          <w:rFonts w:hint="eastAsia" w:ascii="楷体_GB2312" w:hAnsi="楷体_GB2312" w:eastAsia="楷体_GB2312" w:cs="楷体_GB2312"/>
          <w:color w:val="000000" w:themeColor="text1"/>
          <w:highlight w:val="none"/>
          <w:u w:val="none"/>
          <w14:textFill>
            <w14:solidFill>
              <w14:schemeClr w14:val="tx1"/>
            </w14:solidFill>
          </w14:textFill>
        </w:rPr>
        <w:t>（三）</w:t>
      </w:r>
      <w:bookmarkEnd w:id="207"/>
      <w:bookmarkEnd w:id="208"/>
      <w:bookmarkEnd w:id="209"/>
      <w:bookmarkEnd w:id="210"/>
      <w:r>
        <w:rPr>
          <w:rFonts w:hint="eastAsia" w:ascii="楷体_GB2312" w:hAnsi="楷体_GB2312" w:eastAsia="楷体_GB2312" w:cs="楷体_GB2312"/>
          <w:color w:val="000000" w:themeColor="text1"/>
          <w:highlight w:val="none"/>
          <w:u w:val="none"/>
          <w14:textFill>
            <w14:solidFill>
              <w14:schemeClr w14:val="tx1"/>
            </w14:solidFill>
          </w14:textFill>
        </w:rPr>
        <w:t>加强规划实施的监测评估</w:t>
      </w:r>
      <w:bookmarkEnd w:id="211"/>
      <w:bookmarkEnd w:id="212"/>
      <w:bookmarkEnd w:id="213"/>
      <w:bookmarkEnd w:id="214"/>
      <w:bookmarkEnd w:id="215"/>
      <w:bookmarkEnd w:id="216"/>
    </w:p>
    <w:p w14:paraId="38BF8F03">
      <w:pPr>
        <w:spacing w:line="560" w:lineRule="exact"/>
        <w:ind w:firstLine="640" w:firstLineChars="200"/>
        <w:rPr>
          <w:rFonts w:ascii="仿宋_GB2312" w:hAnsi="仿宋" w:eastAsia="仿宋_GB2312" w:cs="宋体"/>
          <w:color w:val="000000" w:themeColor="text1"/>
          <w:kern w:val="0"/>
          <w:sz w:val="32"/>
          <w:szCs w:val="32"/>
          <w:highlight w:val="none"/>
          <w:u w:val="none"/>
          <w14:textFill>
            <w14:solidFill>
              <w14:schemeClr w14:val="tx1"/>
            </w14:solidFill>
          </w14:textFill>
        </w:rPr>
      </w:pPr>
      <w:r>
        <w:rPr>
          <w:rFonts w:hint="eastAsia" w:ascii="仿宋_GB2312" w:hAnsi="仿宋" w:eastAsia="仿宋_GB2312" w:cs="宋体"/>
          <w:color w:val="000000" w:themeColor="text1"/>
          <w:kern w:val="0"/>
          <w:sz w:val="32"/>
          <w:szCs w:val="32"/>
          <w:highlight w:val="none"/>
          <w:u w:val="none"/>
          <w14:textFill>
            <w14:solidFill>
              <w14:schemeClr w14:val="tx1"/>
            </w14:solidFill>
          </w14:textFill>
        </w:rPr>
        <w:t>本规划提出的发展目标、政策措施、重点任务和重大项目纳入经济社会发展年度计划，并对实施情况进行跟踪监测、动态管理，提高规划的实施效果。完善规划调整制度，在规划实施中期阶段，采取单位自评、公众评价、综合评价等多种方式，及时组织全面评估，检查规划实施和落实情况，按规定程序依法对规划进行调整和修订。发挥社会各界对规划实施情况的监督作用，提高规划评估考核的透明度。</w:t>
      </w:r>
    </w:p>
    <w:p w14:paraId="1F149F22">
      <w:pPr>
        <w:pStyle w:val="5"/>
        <w:spacing w:before="0" w:after="0" w:line="560" w:lineRule="exact"/>
        <w:ind w:firstLine="643" w:firstLineChars="200"/>
        <w:rPr>
          <w:rFonts w:hint="eastAsia" w:ascii="楷体_GB2312" w:hAnsi="楷体_GB2312" w:eastAsia="楷体_GB2312" w:cs="楷体_GB2312"/>
          <w:color w:val="000000" w:themeColor="text1"/>
          <w:highlight w:val="none"/>
          <w:u w:val="none"/>
          <w14:textFill>
            <w14:solidFill>
              <w14:schemeClr w14:val="tx1"/>
            </w14:solidFill>
          </w14:textFill>
        </w:rPr>
      </w:pPr>
      <w:bookmarkStart w:id="217" w:name="_Toc13312"/>
      <w:bookmarkStart w:id="218" w:name="_Toc6706"/>
      <w:bookmarkStart w:id="219" w:name="_Toc56442319"/>
      <w:bookmarkStart w:id="220" w:name="_Toc24361"/>
      <w:bookmarkStart w:id="221" w:name="_Toc7067"/>
      <w:r>
        <w:rPr>
          <w:rFonts w:hint="eastAsia" w:ascii="楷体_GB2312" w:hAnsi="楷体_GB2312" w:eastAsia="楷体_GB2312" w:cs="楷体_GB2312"/>
          <w:color w:val="000000" w:themeColor="text1"/>
          <w:highlight w:val="none"/>
          <w:u w:val="none"/>
          <w14:textFill>
            <w14:solidFill>
              <w14:schemeClr w14:val="tx1"/>
            </w14:solidFill>
          </w14:textFill>
        </w:rPr>
        <w:t>（四）营造规划实施的良好氛围</w:t>
      </w:r>
      <w:bookmarkEnd w:id="217"/>
      <w:bookmarkEnd w:id="218"/>
      <w:bookmarkEnd w:id="219"/>
      <w:bookmarkEnd w:id="220"/>
      <w:bookmarkEnd w:id="221"/>
    </w:p>
    <w:p w14:paraId="241DADD2">
      <w:pPr>
        <w:spacing w:line="560" w:lineRule="exact"/>
        <w:ind w:firstLine="640" w:firstLineChars="200"/>
        <w:rPr>
          <w:rFonts w:ascii="仿宋_GB2312" w:hAnsi="仿宋" w:eastAsia="仿宋_GB2312" w:cs="宋体"/>
          <w:color w:val="000000" w:themeColor="text1"/>
          <w:kern w:val="0"/>
          <w:sz w:val="32"/>
          <w:szCs w:val="32"/>
          <w:highlight w:val="none"/>
          <w:u w:val="none"/>
          <w14:textFill>
            <w14:solidFill>
              <w14:schemeClr w14:val="tx1"/>
            </w14:solidFill>
          </w14:textFill>
        </w:rPr>
      </w:pPr>
      <w:r>
        <w:rPr>
          <w:rFonts w:hint="eastAsia" w:ascii="仿宋_GB2312" w:hAnsi="仿宋" w:eastAsia="仿宋_GB2312" w:cs="宋体"/>
          <w:color w:val="000000" w:themeColor="text1"/>
          <w:kern w:val="0"/>
          <w:sz w:val="32"/>
          <w:szCs w:val="32"/>
          <w:highlight w:val="none"/>
          <w:u w:val="none"/>
          <w14:textFill>
            <w14:solidFill>
              <w14:schemeClr w14:val="tx1"/>
            </w14:solidFill>
          </w14:textFill>
        </w:rPr>
        <w:t>充分运用传统媒体和新媒体，加强对规划的宣传解读，深入挖掘规划实施过程中的先进经验，总结推广一批发展模式、典型案例和先进人物；大力弘扬特区精神、企业家精神、工匠精神，激发全社会创新创业、实干兴业的热情，不断增强公众对规划的认知、认可和认同，引导全社会共同关注、协力支持、积极参与，打造有利于规划实施和落实的社会环境。</w:t>
      </w:r>
      <w:bookmarkEnd w:id="172"/>
      <w:bookmarkEnd w:id="173"/>
      <w:bookmarkEnd w:id="174"/>
    </w:p>
    <w:sectPr>
      <w:footerReference r:id="rId5"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Calibri Light">
    <w:altName w:val="DejaVu Sans"/>
    <w:panose1 w:val="020F0302020204030204"/>
    <w:charset w:val="00"/>
    <w:family w:val="swiss"/>
    <w:pitch w:val="default"/>
    <w:sig w:usb0="00000000" w:usb1="00000000" w:usb2="00000009" w:usb3="00000000" w:csb0="200001FF"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altName w:val="方正黑体_GBK"/>
    <w:panose1 w:val="020B0503020204020204"/>
    <w:charset w:val="86"/>
    <w:family w:val="swiss"/>
    <w:pitch w:val="default"/>
    <w:sig w:usb0="00000000" w:usb1="00000000" w:usb2="00000016" w:usb3="00000000" w:csb0="0004001F" w:csb1="00000000"/>
  </w:font>
  <w:font w:name="Mongolian Baiti">
    <w:altName w:val="DejaVu Math TeX Gyre"/>
    <w:panose1 w:val="03000500000000000000"/>
    <w:charset w:val="00"/>
    <w:family w:val="script"/>
    <w:pitch w:val="default"/>
    <w:sig w:usb0="00000000" w:usb1="00000000" w:usb2="00020000" w:usb3="00000000" w:csb0="00000001" w:csb1="00000000"/>
  </w:font>
  <w:font w:name="DejaVu Math TeX Gyre">
    <w:panose1 w:val="02000503000000000000"/>
    <w:charset w:val="00"/>
    <w:family w:val="auto"/>
    <w:pitch w:val="default"/>
    <w:sig w:usb0="A10000EF" w:usb1="4201F9EE" w:usb2="02000000" w:usb3="00000000" w:csb0="60000193" w:csb1="0DD4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60B1A">
    <w:pPr>
      <w:pStyle w:val="11"/>
      <w:jc w:val="center"/>
    </w:pPr>
  </w:p>
  <w:p w14:paraId="58434D0B">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8273C9">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B359E9">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3B359E9">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II</w:t>
                    </w:r>
                    <w:r>
                      <w:rPr>
                        <w:rFonts w:hint="eastAsia"/>
                        <w:lang w:eastAsia="zh-CN"/>
                      </w:rPr>
                      <w:fldChar w:fldCharType="end"/>
                    </w:r>
                  </w:p>
                </w:txbxContent>
              </v:textbox>
            </v:shape>
          </w:pict>
        </mc:Fallback>
      </mc:AlternateContent>
    </w:r>
  </w:p>
  <w:p w14:paraId="6EEFB7E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44904">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623383">
                          <w:pPr>
                            <w:pStyle w:val="11"/>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I</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623383">
                    <w:pPr>
                      <w:pStyle w:val="11"/>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I</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p w14:paraId="7159F9D2">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ABA"/>
    <w:rsid w:val="0000092A"/>
    <w:rsid w:val="00000DA9"/>
    <w:rsid w:val="00001593"/>
    <w:rsid w:val="000028EB"/>
    <w:rsid w:val="00002AC1"/>
    <w:rsid w:val="00003CC8"/>
    <w:rsid w:val="00004983"/>
    <w:rsid w:val="00004E91"/>
    <w:rsid w:val="00006E12"/>
    <w:rsid w:val="000078D4"/>
    <w:rsid w:val="00007E26"/>
    <w:rsid w:val="0001039F"/>
    <w:rsid w:val="000105E0"/>
    <w:rsid w:val="00011BF1"/>
    <w:rsid w:val="00012832"/>
    <w:rsid w:val="00012F44"/>
    <w:rsid w:val="00013E45"/>
    <w:rsid w:val="00014820"/>
    <w:rsid w:val="00014A5E"/>
    <w:rsid w:val="000150FF"/>
    <w:rsid w:val="000153E7"/>
    <w:rsid w:val="00015E7D"/>
    <w:rsid w:val="0001609C"/>
    <w:rsid w:val="000162C2"/>
    <w:rsid w:val="000164A3"/>
    <w:rsid w:val="00016836"/>
    <w:rsid w:val="00017396"/>
    <w:rsid w:val="000175FF"/>
    <w:rsid w:val="00020F7C"/>
    <w:rsid w:val="00021698"/>
    <w:rsid w:val="000221E6"/>
    <w:rsid w:val="0002267E"/>
    <w:rsid w:val="0002279A"/>
    <w:rsid w:val="00022BC1"/>
    <w:rsid w:val="000241F3"/>
    <w:rsid w:val="0002433C"/>
    <w:rsid w:val="000253A1"/>
    <w:rsid w:val="000254E3"/>
    <w:rsid w:val="000255C2"/>
    <w:rsid w:val="000256FA"/>
    <w:rsid w:val="000266AC"/>
    <w:rsid w:val="00026A4D"/>
    <w:rsid w:val="00027602"/>
    <w:rsid w:val="0002780F"/>
    <w:rsid w:val="0002789B"/>
    <w:rsid w:val="00027CCF"/>
    <w:rsid w:val="00031025"/>
    <w:rsid w:val="00031200"/>
    <w:rsid w:val="00031625"/>
    <w:rsid w:val="000325EC"/>
    <w:rsid w:val="00032771"/>
    <w:rsid w:val="000334C1"/>
    <w:rsid w:val="000361DC"/>
    <w:rsid w:val="000369DB"/>
    <w:rsid w:val="000376BF"/>
    <w:rsid w:val="000376D9"/>
    <w:rsid w:val="0004026C"/>
    <w:rsid w:val="0004082F"/>
    <w:rsid w:val="00040858"/>
    <w:rsid w:val="000410A2"/>
    <w:rsid w:val="00043B36"/>
    <w:rsid w:val="000444BC"/>
    <w:rsid w:val="00044924"/>
    <w:rsid w:val="00044E73"/>
    <w:rsid w:val="00044FDE"/>
    <w:rsid w:val="0004566C"/>
    <w:rsid w:val="00045B84"/>
    <w:rsid w:val="00045E83"/>
    <w:rsid w:val="00046256"/>
    <w:rsid w:val="00046713"/>
    <w:rsid w:val="0004688E"/>
    <w:rsid w:val="00046E35"/>
    <w:rsid w:val="000472B4"/>
    <w:rsid w:val="0005014D"/>
    <w:rsid w:val="00050438"/>
    <w:rsid w:val="000505C0"/>
    <w:rsid w:val="00050A94"/>
    <w:rsid w:val="00051A30"/>
    <w:rsid w:val="00051CD4"/>
    <w:rsid w:val="00052553"/>
    <w:rsid w:val="00052B59"/>
    <w:rsid w:val="00054431"/>
    <w:rsid w:val="000546DF"/>
    <w:rsid w:val="000552C8"/>
    <w:rsid w:val="000555D5"/>
    <w:rsid w:val="00055B33"/>
    <w:rsid w:val="00056CF0"/>
    <w:rsid w:val="00060184"/>
    <w:rsid w:val="00061574"/>
    <w:rsid w:val="000617F4"/>
    <w:rsid w:val="0006233A"/>
    <w:rsid w:val="00062419"/>
    <w:rsid w:val="000637B2"/>
    <w:rsid w:val="0006381B"/>
    <w:rsid w:val="000644C8"/>
    <w:rsid w:val="000650D6"/>
    <w:rsid w:val="000659B3"/>
    <w:rsid w:val="000664BA"/>
    <w:rsid w:val="00066B35"/>
    <w:rsid w:val="00066BF1"/>
    <w:rsid w:val="00067903"/>
    <w:rsid w:val="000679E4"/>
    <w:rsid w:val="00067CCE"/>
    <w:rsid w:val="00067F06"/>
    <w:rsid w:val="0007014F"/>
    <w:rsid w:val="00070E3D"/>
    <w:rsid w:val="000711CF"/>
    <w:rsid w:val="000713F2"/>
    <w:rsid w:val="00071DA1"/>
    <w:rsid w:val="0007218B"/>
    <w:rsid w:val="0007220A"/>
    <w:rsid w:val="0007234C"/>
    <w:rsid w:val="00072B9D"/>
    <w:rsid w:val="000730BF"/>
    <w:rsid w:val="00077BC7"/>
    <w:rsid w:val="0008065B"/>
    <w:rsid w:val="00081932"/>
    <w:rsid w:val="00081D98"/>
    <w:rsid w:val="00082AAF"/>
    <w:rsid w:val="00084956"/>
    <w:rsid w:val="00085FB3"/>
    <w:rsid w:val="00086070"/>
    <w:rsid w:val="00086705"/>
    <w:rsid w:val="0008689A"/>
    <w:rsid w:val="000879E2"/>
    <w:rsid w:val="000901EA"/>
    <w:rsid w:val="00090341"/>
    <w:rsid w:val="000909E3"/>
    <w:rsid w:val="00090BB3"/>
    <w:rsid w:val="00092303"/>
    <w:rsid w:val="000923AB"/>
    <w:rsid w:val="00093ADE"/>
    <w:rsid w:val="00093DA5"/>
    <w:rsid w:val="00095326"/>
    <w:rsid w:val="000960C9"/>
    <w:rsid w:val="000967CB"/>
    <w:rsid w:val="000A0773"/>
    <w:rsid w:val="000A07DB"/>
    <w:rsid w:val="000A087A"/>
    <w:rsid w:val="000A09CC"/>
    <w:rsid w:val="000A1267"/>
    <w:rsid w:val="000A1AA4"/>
    <w:rsid w:val="000A1BD4"/>
    <w:rsid w:val="000A1EB5"/>
    <w:rsid w:val="000A29A8"/>
    <w:rsid w:val="000A3305"/>
    <w:rsid w:val="000A3618"/>
    <w:rsid w:val="000A3C39"/>
    <w:rsid w:val="000A47B4"/>
    <w:rsid w:val="000A4997"/>
    <w:rsid w:val="000A5564"/>
    <w:rsid w:val="000A649B"/>
    <w:rsid w:val="000A6B27"/>
    <w:rsid w:val="000A7298"/>
    <w:rsid w:val="000B0D5B"/>
    <w:rsid w:val="000B1459"/>
    <w:rsid w:val="000B1C64"/>
    <w:rsid w:val="000B1F1A"/>
    <w:rsid w:val="000B277F"/>
    <w:rsid w:val="000B2C4E"/>
    <w:rsid w:val="000B2E32"/>
    <w:rsid w:val="000B3D86"/>
    <w:rsid w:val="000B4986"/>
    <w:rsid w:val="000B59A7"/>
    <w:rsid w:val="000B5A73"/>
    <w:rsid w:val="000B5BE6"/>
    <w:rsid w:val="000B637C"/>
    <w:rsid w:val="000B6539"/>
    <w:rsid w:val="000B740F"/>
    <w:rsid w:val="000B7A82"/>
    <w:rsid w:val="000B7FDC"/>
    <w:rsid w:val="000C028D"/>
    <w:rsid w:val="000C1D12"/>
    <w:rsid w:val="000C1DE2"/>
    <w:rsid w:val="000C34DA"/>
    <w:rsid w:val="000C3E16"/>
    <w:rsid w:val="000C4182"/>
    <w:rsid w:val="000C51F8"/>
    <w:rsid w:val="000C62CC"/>
    <w:rsid w:val="000C69AE"/>
    <w:rsid w:val="000C759E"/>
    <w:rsid w:val="000C7823"/>
    <w:rsid w:val="000D005C"/>
    <w:rsid w:val="000D1168"/>
    <w:rsid w:val="000D11A9"/>
    <w:rsid w:val="000D186C"/>
    <w:rsid w:val="000D27A3"/>
    <w:rsid w:val="000D36FD"/>
    <w:rsid w:val="000D3E90"/>
    <w:rsid w:val="000D40B9"/>
    <w:rsid w:val="000D4A6A"/>
    <w:rsid w:val="000D50C3"/>
    <w:rsid w:val="000D7419"/>
    <w:rsid w:val="000E048F"/>
    <w:rsid w:val="000E0530"/>
    <w:rsid w:val="000E0728"/>
    <w:rsid w:val="000E0B86"/>
    <w:rsid w:val="000E15BE"/>
    <w:rsid w:val="000E1B8E"/>
    <w:rsid w:val="000E2887"/>
    <w:rsid w:val="000E2CF8"/>
    <w:rsid w:val="000E4960"/>
    <w:rsid w:val="000E4D70"/>
    <w:rsid w:val="000E4D81"/>
    <w:rsid w:val="000E4F15"/>
    <w:rsid w:val="000E5AC3"/>
    <w:rsid w:val="000E5CF4"/>
    <w:rsid w:val="000E6066"/>
    <w:rsid w:val="000E6092"/>
    <w:rsid w:val="000E639F"/>
    <w:rsid w:val="000E6B4C"/>
    <w:rsid w:val="000E7269"/>
    <w:rsid w:val="000E79F0"/>
    <w:rsid w:val="000F125C"/>
    <w:rsid w:val="000F1B76"/>
    <w:rsid w:val="000F1C1F"/>
    <w:rsid w:val="000F1E52"/>
    <w:rsid w:val="000F403D"/>
    <w:rsid w:val="000F4E46"/>
    <w:rsid w:val="000F6123"/>
    <w:rsid w:val="000F68E7"/>
    <w:rsid w:val="000F6BC1"/>
    <w:rsid w:val="000F7A3F"/>
    <w:rsid w:val="000F7BB9"/>
    <w:rsid w:val="000F7DA7"/>
    <w:rsid w:val="0010115E"/>
    <w:rsid w:val="001015EB"/>
    <w:rsid w:val="00101CBD"/>
    <w:rsid w:val="001028DF"/>
    <w:rsid w:val="001037F7"/>
    <w:rsid w:val="00103B7F"/>
    <w:rsid w:val="00104058"/>
    <w:rsid w:val="00104C51"/>
    <w:rsid w:val="00105446"/>
    <w:rsid w:val="0010636C"/>
    <w:rsid w:val="00106B6B"/>
    <w:rsid w:val="00106CFD"/>
    <w:rsid w:val="001070AE"/>
    <w:rsid w:val="001101FA"/>
    <w:rsid w:val="001102D3"/>
    <w:rsid w:val="00110324"/>
    <w:rsid w:val="001107E9"/>
    <w:rsid w:val="00110B3D"/>
    <w:rsid w:val="00110DDF"/>
    <w:rsid w:val="00113044"/>
    <w:rsid w:val="00113C96"/>
    <w:rsid w:val="00114C7C"/>
    <w:rsid w:val="00114D67"/>
    <w:rsid w:val="00115203"/>
    <w:rsid w:val="00115D42"/>
    <w:rsid w:val="00115FAB"/>
    <w:rsid w:val="0011616A"/>
    <w:rsid w:val="001164CA"/>
    <w:rsid w:val="0011690C"/>
    <w:rsid w:val="00116F5E"/>
    <w:rsid w:val="001172CC"/>
    <w:rsid w:val="00120648"/>
    <w:rsid w:val="00120D31"/>
    <w:rsid w:val="00120E51"/>
    <w:rsid w:val="00121CAB"/>
    <w:rsid w:val="00122559"/>
    <w:rsid w:val="00122CF6"/>
    <w:rsid w:val="001237CC"/>
    <w:rsid w:val="001239A8"/>
    <w:rsid w:val="00123ADB"/>
    <w:rsid w:val="001249B1"/>
    <w:rsid w:val="00124FDB"/>
    <w:rsid w:val="001258BA"/>
    <w:rsid w:val="00126BD2"/>
    <w:rsid w:val="00127353"/>
    <w:rsid w:val="00127A8D"/>
    <w:rsid w:val="00130CFC"/>
    <w:rsid w:val="00130FF9"/>
    <w:rsid w:val="0013143B"/>
    <w:rsid w:val="0013237E"/>
    <w:rsid w:val="00133532"/>
    <w:rsid w:val="00133F59"/>
    <w:rsid w:val="0013443D"/>
    <w:rsid w:val="00134918"/>
    <w:rsid w:val="001351D5"/>
    <w:rsid w:val="00135893"/>
    <w:rsid w:val="0013592E"/>
    <w:rsid w:val="001364D3"/>
    <w:rsid w:val="001366A6"/>
    <w:rsid w:val="0013753A"/>
    <w:rsid w:val="00137B1B"/>
    <w:rsid w:val="00137BA6"/>
    <w:rsid w:val="00137E3C"/>
    <w:rsid w:val="00140293"/>
    <w:rsid w:val="0014047B"/>
    <w:rsid w:val="00140DC6"/>
    <w:rsid w:val="00140EB9"/>
    <w:rsid w:val="001421ED"/>
    <w:rsid w:val="00142984"/>
    <w:rsid w:val="00142B20"/>
    <w:rsid w:val="001432FA"/>
    <w:rsid w:val="001438D9"/>
    <w:rsid w:val="00144F40"/>
    <w:rsid w:val="00144FA5"/>
    <w:rsid w:val="00145E1F"/>
    <w:rsid w:val="00146547"/>
    <w:rsid w:val="00146636"/>
    <w:rsid w:val="00146F9A"/>
    <w:rsid w:val="00150008"/>
    <w:rsid w:val="00150CB7"/>
    <w:rsid w:val="00151259"/>
    <w:rsid w:val="001521F9"/>
    <w:rsid w:val="00152357"/>
    <w:rsid w:val="00152B7D"/>
    <w:rsid w:val="00152DDF"/>
    <w:rsid w:val="00152E62"/>
    <w:rsid w:val="00152F6A"/>
    <w:rsid w:val="00153027"/>
    <w:rsid w:val="0015388E"/>
    <w:rsid w:val="00154A23"/>
    <w:rsid w:val="00155512"/>
    <w:rsid w:val="00155AEC"/>
    <w:rsid w:val="00155E2D"/>
    <w:rsid w:val="00155F70"/>
    <w:rsid w:val="001570AD"/>
    <w:rsid w:val="001606CC"/>
    <w:rsid w:val="00160943"/>
    <w:rsid w:val="001612B8"/>
    <w:rsid w:val="001612C0"/>
    <w:rsid w:val="0016196D"/>
    <w:rsid w:val="00161AE2"/>
    <w:rsid w:val="00163710"/>
    <w:rsid w:val="00164C4C"/>
    <w:rsid w:val="001650DE"/>
    <w:rsid w:val="00165414"/>
    <w:rsid w:val="0016642C"/>
    <w:rsid w:val="00166B96"/>
    <w:rsid w:val="00170B61"/>
    <w:rsid w:val="00170E18"/>
    <w:rsid w:val="0017171B"/>
    <w:rsid w:val="00171E43"/>
    <w:rsid w:val="001722C7"/>
    <w:rsid w:val="00172911"/>
    <w:rsid w:val="0017328D"/>
    <w:rsid w:val="00173968"/>
    <w:rsid w:val="00174298"/>
    <w:rsid w:val="00174781"/>
    <w:rsid w:val="00174A9D"/>
    <w:rsid w:val="001770D1"/>
    <w:rsid w:val="0017744B"/>
    <w:rsid w:val="00180164"/>
    <w:rsid w:val="001804B3"/>
    <w:rsid w:val="00180586"/>
    <w:rsid w:val="001805DA"/>
    <w:rsid w:val="0018115E"/>
    <w:rsid w:val="001815A9"/>
    <w:rsid w:val="00181B43"/>
    <w:rsid w:val="00182160"/>
    <w:rsid w:val="001823FB"/>
    <w:rsid w:val="00182709"/>
    <w:rsid w:val="00182C36"/>
    <w:rsid w:val="001835D7"/>
    <w:rsid w:val="001839F9"/>
    <w:rsid w:val="0018417A"/>
    <w:rsid w:val="0018468D"/>
    <w:rsid w:val="001849FE"/>
    <w:rsid w:val="00185F9A"/>
    <w:rsid w:val="00186755"/>
    <w:rsid w:val="00186ABD"/>
    <w:rsid w:val="0019048E"/>
    <w:rsid w:val="001905B7"/>
    <w:rsid w:val="00190ED4"/>
    <w:rsid w:val="00191027"/>
    <w:rsid w:val="001913F7"/>
    <w:rsid w:val="00191ABA"/>
    <w:rsid w:val="00193C7B"/>
    <w:rsid w:val="0019669A"/>
    <w:rsid w:val="00196D28"/>
    <w:rsid w:val="00197A1A"/>
    <w:rsid w:val="001A10EC"/>
    <w:rsid w:val="001A133E"/>
    <w:rsid w:val="001A2175"/>
    <w:rsid w:val="001A263E"/>
    <w:rsid w:val="001A2C6C"/>
    <w:rsid w:val="001A35F9"/>
    <w:rsid w:val="001A3F4E"/>
    <w:rsid w:val="001A519C"/>
    <w:rsid w:val="001A556C"/>
    <w:rsid w:val="001A55DE"/>
    <w:rsid w:val="001A56DC"/>
    <w:rsid w:val="001A5B5A"/>
    <w:rsid w:val="001A5CC3"/>
    <w:rsid w:val="001A7CE7"/>
    <w:rsid w:val="001B057C"/>
    <w:rsid w:val="001B0C23"/>
    <w:rsid w:val="001B13A0"/>
    <w:rsid w:val="001B1680"/>
    <w:rsid w:val="001B2A12"/>
    <w:rsid w:val="001B410D"/>
    <w:rsid w:val="001B41CC"/>
    <w:rsid w:val="001B43F1"/>
    <w:rsid w:val="001B4594"/>
    <w:rsid w:val="001B4F76"/>
    <w:rsid w:val="001B568C"/>
    <w:rsid w:val="001B6CEC"/>
    <w:rsid w:val="001B73E5"/>
    <w:rsid w:val="001B75D8"/>
    <w:rsid w:val="001B7A19"/>
    <w:rsid w:val="001C0841"/>
    <w:rsid w:val="001C08F9"/>
    <w:rsid w:val="001C157B"/>
    <w:rsid w:val="001C183B"/>
    <w:rsid w:val="001C1B9F"/>
    <w:rsid w:val="001C1F05"/>
    <w:rsid w:val="001C24E4"/>
    <w:rsid w:val="001C25E3"/>
    <w:rsid w:val="001C27DF"/>
    <w:rsid w:val="001C3E4A"/>
    <w:rsid w:val="001C3EAF"/>
    <w:rsid w:val="001C41E9"/>
    <w:rsid w:val="001C4364"/>
    <w:rsid w:val="001C63FC"/>
    <w:rsid w:val="001C7593"/>
    <w:rsid w:val="001C7D47"/>
    <w:rsid w:val="001D0906"/>
    <w:rsid w:val="001D1A90"/>
    <w:rsid w:val="001D26A3"/>
    <w:rsid w:val="001D2957"/>
    <w:rsid w:val="001D4765"/>
    <w:rsid w:val="001D5FF2"/>
    <w:rsid w:val="001D65F9"/>
    <w:rsid w:val="001D6EF7"/>
    <w:rsid w:val="001D750B"/>
    <w:rsid w:val="001D7659"/>
    <w:rsid w:val="001D7F54"/>
    <w:rsid w:val="001E1B73"/>
    <w:rsid w:val="001E1F31"/>
    <w:rsid w:val="001E3AEB"/>
    <w:rsid w:val="001E3BFA"/>
    <w:rsid w:val="001E4E0B"/>
    <w:rsid w:val="001E4F9B"/>
    <w:rsid w:val="001E4FF3"/>
    <w:rsid w:val="001E5030"/>
    <w:rsid w:val="001E50E0"/>
    <w:rsid w:val="001E516C"/>
    <w:rsid w:val="001E5E45"/>
    <w:rsid w:val="001E6A29"/>
    <w:rsid w:val="001E6DE8"/>
    <w:rsid w:val="001E748E"/>
    <w:rsid w:val="001E7891"/>
    <w:rsid w:val="001E7BA9"/>
    <w:rsid w:val="001E7CC0"/>
    <w:rsid w:val="001F0145"/>
    <w:rsid w:val="001F035E"/>
    <w:rsid w:val="001F0422"/>
    <w:rsid w:val="001F043F"/>
    <w:rsid w:val="001F0523"/>
    <w:rsid w:val="001F0F79"/>
    <w:rsid w:val="001F1E40"/>
    <w:rsid w:val="001F2785"/>
    <w:rsid w:val="001F2A03"/>
    <w:rsid w:val="001F2D37"/>
    <w:rsid w:val="001F36AB"/>
    <w:rsid w:val="001F4038"/>
    <w:rsid w:val="001F439C"/>
    <w:rsid w:val="001F4C5E"/>
    <w:rsid w:val="001F4C66"/>
    <w:rsid w:val="001F4E17"/>
    <w:rsid w:val="001F59D6"/>
    <w:rsid w:val="001F5B7B"/>
    <w:rsid w:val="001F5BFB"/>
    <w:rsid w:val="001F60F6"/>
    <w:rsid w:val="001F6506"/>
    <w:rsid w:val="001F6761"/>
    <w:rsid w:val="001F6CFC"/>
    <w:rsid w:val="001F70AD"/>
    <w:rsid w:val="00200209"/>
    <w:rsid w:val="002003B8"/>
    <w:rsid w:val="002003C2"/>
    <w:rsid w:val="002004DD"/>
    <w:rsid w:val="00200BDB"/>
    <w:rsid w:val="00200CAE"/>
    <w:rsid w:val="00200CF8"/>
    <w:rsid w:val="00200F09"/>
    <w:rsid w:val="00201AFA"/>
    <w:rsid w:val="00202AC3"/>
    <w:rsid w:val="00202EE2"/>
    <w:rsid w:val="0020308C"/>
    <w:rsid w:val="00203685"/>
    <w:rsid w:val="002041CF"/>
    <w:rsid w:val="00204825"/>
    <w:rsid w:val="00204CFC"/>
    <w:rsid w:val="0020732E"/>
    <w:rsid w:val="0020744B"/>
    <w:rsid w:val="00207DB8"/>
    <w:rsid w:val="00207FC5"/>
    <w:rsid w:val="00210028"/>
    <w:rsid w:val="00210572"/>
    <w:rsid w:val="00210DB7"/>
    <w:rsid w:val="00211525"/>
    <w:rsid w:val="00211578"/>
    <w:rsid w:val="0021206E"/>
    <w:rsid w:val="002131B7"/>
    <w:rsid w:val="00213BDF"/>
    <w:rsid w:val="00214C83"/>
    <w:rsid w:val="00215AD1"/>
    <w:rsid w:val="00215EF8"/>
    <w:rsid w:val="00217620"/>
    <w:rsid w:val="0021798E"/>
    <w:rsid w:val="002200B2"/>
    <w:rsid w:val="00220738"/>
    <w:rsid w:val="002213B6"/>
    <w:rsid w:val="00221898"/>
    <w:rsid w:val="002218BF"/>
    <w:rsid w:val="002222B1"/>
    <w:rsid w:val="002227BB"/>
    <w:rsid w:val="00222C1B"/>
    <w:rsid w:val="002234AB"/>
    <w:rsid w:val="00223C8E"/>
    <w:rsid w:val="002245DA"/>
    <w:rsid w:val="00224E2C"/>
    <w:rsid w:val="00224FB1"/>
    <w:rsid w:val="00225968"/>
    <w:rsid w:val="00225ADC"/>
    <w:rsid w:val="0022649D"/>
    <w:rsid w:val="00226970"/>
    <w:rsid w:val="00226CF1"/>
    <w:rsid w:val="00227D73"/>
    <w:rsid w:val="00227E51"/>
    <w:rsid w:val="002303A3"/>
    <w:rsid w:val="0023092B"/>
    <w:rsid w:val="00230DFC"/>
    <w:rsid w:val="002311D7"/>
    <w:rsid w:val="00231BC9"/>
    <w:rsid w:val="00232B55"/>
    <w:rsid w:val="002337CB"/>
    <w:rsid w:val="00233B71"/>
    <w:rsid w:val="002345AB"/>
    <w:rsid w:val="00234D6D"/>
    <w:rsid w:val="00235140"/>
    <w:rsid w:val="00235B74"/>
    <w:rsid w:val="00236439"/>
    <w:rsid w:val="00236DED"/>
    <w:rsid w:val="002418F3"/>
    <w:rsid w:val="00242B4C"/>
    <w:rsid w:val="00242C05"/>
    <w:rsid w:val="00243524"/>
    <w:rsid w:val="00243DC2"/>
    <w:rsid w:val="0024428B"/>
    <w:rsid w:val="002449F3"/>
    <w:rsid w:val="002456AB"/>
    <w:rsid w:val="0024653C"/>
    <w:rsid w:val="00246948"/>
    <w:rsid w:val="00246E01"/>
    <w:rsid w:val="00247AAF"/>
    <w:rsid w:val="00247BA9"/>
    <w:rsid w:val="00250EA9"/>
    <w:rsid w:val="0025121D"/>
    <w:rsid w:val="00252779"/>
    <w:rsid w:val="00252F8E"/>
    <w:rsid w:val="00253B97"/>
    <w:rsid w:val="00254DFE"/>
    <w:rsid w:val="002560C8"/>
    <w:rsid w:val="002561EB"/>
    <w:rsid w:val="00256AE5"/>
    <w:rsid w:val="00257203"/>
    <w:rsid w:val="0025780D"/>
    <w:rsid w:val="00257B12"/>
    <w:rsid w:val="00260116"/>
    <w:rsid w:val="00260285"/>
    <w:rsid w:val="002603A1"/>
    <w:rsid w:val="0026046B"/>
    <w:rsid w:val="0026093E"/>
    <w:rsid w:val="00260AA6"/>
    <w:rsid w:val="002611B7"/>
    <w:rsid w:val="002611C6"/>
    <w:rsid w:val="0026134E"/>
    <w:rsid w:val="00261512"/>
    <w:rsid w:val="0026208D"/>
    <w:rsid w:val="00262A45"/>
    <w:rsid w:val="002642DB"/>
    <w:rsid w:val="00264868"/>
    <w:rsid w:val="00264B31"/>
    <w:rsid w:val="00264E1A"/>
    <w:rsid w:val="002651A1"/>
    <w:rsid w:val="00265CCB"/>
    <w:rsid w:val="00266455"/>
    <w:rsid w:val="0026657E"/>
    <w:rsid w:val="00266A19"/>
    <w:rsid w:val="0026702A"/>
    <w:rsid w:val="0026729F"/>
    <w:rsid w:val="002677B5"/>
    <w:rsid w:val="00267CAE"/>
    <w:rsid w:val="00270756"/>
    <w:rsid w:val="00271001"/>
    <w:rsid w:val="00271B9E"/>
    <w:rsid w:val="00272E68"/>
    <w:rsid w:val="00272ED5"/>
    <w:rsid w:val="00273D44"/>
    <w:rsid w:val="00274A77"/>
    <w:rsid w:val="002769C3"/>
    <w:rsid w:val="00276D54"/>
    <w:rsid w:val="0027788A"/>
    <w:rsid w:val="00277B38"/>
    <w:rsid w:val="00277EDF"/>
    <w:rsid w:val="002800D3"/>
    <w:rsid w:val="00280D22"/>
    <w:rsid w:val="00281204"/>
    <w:rsid w:val="00282BFC"/>
    <w:rsid w:val="00283EB1"/>
    <w:rsid w:val="00284341"/>
    <w:rsid w:val="002853EC"/>
    <w:rsid w:val="0028681D"/>
    <w:rsid w:val="00286EDA"/>
    <w:rsid w:val="002872FC"/>
    <w:rsid w:val="00287F1B"/>
    <w:rsid w:val="00290DA1"/>
    <w:rsid w:val="00290E8B"/>
    <w:rsid w:val="002919EF"/>
    <w:rsid w:val="002932A1"/>
    <w:rsid w:val="00293D65"/>
    <w:rsid w:val="00294097"/>
    <w:rsid w:val="0029465C"/>
    <w:rsid w:val="00294CA1"/>
    <w:rsid w:val="0029599A"/>
    <w:rsid w:val="002959D4"/>
    <w:rsid w:val="002965D2"/>
    <w:rsid w:val="0029683C"/>
    <w:rsid w:val="00297196"/>
    <w:rsid w:val="00297712"/>
    <w:rsid w:val="00297E3C"/>
    <w:rsid w:val="002A1D9C"/>
    <w:rsid w:val="002A3B5B"/>
    <w:rsid w:val="002A4ABA"/>
    <w:rsid w:val="002A5CE0"/>
    <w:rsid w:val="002A5E94"/>
    <w:rsid w:val="002A671C"/>
    <w:rsid w:val="002A724D"/>
    <w:rsid w:val="002B019C"/>
    <w:rsid w:val="002B0BBE"/>
    <w:rsid w:val="002B12A0"/>
    <w:rsid w:val="002B169F"/>
    <w:rsid w:val="002B18C8"/>
    <w:rsid w:val="002B214B"/>
    <w:rsid w:val="002B2D98"/>
    <w:rsid w:val="002B2E4F"/>
    <w:rsid w:val="002B30B0"/>
    <w:rsid w:val="002B31A9"/>
    <w:rsid w:val="002B31FE"/>
    <w:rsid w:val="002B32F2"/>
    <w:rsid w:val="002B3518"/>
    <w:rsid w:val="002B3988"/>
    <w:rsid w:val="002B3DD9"/>
    <w:rsid w:val="002B44E7"/>
    <w:rsid w:val="002B488E"/>
    <w:rsid w:val="002B549E"/>
    <w:rsid w:val="002B7184"/>
    <w:rsid w:val="002B797E"/>
    <w:rsid w:val="002C0671"/>
    <w:rsid w:val="002C183D"/>
    <w:rsid w:val="002C2BC6"/>
    <w:rsid w:val="002C2E59"/>
    <w:rsid w:val="002C38AE"/>
    <w:rsid w:val="002C3BCE"/>
    <w:rsid w:val="002C5060"/>
    <w:rsid w:val="002C579B"/>
    <w:rsid w:val="002C6D79"/>
    <w:rsid w:val="002C7206"/>
    <w:rsid w:val="002C77B3"/>
    <w:rsid w:val="002C7E22"/>
    <w:rsid w:val="002D053D"/>
    <w:rsid w:val="002D06E2"/>
    <w:rsid w:val="002D0898"/>
    <w:rsid w:val="002D2A77"/>
    <w:rsid w:val="002D347A"/>
    <w:rsid w:val="002D38B7"/>
    <w:rsid w:val="002D3BED"/>
    <w:rsid w:val="002D542D"/>
    <w:rsid w:val="002D54D1"/>
    <w:rsid w:val="002D6136"/>
    <w:rsid w:val="002D6744"/>
    <w:rsid w:val="002D6E25"/>
    <w:rsid w:val="002D6F27"/>
    <w:rsid w:val="002D7C60"/>
    <w:rsid w:val="002E0169"/>
    <w:rsid w:val="002E017D"/>
    <w:rsid w:val="002E0530"/>
    <w:rsid w:val="002E331B"/>
    <w:rsid w:val="002E33F0"/>
    <w:rsid w:val="002E3470"/>
    <w:rsid w:val="002E37E5"/>
    <w:rsid w:val="002E41C7"/>
    <w:rsid w:val="002E4DBE"/>
    <w:rsid w:val="002E5621"/>
    <w:rsid w:val="002E5835"/>
    <w:rsid w:val="002E78F4"/>
    <w:rsid w:val="002E79C6"/>
    <w:rsid w:val="002E7B30"/>
    <w:rsid w:val="002F01D4"/>
    <w:rsid w:val="002F0902"/>
    <w:rsid w:val="002F0F77"/>
    <w:rsid w:val="002F1DC1"/>
    <w:rsid w:val="002F1EB1"/>
    <w:rsid w:val="002F20B4"/>
    <w:rsid w:val="002F2A19"/>
    <w:rsid w:val="002F482D"/>
    <w:rsid w:val="002F569C"/>
    <w:rsid w:val="002F5722"/>
    <w:rsid w:val="002F5B08"/>
    <w:rsid w:val="002F5D47"/>
    <w:rsid w:val="002F64C2"/>
    <w:rsid w:val="00300475"/>
    <w:rsid w:val="00300ECC"/>
    <w:rsid w:val="00301473"/>
    <w:rsid w:val="00301A41"/>
    <w:rsid w:val="00301AC4"/>
    <w:rsid w:val="003020E5"/>
    <w:rsid w:val="003029A9"/>
    <w:rsid w:val="00302E65"/>
    <w:rsid w:val="0030346C"/>
    <w:rsid w:val="00303D65"/>
    <w:rsid w:val="003040D4"/>
    <w:rsid w:val="003044BE"/>
    <w:rsid w:val="00304ADB"/>
    <w:rsid w:val="00304E56"/>
    <w:rsid w:val="00305EB6"/>
    <w:rsid w:val="00306333"/>
    <w:rsid w:val="00306597"/>
    <w:rsid w:val="0030666B"/>
    <w:rsid w:val="00306FBE"/>
    <w:rsid w:val="0030795D"/>
    <w:rsid w:val="00307AB3"/>
    <w:rsid w:val="00310A5D"/>
    <w:rsid w:val="00311290"/>
    <w:rsid w:val="003119C5"/>
    <w:rsid w:val="00312019"/>
    <w:rsid w:val="00312AD2"/>
    <w:rsid w:val="00313095"/>
    <w:rsid w:val="003162ED"/>
    <w:rsid w:val="00316FA6"/>
    <w:rsid w:val="0031747C"/>
    <w:rsid w:val="00317FC6"/>
    <w:rsid w:val="003202A5"/>
    <w:rsid w:val="003209C4"/>
    <w:rsid w:val="003214A7"/>
    <w:rsid w:val="00321CD8"/>
    <w:rsid w:val="00322435"/>
    <w:rsid w:val="003225F3"/>
    <w:rsid w:val="00322655"/>
    <w:rsid w:val="00322775"/>
    <w:rsid w:val="003227A6"/>
    <w:rsid w:val="00323090"/>
    <w:rsid w:val="003246B0"/>
    <w:rsid w:val="00324B84"/>
    <w:rsid w:val="0032519C"/>
    <w:rsid w:val="0032560E"/>
    <w:rsid w:val="00325A88"/>
    <w:rsid w:val="00325ADB"/>
    <w:rsid w:val="00325C4F"/>
    <w:rsid w:val="00325EAB"/>
    <w:rsid w:val="00325FEA"/>
    <w:rsid w:val="003260B0"/>
    <w:rsid w:val="0032701A"/>
    <w:rsid w:val="003272CF"/>
    <w:rsid w:val="0032733D"/>
    <w:rsid w:val="00327376"/>
    <w:rsid w:val="00327B64"/>
    <w:rsid w:val="00327DB6"/>
    <w:rsid w:val="00330314"/>
    <w:rsid w:val="003304CF"/>
    <w:rsid w:val="00330CB9"/>
    <w:rsid w:val="00330DA5"/>
    <w:rsid w:val="003313D8"/>
    <w:rsid w:val="00331EFE"/>
    <w:rsid w:val="00332012"/>
    <w:rsid w:val="0033252F"/>
    <w:rsid w:val="00332831"/>
    <w:rsid w:val="00332BDD"/>
    <w:rsid w:val="00333709"/>
    <w:rsid w:val="003342AD"/>
    <w:rsid w:val="0033462E"/>
    <w:rsid w:val="0033485B"/>
    <w:rsid w:val="00334A3C"/>
    <w:rsid w:val="00334C93"/>
    <w:rsid w:val="00334FBA"/>
    <w:rsid w:val="003353D4"/>
    <w:rsid w:val="003356AB"/>
    <w:rsid w:val="00335A8B"/>
    <w:rsid w:val="00335CCA"/>
    <w:rsid w:val="00335F3D"/>
    <w:rsid w:val="0033623E"/>
    <w:rsid w:val="003364B5"/>
    <w:rsid w:val="003368A3"/>
    <w:rsid w:val="00336DE6"/>
    <w:rsid w:val="00337978"/>
    <w:rsid w:val="00337CAC"/>
    <w:rsid w:val="00340C0B"/>
    <w:rsid w:val="00340C4F"/>
    <w:rsid w:val="00340E83"/>
    <w:rsid w:val="00340F08"/>
    <w:rsid w:val="0034195E"/>
    <w:rsid w:val="003420C4"/>
    <w:rsid w:val="00344B47"/>
    <w:rsid w:val="0034596C"/>
    <w:rsid w:val="00345BC1"/>
    <w:rsid w:val="00346F39"/>
    <w:rsid w:val="0034732B"/>
    <w:rsid w:val="0034753F"/>
    <w:rsid w:val="00347BFD"/>
    <w:rsid w:val="003500FE"/>
    <w:rsid w:val="0035036A"/>
    <w:rsid w:val="003503B1"/>
    <w:rsid w:val="003508AB"/>
    <w:rsid w:val="00350C97"/>
    <w:rsid w:val="00351B5C"/>
    <w:rsid w:val="00351C9A"/>
    <w:rsid w:val="00351D85"/>
    <w:rsid w:val="00351EDB"/>
    <w:rsid w:val="0035221A"/>
    <w:rsid w:val="00352705"/>
    <w:rsid w:val="00352D87"/>
    <w:rsid w:val="00353488"/>
    <w:rsid w:val="003539B6"/>
    <w:rsid w:val="00354A32"/>
    <w:rsid w:val="00354FE7"/>
    <w:rsid w:val="00355F4C"/>
    <w:rsid w:val="00357805"/>
    <w:rsid w:val="00360611"/>
    <w:rsid w:val="0036074C"/>
    <w:rsid w:val="0036074E"/>
    <w:rsid w:val="00360C8A"/>
    <w:rsid w:val="00360DA8"/>
    <w:rsid w:val="00361443"/>
    <w:rsid w:val="00362B3F"/>
    <w:rsid w:val="003635B3"/>
    <w:rsid w:val="00365612"/>
    <w:rsid w:val="00365ED8"/>
    <w:rsid w:val="00366151"/>
    <w:rsid w:val="00366382"/>
    <w:rsid w:val="00367A56"/>
    <w:rsid w:val="00367AB7"/>
    <w:rsid w:val="00367D0C"/>
    <w:rsid w:val="003702E5"/>
    <w:rsid w:val="003706BF"/>
    <w:rsid w:val="00374364"/>
    <w:rsid w:val="00374552"/>
    <w:rsid w:val="003755D6"/>
    <w:rsid w:val="003755E6"/>
    <w:rsid w:val="00376465"/>
    <w:rsid w:val="0037680E"/>
    <w:rsid w:val="00377B25"/>
    <w:rsid w:val="00377D0D"/>
    <w:rsid w:val="0038002E"/>
    <w:rsid w:val="0038237F"/>
    <w:rsid w:val="0038367E"/>
    <w:rsid w:val="003844B3"/>
    <w:rsid w:val="003850DB"/>
    <w:rsid w:val="00386203"/>
    <w:rsid w:val="003863B8"/>
    <w:rsid w:val="00386FE8"/>
    <w:rsid w:val="00390362"/>
    <w:rsid w:val="00390B88"/>
    <w:rsid w:val="0039145F"/>
    <w:rsid w:val="00392A52"/>
    <w:rsid w:val="00392EB5"/>
    <w:rsid w:val="00393428"/>
    <w:rsid w:val="003936EA"/>
    <w:rsid w:val="00393AF0"/>
    <w:rsid w:val="003948A3"/>
    <w:rsid w:val="003953C1"/>
    <w:rsid w:val="00395521"/>
    <w:rsid w:val="00395A9A"/>
    <w:rsid w:val="00395F38"/>
    <w:rsid w:val="003974E4"/>
    <w:rsid w:val="003975DB"/>
    <w:rsid w:val="003979E1"/>
    <w:rsid w:val="00397E93"/>
    <w:rsid w:val="00397EDF"/>
    <w:rsid w:val="003A0B1F"/>
    <w:rsid w:val="003A1435"/>
    <w:rsid w:val="003A2632"/>
    <w:rsid w:val="003A2D2C"/>
    <w:rsid w:val="003A2D72"/>
    <w:rsid w:val="003A2EF1"/>
    <w:rsid w:val="003A4511"/>
    <w:rsid w:val="003A5231"/>
    <w:rsid w:val="003A6630"/>
    <w:rsid w:val="003A6FE7"/>
    <w:rsid w:val="003A7944"/>
    <w:rsid w:val="003A7E67"/>
    <w:rsid w:val="003A7EA2"/>
    <w:rsid w:val="003B080A"/>
    <w:rsid w:val="003B0F8E"/>
    <w:rsid w:val="003B1CA0"/>
    <w:rsid w:val="003B21F5"/>
    <w:rsid w:val="003B23F5"/>
    <w:rsid w:val="003B2503"/>
    <w:rsid w:val="003B3976"/>
    <w:rsid w:val="003B39AC"/>
    <w:rsid w:val="003B3A50"/>
    <w:rsid w:val="003B45C8"/>
    <w:rsid w:val="003B4A79"/>
    <w:rsid w:val="003B689D"/>
    <w:rsid w:val="003B7943"/>
    <w:rsid w:val="003C1563"/>
    <w:rsid w:val="003C29E3"/>
    <w:rsid w:val="003C3AAA"/>
    <w:rsid w:val="003C4331"/>
    <w:rsid w:val="003C5733"/>
    <w:rsid w:val="003C5C5A"/>
    <w:rsid w:val="003C638F"/>
    <w:rsid w:val="003C7077"/>
    <w:rsid w:val="003C717F"/>
    <w:rsid w:val="003C7B73"/>
    <w:rsid w:val="003C7DAA"/>
    <w:rsid w:val="003D03B3"/>
    <w:rsid w:val="003D094C"/>
    <w:rsid w:val="003D108E"/>
    <w:rsid w:val="003D119A"/>
    <w:rsid w:val="003D1450"/>
    <w:rsid w:val="003D161B"/>
    <w:rsid w:val="003D185C"/>
    <w:rsid w:val="003D1A30"/>
    <w:rsid w:val="003D1EA5"/>
    <w:rsid w:val="003D24ED"/>
    <w:rsid w:val="003D27CB"/>
    <w:rsid w:val="003D3121"/>
    <w:rsid w:val="003D463B"/>
    <w:rsid w:val="003D4DEF"/>
    <w:rsid w:val="003D5878"/>
    <w:rsid w:val="003D58C1"/>
    <w:rsid w:val="003D7607"/>
    <w:rsid w:val="003D7A19"/>
    <w:rsid w:val="003E036A"/>
    <w:rsid w:val="003E0AE2"/>
    <w:rsid w:val="003E0F67"/>
    <w:rsid w:val="003E1454"/>
    <w:rsid w:val="003E15C4"/>
    <w:rsid w:val="003E26DA"/>
    <w:rsid w:val="003E2732"/>
    <w:rsid w:val="003E2C59"/>
    <w:rsid w:val="003E2E95"/>
    <w:rsid w:val="003E4FCC"/>
    <w:rsid w:val="003E5077"/>
    <w:rsid w:val="003E59B6"/>
    <w:rsid w:val="003E6988"/>
    <w:rsid w:val="003E7270"/>
    <w:rsid w:val="003E76D9"/>
    <w:rsid w:val="003E76FD"/>
    <w:rsid w:val="003E7E75"/>
    <w:rsid w:val="003F1B02"/>
    <w:rsid w:val="003F1C1A"/>
    <w:rsid w:val="003F2C7A"/>
    <w:rsid w:val="003F33A1"/>
    <w:rsid w:val="003F3E4C"/>
    <w:rsid w:val="003F45BE"/>
    <w:rsid w:val="003F468B"/>
    <w:rsid w:val="003F4BA7"/>
    <w:rsid w:val="003F4FEE"/>
    <w:rsid w:val="003F607E"/>
    <w:rsid w:val="003F61D7"/>
    <w:rsid w:val="003F6B42"/>
    <w:rsid w:val="003F6EE8"/>
    <w:rsid w:val="003F7651"/>
    <w:rsid w:val="003F7991"/>
    <w:rsid w:val="003F7ED5"/>
    <w:rsid w:val="003F7FD3"/>
    <w:rsid w:val="004000C6"/>
    <w:rsid w:val="00400E4C"/>
    <w:rsid w:val="00401162"/>
    <w:rsid w:val="00401282"/>
    <w:rsid w:val="00401A71"/>
    <w:rsid w:val="00402557"/>
    <w:rsid w:val="004027AF"/>
    <w:rsid w:val="004072D1"/>
    <w:rsid w:val="00410585"/>
    <w:rsid w:val="00411821"/>
    <w:rsid w:val="00411FCA"/>
    <w:rsid w:val="0041254D"/>
    <w:rsid w:val="0041320F"/>
    <w:rsid w:val="004162C3"/>
    <w:rsid w:val="0041674E"/>
    <w:rsid w:val="004167E4"/>
    <w:rsid w:val="00416BFD"/>
    <w:rsid w:val="004170DE"/>
    <w:rsid w:val="00417B17"/>
    <w:rsid w:val="00420D78"/>
    <w:rsid w:val="00421FBB"/>
    <w:rsid w:val="00424AC1"/>
    <w:rsid w:val="00425179"/>
    <w:rsid w:val="004251EB"/>
    <w:rsid w:val="00425EA2"/>
    <w:rsid w:val="0042773F"/>
    <w:rsid w:val="00427DB0"/>
    <w:rsid w:val="00430A4F"/>
    <w:rsid w:val="004315AE"/>
    <w:rsid w:val="00432EE0"/>
    <w:rsid w:val="0043374D"/>
    <w:rsid w:val="00434044"/>
    <w:rsid w:val="00434217"/>
    <w:rsid w:val="00434309"/>
    <w:rsid w:val="00435B11"/>
    <w:rsid w:val="0043699C"/>
    <w:rsid w:val="004369FF"/>
    <w:rsid w:val="00436B45"/>
    <w:rsid w:val="00436C5F"/>
    <w:rsid w:val="00437668"/>
    <w:rsid w:val="0043768C"/>
    <w:rsid w:val="00440680"/>
    <w:rsid w:val="00440981"/>
    <w:rsid w:val="00440A73"/>
    <w:rsid w:val="0044152E"/>
    <w:rsid w:val="00441939"/>
    <w:rsid w:val="00441E2C"/>
    <w:rsid w:val="004424ED"/>
    <w:rsid w:val="00442AD6"/>
    <w:rsid w:val="00442F53"/>
    <w:rsid w:val="0044362F"/>
    <w:rsid w:val="00444419"/>
    <w:rsid w:val="00445260"/>
    <w:rsid w:val="00445873"/>
    <w:rsid w:val="004465BE"/>
    <w:rsid w:val="00446DB5"/>
    <w:rsid w:val="0045012F"/>
    <w:rsid w:val="004503FD"/>
    <w:rsid w:val="004520CD"/>
    <w:rsid w:val="0045283D"/>
    <w:rsid w:val="00452F20"/>
    <w:rsid w:val="0045351C"/>
    <w:rsid w:val="004541CC"/>
    <w:rsid w:val="0045435D"/>
    <w:rsid w:val="00455839"/>
    <w:rsid w:val="004573B3"/>
    <w:rsid w:val="004575EF"/>
    <w:rsid w:val="00460314"/>
    <w:rsid w:val="004604E2"/>
    <w:rsid w:val="0046072A"/>
    <w:rsid w:val="00460CF5"/>
    <w:rsid w:val="004613E9"/>
    <w:rsid w:val="0046195C"/>
    <w:rsid w:val="00462838"/>
    <w:rsid w:val="004647E1"/>
    <w:rsid w:val="00464F36"/>
    <w:rsid w:val="00466BC8"/>
    <w:rsid w:val="00466D58"/>
    <w:rsid w:val="00467ACA"/>
    <w:rsid w:val="004705F9"/>
    <w:rsid w:val="00470E61"/>
    <w:rsid w:val="004715A5"/>
    <w:rsid w:val="00471F86"/>
    <w:rsid w:val="0047213A"/>
    <w:rsid w:val="0047229D"/>
    <w:rsid w:val="00472C26"/>
    <w:rsid w:val="0047435A"/>
    <w:rsid w:val="00474463"/>
    <w:rsid w:val="00474E13"/>
    <w:rsid w:val="00475173"/>
    <w:rsid w:val="00475937"/>
    <w:rsid w:val="00475C13"/>
    <w:rsid w:val="00476258"/>
    <w:rsid w:val="0047684D"/>
    <w:rsid w:val="00476974"/>
    <w:rsid w:val="00476CFB"/>
    <w:rsid w:val="004775D9"/>
    <w:rsid w:val="0048046D"/>
    <w:rsid w:val="004805A2"/>
    <w:rsid w:val="00480D70"/>
    <w:rsid w:val="00481030"/>
    <w:rsid w:val="004811BB"/>
    <w:rsid w:val="0048143E"/>
    <w:rsid w:val="004817BF"/>
    <w:rsid w:val="00482837"/>
    <w:rsid w:val="00482D9D"/>
    <w:rsid w:val="0048309F"/>
    <w:rsid w:val="0048358E"/>
    <w:rsid w:val="00484AF6"/>
    <w:rsid w:val="004853FE"/>
    <w:rsid w:val="0048683E"/>
    <w:rsid w:val="004874DD"/>
    <w:rsid w:val="00487550"/>
    <w:rsid w:val="00490E16"/>
    <w:rsid w:val="00491261"/>
    <w:rsid w:val="004918C3"/>
    <w:rsid w:val="00491FE6"/>
    <w:rsid w:val="00492878"/>
    <w:rsid w:val="004928F1"/>
    <w:rsid w:val="00493374"/>
    <w:rsid w:val="004936C3"/>
    <w:rsid w:val="00494249"/>
    <w:rsid w:val="00494259"/>
    <w:rsid w:val="00494324"/>
    <w:rsid w:val="00495592"/>
    <w:rsid w:val="0049607D"/>
    <w:rsid w:val="00496DFE"/>
    <w:rsid w:val="004970A8"/>
    <w:rsid w:val="00497362"/>
    <w:rsid w:val="00497656"/>
    <w:rsid w:val="00497732"/>
    <w:rsid w:val="004A01BD"/>
    <w:rsid w:val="004A029B"/>
    <w:rsid w:val="004A1BB4"/>
    <w:rsid w:val="004A2AB0"/>
    <w:rsid w:val="004A2D9C"/>
    <w:rsid w:val="004A2F0C"/>
    <w:rsid w:val="004A3848"/>
    <w:rsid w:val="004A439F"/>
    <w:rsid w:val="004A595B"/>
    <w:rsid w:val="004A5BFF"/>
    <w:rsid w:val="004A5DEA"/>
    <w:rsid w:val="004A6349"/>
    <w:rsid w:val="004A6761"/>
    <w:rsid w:val="004A75E0"/>
    <w:rsid w:val="004A77D6"/>
    <w:rsid w:val="004B2BD0"/>
    <w:rsid w:val="004B3203"/>
    <w:rsid w:val="004B32D9"/>
    <w:rsid w:val="004B34FE"/>
    <w:rsid w:val="004B369D"/>
    <w:rsid w:val="004B4464"/>
    <w:rsid w:val="004B5053"/>
    <w:rsid w:val="004B5520"/>
    <w:rsid w:val="004B5E4F"/>
    <w:rsid w:val="004B615B"/>
    <w:rsid w:val="004C0341"/>
    <w:rsid w:val="004C1387"/>
    <w:rsid w:val="004C2165"/>
    <w:rsid w:val="004C2787"/>
    <w:rsid w:val="004C2EC8"/>
    <w:rsid w:val="004C347E"/>
    <w:rsid w:val="004C36BE"/>
    <w:rsid w:val="004C38A3"/>
    <w:rsid w:val="004C4494"/>
    <w:rsid w:val="004C46DA"/>
    <w:rsid w:val="004C4D59"/>
    <w:rsid w:val="004C52B5"/>
    <w:rsid w:val="004C56D0"/>
    <w:rsid w:val="004C5F35"/>
    <w:rsid w:val="004C602C"/>
    <w:rsid w:val="004C6309"/>
    <w:rsid w:val="004C6438"/>
    <w:rsid w:val="004C6D14"/>
    <w:rsid w:val="004C7779"/>
    <w:rsid w:val="004C7ED7"/>
    <w:rsid w:val="004D06E8"/>
    <w:rsid w:val="004D1083"/>
    <w:rsid w:val="004D1CDC"/>
    <w:rsid w:val="004D1E2E"/>
    <w:rsid w:val="004D32FD"/>
    <w:rsid w:val="004D392C"/>
    <w:rsid w:val="004D3BF2"/>
    <w:rsid w:val="004D410C"/>
    <w:rsid w:val="004D49FA"/>
    <w:rsid w:val="004D576A"/>
    <w:rsid w:val="004D5EF4"/>
    <w:rsid w:val="004D6480"/>
    <w:rsid w:val="004D6BE6"/>
    <w:rsid w:val="004E1209"/>
    <w:rsid w:val="004E122D"/>
    <w:rsid w:val="004E1456"/>
    <w:rsid w:val="004E2927"/>
    <w:rsid w:val="004E3DB3"/>
    <w:rsid w:val="004E3DB4"/>
    <w:rsid w:val="004E401B"/>
    <w:rsid w:val="004E52D8"/>
    <w:rsid w:val="004E5A9F"/>
    <w:rsid w:val="004E6358"/>
    <w:rsid w:val="004E65D9"/>
    <w:rsid w:val="004E74D9"/>
    <w:rsid w:val="004E7E3C"/>
    <w:rsid w:val="004F101D"/>
    <w:rsid w:val="004F11D7"/>
    <w:rsid w:val="004F1579"/>
    <w:rsid w:val="004F1D58"/>
    <w:rsid w:val="004F289D"/>
    <w:rsid w:val="004F2F9C"/>
    <w:rsid w:val="004F3607"/>
    <w:rsid w:val="004F37B2"/>
    <w:rsid w:val="004F38FF"/>
    <w:rsid w:val="004F550C"/>
    <w:rsid w:val="004F5621"/>
    <w:rsid w:val="004F5A2E"/>
    <w:rsid w:val="004F68C7"/>
    <w:rsid w:val="004F69B2"/>
    <w:rsid w:val="004F7565"/>
    <w:rsid w:val="004F78D8"/>
    <w:rsid w:val="004F7908"/>
    <w:rsid w:val="00500AEF"/>
    <w:rsid w:val="00500ED1"/>
    <w:rsid w:val="00501326"/>
    <w:rsid w:val="00501FF7"/>
    <w:rsid w:val="00502512"/>
    <w:rsid w:val="00503E07"/>
    <w:rsid w:val="00503EAA"/>
    <w:rsid w:val="00503EC5"/>
    <w:rsid w:val="005043D9"/>
    <w:rsid w:val="00505D3C"/>
    <w:rsid w:val="00506701"/>
    <w:rsid w:val="005119FD"/>
    <w:rsid w:val="00512209"/>
    <w:rsid w:val="0051259E"/>
    <w:rsid w:val="00512760"/>
    <w:rsid w:val="00512A8C"/>
    <w:rsid w:val="00512E3B"/>
    <w:rsid w:val="00512EEF"/>
    <w:rsid w:val="00513D23"/>
    <w:rsid w:val="00514EE0"/>
    <w:rsid w:val="00515424"/>
    <w:rsid w:val="00516C0C"/>
    <w:rsid w:val="005170A9"/>
    <w:rsid w:val="005171AC"/>
    <w:rsid w:val="0051795E"/>
    <w:rsid w:val="00517B8C"/>
    <w:rsid w:val="00520616"/>
    <w:rsid w:val="00522517"/>
    <w:rsid w:val="00522D39"/>
    <w:rsid w:val="00522D86"/>
    <w:rsid w:val="005233E2"/>
    <w:rsid w:val="005234DE"/>
    <w:rsid w:val="00523AEA"/>
    <w:rsid w:val="00524464"/>
    <w:rsid w:val="00524FEA"/>
    <w:rsid w:val="00525C19"/>
    <w:rsid w:val="005264D4"/>
    <w:rsid w:val="005265A3"/>
    <w:rsid w:val="0052693E"/>
    <w:rsid w:val="00526BF3"/>
    <w:rsid w:val="005274A5"/>
    <w:rsid w:val="0053012C"/>
    <w:rsid w:val="005302ED"/>
    <w:rsid w:val="0053053B"/>
    <w:rsid w:val="00530BB3"/>
    <w:rsid w:val="00532D8F"/>
    <w:rsid w:val="00532F9B"/>
    <w:rsid w:val="005339B8"/>
    <w:rsid w:val="0053446E"/>
    <w:rsid w:val="0053489A"/>
    <w:rsid w:val="00534ECC"/>
    <w:rsid w:val="00535BF4"/>
    <w:rsid w:val="00536358"/>
    <w:rsid w:val="00536943"/>
    <w:rsid w:val="00536D6C"/>
    <w:rsid w:val="00542434"/>
    <w:rsid w:val="005426BD"/>
    <w:rsid w:val="00542E01"/>
    <w:rsid w:val="005430EA"/>
    <w:rsid w:val="005434B4"/>
    <w:rsid w:val="00544FED"/>
    <w:rsid w:val="0054788D"/>
    <w:rsid w:val="0055168D"/>
    <w:rsid w:val="00551D10"/>
    <w:rsid w:val="005531DF"/>
    <w:rsid w:val="00553874"/>
    <w:rsid w:val="00553DE0"/>
    <w:rsid w:val="00553EA4"/>
    <w:rsid w:val="00553FBE"/>
    <w:rsid w:val="005542D8"/>
    <w:rsid w:val="00554E78"/>
    <w:rsid w:val="005551F9"/>
    <w:rsid w:val="0055581A"/>
    <w:rsid w:val="005558F2"/>
    <w:rsid w:val="005562D6"/>
    <w:rsid w:val="00556865"/>
    <w:rsid w:val="00557D3F"/>
    <w:rsid w:val="00560466"/>
    <w:rsid w:val="0056072B"/>
    <w:rsid w:val="00560CCA"/>
    <w:rsid w:val="00560E6D"/>
    <w:rsid w:val="00561671"/>
    <w:rsid w:val="005623FC"/>
    <w:rsid w:val="00562635"/>
    <w:rsid w:val="00562CAB"/>
    <w:rsid w:val="0056496E"/>
    <w:rsid w:val="005658D4"/>
    <w:rsid w:val="005666EE"/>
    <w:rsid w:val="005667CA"/>
    <w:rsid w:val="005670A6"/>
    <w:rsid w:val="005673F6"/>
    <w:rsid w:val="005677BD"/>
    <w:rsid w:val="00570AB1"/>
    <w:rsid w:val="0057199B"/>
    <w:rsid w:val="005726C4"/>
    <w:rsid w:val="00572D34"/>
    <w:rsid w:val="00576F2A"/>
    <w:rsid w:val="00577B8A"/>
    <w:rsid w:val="0058237F"/>
    <w:rsid w:val="00582645"/>
    <w:rsid w:val="00583B21"/>
    <w:rsid w:val="00584385"/>
    <w:rsid w:val="00584DF0"/>
    <w:rsid w:val="00585B78"/>
    <w:rsid w:val="00585F74"/>
    <w:rsid w:val="005872D7"/>
    <w:rsid w:val="0059024B"/>
    <w:rsid w:val="00590C77"/>
    <w:rsid w:val="0059123D"/>
    <w:rsid w:val="005919B3"/>
    <w:rsid w:val="005919C3"/>
    <w:rsid w:val="005919FA"/>
    <w:rsid w:val="0059317C"/>
    <w:rsid w:val="005934E4"/>
    <w:rsid w:val="005935F9"/>
    <w:rsid w:val="005940AF"/>
    <w:rsid w:val="00594A44"/>
    <w:rsid w:val="00594FB3"/>
    <w:rsid w:val="005955B2"/>
    <w:rsid w:val="00595D0D"/>
    <w:rsid w:val="0059638A"/>
    <w:rsid w:val="00596980"/>
    <w:rsid w:val="005969CA"/>
    <w:rsid w:val="00596EA7"/>
    <w:rsid w:val="00597138"/>
    <w:rsid w:val="005973E5"/>
    <w:rsid w:val="005974D6"/>
    <w:rsid w:val="005A062B"/>
    <w:rsid w:val="005A0A13"/>
    <w:rsid w:val="005A0A21"/>
    <w:rsid w:val="005A144F"/>
    <w:rsid w:val="005A164B"/>
    <w:rsid w:val="005A2ACC"/>
    <w:rsid w:val="005A2EAA"/>
    <w:rsid w:val="005A325F"/>
    <w:rsid w:val="005A4375"/>
    <w:rsid w:val="005A4395"/>
    <w:rsid w:val="005A4812"/>
    <w:rsid w:val="005A4D07"/>
    <w:rsid w:val="005A6344"/>
    <w:rsid w:val="005A6765"/>
    <w:rsid w:val="005A6C39"/>
    <w:rsid w:val="005A74DB"/>
    <w:rsid w:val="005B0A3B"/>
    <w:rsid w:val="005B14DE"/>
    <w:rsid w:val="005B18DF"/>
    <w:rsid w:val="005B214C"/>
    <w:rsid w:val="005B2353"/>
    <w:rsid w:val="005B2ADC"/>
    <w:rsid w:val="005B2BB3"/>
    <w:rsid w:val="005B2D6F"/>
    <w:rsid w:val="005B33D0"/>
    <w:rsid w:val="005B376F"/>
    <w:rsid w:val="005B3D64"/>
    <w:rsid w:val="005B433F"/>
    <w:rsid w:val="005B4359"/>
    <w:rsid w:val="005B4F7B"/>
    <w:rsid w:val="005B57D1"/>
    <w:rsid w:val="005B5E3C"/>
    <w:rsid w:val="005B613D"/>
    <w:rsid w:val="005B6C2E"/>
    <w:rsid w:val="005B793C"/>
    <w:rsid w:val="005B7C1C"/>
    <w:rsid w:val="005B7DA2"/>
    <w:rsid w:val="005B7F42"/>
    <w:rsid w:val="005C0EAC"/>
    <w:rsid w:val="005C123D"/>
    <w:rsid w:val="005C166B"/>
    <w:rsid w:val="005C3132"/>
    <w:rsid w:val="005C370D"/>
    <w:rsid w:val="005C3D7D"/>
    <w:rsid w:val="005C4208"/>
    <w:rsid w:val="005C46DF"/>
    <w:rsid w:val="005C4753"/>
    <w:rsid w:val="005C5641"/>
    <w:rsid w:val="005C5764"/>
    <w:rsid w:val="005C6BD5"/>
    <w:rsid w:val="005C6E5E"/>
    <w:rsid w:val="005D07AD"/>
    <w:rsid w:val="005D11E8"/>
    <w:rsid w:val="005D1441"/>
    <w:rsid w:val="005D18C9"/>
    <w:rsid w:val="005D2276"/>
    <w:rsid w:val="005D28FB"/>
    <w:rsid w:val="005D357D"/>
    <w:rsid w:val="005D411E"/>
    <w:rsid w:val="005D4312"/>
    <w:rsid w:val="005D4661"/>
    <w:rsid w:val="005D4D60"/>
    <w:rsid w:val="005D4EB9"/>
    <w:rsid w:val="005D6011"/>
    <w:rsid w:val="005D636B"/>
    <w:rsid w:val="005D6935"/>
    <w:rsid w:val="005D69CC"/>
    <w:rsid w:val="005D6AB2"/>
    <w:rsid w:val="005D6B24"/>
    <w:rsid w:val="005E030A"/>
    <w:rsid w:val="005E069F"/>
    <w:rsid w:val="005E0EDC"/>
    <w:rsid w:val="005E156B"/>
    <w:rsid w:val="005E1723"/>
    <w:rsid w:val="005E1824"/>
    <w:rsid w:val="005E1A14"/>
    <w:rsid w:val="005E20A3"/>
    <w:rsid w:val="005E2202"/>
    <w:rsid w:val="005E2C88"/>
    <w:rsid w:val="005E2E3C"/>
    <w:rsid w:val="005E31E0"/>
    <w:rsid w:val="005E3295"/>
    <w:rsid w:val="005E3750"/>
    <w:rsid w:val="005E3A49"/>
    <w:rsid w:val="005E4257"/>
    <w:rsid w:val="005E44BA"/>
    <w:rsid w:val="005E5245"/>
    <w:rsid w:val="005E5D6C"/>
    <w:rsid w:val="005E6A78"/>
    <w:rsid w:val="005E7E11"/>
    <w:rsid w:val="005F0965"/>
    <w:rsid w:val="005F171A"/>
    <w:rsid w:val="005F1A9E"/>
    <w:rsid w:val="005F24C7"/>
    <w:rsid w:val="005F25AA"/>
    <w:rsid w:val="005F308D"/>
    <w:rsid w:val="005F3597"/>
    <w:rsid w:val="005F379F"/>
    <w:rsid w:val="005F388B"/>
    <w:rsid w:val="005F40C7"/>
    <w:rsid w:val="005F4649"/>
    <w:rsid w:val="005F471E"/>
    <w:rsid w:val="005F482A"/>
    <w:rsid w:val="005F5657"/>
    <w:rsid w:val="005F59A2"/>
    <w:rsid w:val="005F6887"/>
    <w:rsid w:val="005F6CA6"/>
    <w:rsid w:val="005F6FDE"/>
    <w:rsid w:val="005F6FF1"/>
    <w:rsid w:val="005F702A"/>
    <w:rsid w:val="00600963"/>
    <w:rsid w:val="0060326F"/>
    <w:rsid w:val="00603777"/>
    <w:rsid w:val="006038AD"/>
    <w:rsid w:val="00603905"/>
    <w:rsid w:val="00604AFD"/>
    <w:rsid w:val="006053C1"/>
    <w:rsid w:val="006068B9"/>
    <w:rsid w:val="006073CD"/>
    <w:rsid w:val="00610248"/>
    <w:rsid w:val="00611187"/>
    <w:rsid w:val="0061194A"/>
    <w:rsid w:val="00611A5B"/>
    <w:rsid w:val="00611EC1"/>
    <w:rsid w:val="006128EE"/>
    <w:rsid w:val="00613113"/>
    <w:rsid w:val="0061331F"/>
    <w:rsid w:val="00613750"/>
    <w:rsid w:val="00613959"/>
    <w:rsid w:val="00614038"/>
    <w:rsid w:val="006146C4"/>
    <w:rsid w:val="006152CE"/>
    <w:rsid w:val="00615AF0"/>
    <w:rsid w:val="0061798D"/>
    <w:rsid w:val="006202A6"/>
    <w:rsid w:val="00620808"/>
    <w:rsid w:val="006212D5"/>
    <w:rsid w:val="0062292E"/>
    <w:rsid w:val="00622BD0"/>
    <w:rsid w:val="0062307C"/>
    <w:rsid w:val="00623193"/>
    <w:rsid w:val="00623A0E"/>
    <w:rsid w:val="00623B0C"/>
    <w:rsid w:val="006240A9"/>
    <w:rsid w:val="006243B5"/>
    <w:rsid w:val="00624594"/>
    <w:rsid w:val="00624FC4"/>
    <w:rsid w:val="0062506E"/>
    <w:rsid w:val="00625E4B"/>
    <w:rsid w:val="00626548"/>
    <w:rsid w:val="0062728E"/>
    <w:rsid w:val="0062758C"/>
    <w:rsid w:val="0062787E"/>
    <w:rsid w:val="00627BB6"/>
    <w:rsid w:val="00627F4F"/>
    <w:rsid w:val="0063042F"/>
    <w:rsid w:val="006318F7"/>
    <w:rsid w:val="00632C14"/>
    <w:rsid w:val="0063320C"/>
    <w:rsid w:val="006332A5"/>
    <w:rsid w:val="006344F4"/>
    <w:rsid w:val="00634530"/>
    <w:rsid w:val="006347D1"/>
    <w:rsid w:val="0063499A"/>
    <w:rsid w:val="00635734"/>
    <w:rsid w:val="006358EE"/>
    <w:rsid w:val="00635980"/>
    <w:rsid w:val="00636495"/>
    <w:rsid w:val="0063732C"/>
    <w:rsid w:val="00637911"/>
    <w:rsid w:val="006379CC"/>
    <w:rsid w:val="00640A01"/>
    <w:rsid w:val="00641230"/>
    <w:rsid w:val="00641C9C"/>
    <w:rsid w:val="006421CB"/>
    <w:rsid w:val="006422EB"/>
    <w:rsid w:val="0064362B"/>
    <w:rsid w:val="00643C99"/>
    <w:rsid w:val="006442BC"/>
    <w:rsid w:val="00644712"/>
    <w:rsid w:val="0064550F"/>
    <w:rsid w:val="0064593C"/>
    <w:rsid w:val="006467F0"/>
    <w:rsid w:val="00647B08"/>
    <w:rsid w:val="00651F6F"/>
    <w:rsid w:val="00652574"/>
    <w:rsid w:val="00652A00"/>
    <w:rsid w:val="00653553"/>
    <w:rsid w:val="006536B8"/>
    <w:rsid w:val="006545A1"/>
    <w:rsid w:val="00654C02"/>
    <w:rsid w:val="00655451"/>
    <w:rsid w:val="0065552E"/>
    <w:rsid w:val="006558D1"/>
    <w:rsid w:val="00655E56"/>
    <w:rsid w:val="00656455"/>
    <w:rsid w:val="006567B1"/>
    <w:rsid w:val="00656CEA"/>
    <w:rsid w:val="006572B8"/>
    <w:rsid w:val="0065732C"/>
    <w:rsid w:val="00657A82"/>
    <w:rsid w:val="0066020F"/>
    <w:rsid w:val="006604C3"/>
    <w:rsid w:val="00661262"/>
    <w:rsid w:val="00661F55"/>
    <w:rsid w:val="00663E3B"/>
    <w:rsid w:val="00664D9B"/>
    <w:rsid w:val="0066541B"/>
    <w:rsid w:val="006659CA"/>
    <w:rsid w:val="00665A7C"/>
    <w:rsid w:val="00665AF6"/>
    <w:rsid w:val="0066610F"/>
    <w:rsid w:val="0066620B"/>
    <w:rsid w:val="00666F81"/>
    <w:rsid w:val="006671B2"/>
    <w:rsid w:val="00667F61"/>
    <w:rsid w:val="00670E21"/>
    <w:rsid w:val="00672426"/>
    <w:rsid w:val="00674BE0"/>
    <w:rsid w:val="00675B85"/>
    <w:rsid w:val="006761E7"/>
    <w:rsid w:val="006769FE"/>
    <w:rsid w:val="00677A83"/>
    <w:rsid w:val="00677BF4"/>
    <w:rsid w:val="00677EF2"/>
    <w:rsid w:val="00677FED"/>
    <w:rsid w:val="0068066C"/>
    <w:rsid w:val="00680EB2"/>
    <w:rsid w:val="00680F9D"/>
    <w:rsid w:val="0068193A"/>
    <w:rsid w:val="00681BD5"/>
    <w:rsid w:val="00683D89"/>
    <w:rsid w:val="00683E03"/>
    <w:rsid w:val="00683EC0"/>
    <w:rsid w:val="00685088"/>
    <w:rsid w:val="00685C06"/>
    <w:rsid w:val="00686582"/>
    <w:rsid w:val="00686C29"/>
    <w:rsid w:val="006877CB"/>
    <w:rsid w:val="00687EC8"/>
    <w:rsid w:val="006904C3"/>
    <w:rsid w:val="006909D8"/>
    <w:rsid w:val="00690B92"/>
    <w:rsid w:val="00691DE6"/>
    <w:rsid w:val="006921BE"/>
    <w:rsid w:val="0069282F"/>
    <w:rsid w:val="006938F3"/>
    <w:rsid w:val="0069592B"/>
    <w:rsid w:val="00696977"/>
    <w:rsid w:val="0069709B"/>
    <w:rsid w:val="006975A7"/>
    <w:rsid w:val="006976D3"/>
    <w:rsid w:val="00697774"/>
    <w:rsid w:val="00697B5D"/>
    <w:rsid w:val="00697FB9"/>
    <w:rsid w:val="006A0821"/>
    <w:rsid w:val="006A085E"/>
    <w:rsid w:val="006A1063"/>
    <w:rsid w:val="006A1BC1"/>
    <w:rsid w:val="006A2185"/>
    <w:rsid w:val="006A3DDF"/>
    <w:rsid w:val="006A4547"/>
    <w:rsid w:val="006A6705"/>
    <w:rsid w:val="006A687A"/>
    <w:rsid w:val="006A6F96"/>
    <w:rsid w:val="006B06AA"/>
    <w:rsid w:val="006B11CE"/>
    <w:rsid w:val="006B1797"/>
    <w:rsid w:val="006B17C8"/>
    <w:rsid w:val="006B190F"/>
    <w:rsid w:val="006B1A9F"/>
    <w:rsid w:val="006B29D8"/>
    <w:rsid w:val="006B2A7E"/>
    <w:rsid w:val="006B2FF6"/>
    <w:rsid w:val="006B3153"/>
    <w:rsid w:val="006B3186"/>
    <w:rsid w:val="006B41B4"/>
    <w:rsid w:val="006B5529"/>
    <w:rsid w:val="006B5566"/>
    <w:rsid w:val="006B5E1B"/>
    <w:rsid w:val="006B5F81"/>
    <w:rsid w:val="006B6213"/>
    <w:rsid w:val="006B6353"/>
    <w:rsid w:val="006B63E9"/>
    <w:rsid w:val="006B738E"/>
    <w:rsid w:val="006B76D6"/>
    <w:rsid w:val="006B7B46"/>
    <w:rsid w:val="006C0527"/>
    <w:rsid w:val="006C09B5"/>
    <w:rsid w:val="006C1761"/>
    <w:rsid w:val="006C28EA"/>
    <w:rsid w:val="006C2976"/>
    <w:rsid w:val="006C2980"/>
    <w:rsid w:val="006C2D2F"/>
    <w:rsid w:val="006C2FC6"/>
    <w:rsid w:val="006C3060"/>
    <w:rsid w:val="006C30DC"/>
    <w:rsid w:val="006C310D"/>
    <w:rsid w:val="006C3490"/>
    <w:rsid w:val="006C3AB1"/>
    <w:rsid w:val="006C3D5E"/>
    <w:rsid w:val="006C435E"/>
    <w:rsid w:val="006C4865"/>
    <w:rsid w:val="006C498B"/>
    <w:rsid w:val="006C5477"/>
    <w:rsid w:val="006C61BC"/>
    <w:rsid w:val="006D008B"/>
    <w:rsid w:val="006D0891"/>
    <w:rsid w:val="006D132A"/>
    <w:rsid w:val="006D1753"/>
    <w:rsid w:val="006D2842"/>
    <w:rsid w:val="006D2F81"/>
    <w:rsid w:val="006D3923"/>
    <w:rsid w:val="006D3989"/>
    <w:rsid w:val="006D50D4"/>
    <w:rsid w:val="006D51D1"/>
    <w:rsid w:val="006D54B1"/>
    <w:rsid w:val="006D5774"/>
    <w:rsid w:val="006D5C2E"/>
    <w:rsid w:val="006D5D0A"/>
    <w:rsid w:val="006D60C5"/>
    <w:rsid w:val="006D651B"/>
    <w:rsid w:val="006D7240"/>
    <w:rsid w:val="006E004C"/>
    <w:rsid w:val="006E0A6C"/>
    <w:rsid w:val="006E0E2B"/>
    <w:rsid w:val="006E16B8"/>
    <w:rsid w:val="006E1772"/>
    <w:rsid w:val="006E2571"/>
    <w:rsid w:val="006E2777"/>
    <w:rsid w:val="006E2E38"/>
    <w:rsid w:val="006E3729"/>
    <w:rsid w:val="006E422C"/>
    <w:rsid w:val="006E53A5"/>
    <w:rsid w:val="006E55D2"/>
    <w:rsid w:val="006E5F46"/>
    <w:rsid w:val="006E6A56"/>
    <w:rsid w:val="006E70BA"/>
    <w:rsid w:val="006E77F2"/>
    <w:rsid w:val="006E7ADF"/>
    <w:rsid w:val="006E7D03"/>
    <w:rsid w:val="006F002F"/>
    <w:rsid w:val="006F02A6"/>
    <w:rsid w:val="006F19E9"/>
    <w:rsid w:val="006F1C72"/>
    <w:rsid w:val="006F1D29"/>
    <w:rsid w:val="006F1FF6"/>
    <w:rsid w:val="006F2B68"/>
    <w:rsid w:val="006F2E7A"/>
    <w:rsid w:val="006F347A"/>
    <w:rsid w:val="006F34A4"/>
    <w:rsid w:val="006F3759"/>
    <w:rsid w:val="006F3A68"/>
    <w:rsid w:val="006F50CB"/>
    <w:rsid w:val="006F510A"/>
    <w:rsid w:val="006F52A3"/>
    <w:rsid w:val="006F5B06"/>
    <w:rsid w:val="006F631D"/>
    <w:rsid w:val="006F6B32"/>
    <w:rsid w:val="006F6B87"/>
    <w:rsid w:val="006F6D0D"/>
    <w:rsid w:val="006F6FD6"/>
    <w:rsid w:val="006F73A9"/>
    <w:rsid w:val="006F7C43"/>
    <w:rsid w:val="006F7DC0"/>
    <w:rsid w:val="00700CD8"/>
    <w:rsid w:val="007013BC"/>
    <w:rsid w:val="00701B32"/>
    <w:rsid w:val="00701F5C"/>
    <w:rsid w:val="0070322F"/>
    <w:rsid w:val="0070393F"/>
    <w:rsid w:val="007039BD"/>
    <w:rsid w:val="00703B77"/>
    <w:rsid w:val="00703CFD"/>
    <w:rsid w:val="007041D5"/>
    <w:rsid w:val="00704715"/>
    <w:rsid w:val="00705464"/>
    <w:rsid w:val="0070631B"/>
    <w:rsid w:val="00706C57"/>
    <w:rsid w:val="00710063"/>
    <w:rsid w:val="007100D5"/>
    <w:rsid w:val="00710F5B"/>
    <w:rsid w:val="00711475"/>
    <w:rsid w:val="0071200B"/>
    <w:rsid w:val="007126C5"/>
    <w:rsid w:val="0071323E"/>
    <w:rsid w:val="007134C4"/>
    <w:rsid w:val="00713BB7"/>
    <w:rsid w:val="00713CD2"/>
    <w:rsid w:val="00714E48"/>
    <w:rsid w:val="00715C84"/>
    <w:rsid w:val="0072112F"/>
    <w:rsid w:val="00721C0E"/>
    <w:rsid w:val="00722030"/>
    <w:rsid w:val="00722702"/>
    <w:rsid w:val="007237A0"/>
    <w:rsid w:val="00724802"/>
    <w:rsid w:val="0072544D"/>
    <w:rsid w:val="00725B77"/>
    <w:rsid w:val="00725EAF"/>
    <w:rsid w:val="0072624C"/>
    <w:rsid w:val="00727431"/>
    <w:rsid w:val="00727C98"/>
    <w:rsid w:val="007309F5"/>
    <w:rsid w:val="007315B4"/>
    <w:rsid w:val="0073190D"/>
    <w:rsid w:val="00732343"/>
    <w:rsid w:val="00734FF0"/>
    <w:rsid w:val="007355FE"/>
    <w:rsid w:val="0073658B"/>
    <w:rsid w:val="00736F70"/>
    <w:rsid w:val="007372C8"/>
    <w:rsid w:val="007372DE"/>
    <w:rsid w:val="007374AE"/>
    <w:rsid w:val="00737797"/>
    <w:rsid w:val="00737C9A"/>
    <w:rsid w:val="00740A34"/>
    <w:rsid w:val="00740E7E"/>
    <w:rsid w:val="00740F39"/>
    <w:rsid w:val="007414CF"/>
    <w:rsid w:val="007422AE"/>
    <w:rsid w:val="007428BD"/>
    <w:rsid w:val="007435D7"/>
    <w:rsid w:val="00744661"/>
    <w:rsid w:val="00744E83"/>
    <w:rsid w:val="00745BA6"/>
    <w:rsid w:val="00746081"/>
    <w:rsid w:val="00746DE5"/>
    <w:rsid w:val="0074763C"/>
    <w:rsid w:val="0075030D"/>
    <w:rsid w:val="00750432"/>
    <w:rsid w:val="007504E2"/>
    <w:rsid w:val="007506E0"/>
    <w:rsid w:val="00750CA2"/>
    <w:rsid w:val="00750CC8"/>
    <w:rsid w:val="0075158B"/>
    <w:rsid w:val="00751B87"/>
    <w:rsid w:val="007543C1"/>
    <w:rsid w:val="0075730C"/>
    <w:rsid w:val="00757975"/>
    <w:rsid w:val="00757CD7"/>
    <w:rsid w:val="00760102"/>
    <w:rsid w:val="00760261"/>
    <w:rsid w:val="00760C74"/>
    <w:rsid w:val="0076350B"/>
    <w:rsid w:val="007636CD"/>
    <w:rsid w:val="0076391A"/>
    <w:rsid w:val="00763AA7"/>
    <w:rsid w:val="00763FF5"/>
    <w:rsid w:val="00764A07"/>
    <w:rsid w:val="0076533C"/>
    <w:rsid w:val="00765CB6"/>
    <w:rsid w:val="00766EA7"/>
    <w:rsid w:val="00767B59"/>
    <w:rsid w:val="00770001"/>
    <w:rsid w:val="00770D17"/>
    <w:rsid w:val="00771865"/>
    <w:rsid w:val="00772541"/>
    <w:rsid w:val="00773183"/>
    <w:rsid w:val="00774588"/>
    <w:rsid w:val="00774732"/>
    <w:rsid w:val="007766EE"/>
    <w:rsid w:val="00777660"/>
    <w:rsid w:val="00777782"/>
    <w:rsid w:val="0077796C"/>
    <w:rsid w:val="00777CF2"/>
    <w:rsid w:val="0078026E"/>
    <w:rsid w:val="00780B25"/>
    <w:rsid w:val="007816B3"/>
    <w:rsid w:val="0078239D"/>
    <w:rsid w:val="00782936"/>
    <w:rsid w:val="00782FE0"/>
    <w:rsid w:val="007833AD"/>
    <w:rsid w:val="00784C1E"/>
    <w:rsid w:val="00785AD6"/>
    <w:rsid w:val="00786700"/>
    <w:rsid w:val="0078670C"/>
    <w:rsid w:val="0078713F"/>
    <w:rsid w:val="00787348"/>
    <w:rsid w:val="00787B5E"/>
    <w:rsid w:val="00787B79"/>
    <w:rsid w:val="00787D11"/>
    <w:rsid w:val="00791AA6"/>
    <w:rsid w:val="00791EF6"/>
    <w:rsid w:val="00791F05"/>
    <w:rsid w:val="00792420"/>
    <w:rsid w:val="007940D2"/>
    <w:rsid w:val="0079567C"/>
    <w:rsid w:val="007956E5"/>
    <w:rsid w:val="007958A1"/>
    <w:rsid w:val="00796A71"/>
    <w:rsid w:val="00796F91"/>
    <w:rsid w:val="007A05E4"/>
    <w:rsid w:val="007A0953"/>
    <w:rsid w:val="007A0C10"/>
    <w:rsid w:val="007A1AC8"/>
    <w:rsid w:val="007A27D5"/>
    <w:rsid w:val="007A2A4E"/>
    <w:rsid w:val="007A3797"/>
    <w:rsid w:val="007A3CEA"/>
    <w:rsid w:val="007A3F92"/>
    <w:rsid w:val="007A45E9"/>
    <w:rsid w:val="007A48D1"/>
    <w:rsid w:val="007A4C55"/>
    <w:rsid w:val="007A5462"/>
    <w:rsid w:val="007A55A4"/>
    <w:rsid w:val="007A64FF"/>
    <w:rsid w:val="007A65A2"/>
    <w:rsid w:val="007A67C5"/>
    <w:rsid w:val="007A6945"/>
    <w:rsid w:val="007A7260"/>
    <w:rsid w:val="007A738B"/>
    <w:rsid w:val="007A782D"/>
    <w:rsid w:val="007B02D6"/>
    <w:rsid w:val="007B0380"/>
    <w:rsid w:val="007B03D1"/>
    <w:rsid w:val="007B0972"/>
    <w:rsid w:val="007B154F"/>
    <w:rsid w:val="007B1725"/>
    <w:rsid w:val="007B1F55"/>
    <w:rsid w:val="007B256F"/>
    <w:rsid w:val="007B3977"/>
    <w:rsid w:val="007B3CF0"/>
    <w:rsid w:val="007B404D"/>
    <w:rsid w:val="007B49F0"/>
    <w:rsid w:val="007B4DC2"/>
    <w:rsid w:val="007B5380"/>
    <w:rsid w:val="007B6598"/>
    <w:rsid w:val="007B6C75"/>
    <w:rsid w:val="007B6CCC"/>
    <w:rsid w:val="007B7FDA"/>
    <w:rsid w:val="007C02B8"/>
    <w:rsid w:val="007C207A"/>
    <w:rsid w:val="007C2884"/>
    <w:rsid w:val="007C2DC4"/>
    <w:rsid w:val="007C3385"/>
    <w:rsid w:val="007C3441"/>
    <w:rsid w:val="007C36CE"/>
    <w:rsid w:val="007C386D"/>
    <w:rsid w:val="007C49A1"/>
    <w:rsid w:val="007C4A44"/>
    <w:rsid w:val="007C4DED"/>
    <w:rsid w:val="007C4E15"/>
    <w:rsid w:val="007C4E1D"/>
    <w:rsid w:val="007C5E5F"/>
    <w:rsid w:val="007C609C"/>
    <w:rsid w:val="007C633B"/>
    <w:rsid w:val="007C7D68"/>
    <w:rsid w:val="007D0720"/>
    <w:rsid w:val="007D0BE1"/>
    <w:rsid w:val="007D0C3F"/>
    <w:rsid w:val="007D0FDE"/>
    <w:rsid w:val="007D1118"/>
    <w:rsid w:val="007D1855"/>
    <w:rsid w:val="007D1C93"/>
    <w:rsid w:val="007D2465"/>
    <w:rsid w:val="007D277E"/>
    <w:rsid w:val="007D2FD1"/>
    <w:rsid w:val="007D363D"/>
    <w:rsid w:val="007D3945"/>
    <w:rsid w:val="007D3C37"/>
    <w:rsid w:val="007D77FC"/>
    <w:rsid w:val="007E117C"/>
    <w:rsid w:val="007E1A8E"/>
    <w:rsid w:val="007E217A"/>
    <w:rsid w:val="007E2992"/>
    <w:rsid w:val="007E2C1F"/>
    <w:rsid w:val="007E2CBB"/>
    <w:rsid w:val="007E31D6"/>
    <w:rsid w:val="007E322B"/>
    <w:rsid w:val="007E38DD"/>
    <w:rsid w:val="007E4A98"/>
    <w:rsid w:val="007E5644"/>
    <w:rsid w:val="007E6335"/>
    <w:rsid w:val="007E6725"/>
    <w:rsid w:val="007E753F"/>
    <w:rsid w:val="007E7678"/>
    <w:rsid w:val="007F0AAF"/>
    <w:rsid w:val="007F0D15"/>
    <w:rsid w:val="007F0FE7"/>
    <w:rsid w:val="007F103C"/>
    <w:rsid w:val="007F161E"/>
    <w:rsid w:val="007F1662"/>
    <w:rsid w:val="007F1D44"/>
    <w:rsid w:val="007F1D7C"/>
    <w:rsid w:val="007F55D1"/>
    <w:rsid w:val="007F5AD3"/>
    <w:rsid w:val="007F5C84"/>
    <w:rsid w:val="007F5D34"/>
    <w:rsid w:val="007F69D1"/>
    <w:rsid w:val="007F7669"/>
    <w:rsid w:val="008001E0"/>
    <w:rsid w:val="00800A64"/>
    <w:rsid w:val="008013D9"/>
    <w:rsid w:val="00801F4A"/>
    <w:rsid w:val="00802B8E"/>
    <w:rsid w:val="00802FA6"/>
    <w:rsid w:val="0080316E"/>
    <w:rsid w:val="00803EA9"/>
    <w:rsid w:val="00804047"/>
    <w:rsid w:val="00804363"/>
    <w:rsid w:val="0080493D"/>
    <w:rsid w:val="00804D6F"/>
    <w:rsid w:val="00804F66"/>
    <w:rsid w:val="00805C56"/>
    <w:rsid w:val="00806719"/>
    <w:rsid w:val="00806EC0"/>
    <w:rsid w:val="00806F50"/>
    <w:rsid w:val="0080764C"/>
    <w:rsid w:val="00807CF7"/>
    <w:rsid w:val="00807D63"/>
    <w:rsid w:val="0081088A"/>
    <w:rsid w:val="00811081"/>
    <w:rsid w:val="008118A3"/>
    <w:rsid w:val="008120E1"/>
    <w:rsid w:val="00812ECB"/>
    <w:rsid w:val="008137C2"/>
    <w:rsid w:val="00813B0C"/>
    <w:rsid w:val="00814120"/>
    <w:rsid w:val="008144E5"/>
    <w:rsid w:val="0081484F"/>
    <w:rsid w:val="00814C2E"/>
    <w:rsid w:val="0081551C"/>
    <w:rsid w:val="008161B5"/>
    <w:rsid w:val="008161C7"/>
    <w:rsid w:val="0081660F"/>
    <w:rsid w:val="00817B4C"/>
    <w:rsid w:val="008202F5"/>
    <w:rsid w:val="00821765"/>
    <w:rsid w:val="0082191D"/>
    <w:rsid w:val="0082196F"/>
    <w:rsid w:val="00822BC8"/>
    <w:rsid w:val="00822E75"/>
    <w:rsid w:val="0082337F"/>
    <w:rsid w:val="00823A70"/>
    <w:rsid w:val="00823BAC"/>
    <w:rsid w:val="00823C24"/>
    <w:rsid w:val="0082528B"/>
    <w:rsid w:val="00825837"/>
    <w:rsid w:val="0082617B"/>
    <w:rsid w:val="008269BC"/>
    <w:rsid w:val="008271A4"/>
    <w:rsid w:val="00827440"/>
    <w:rsid w:val="008278BA"/>
    <w:rsid w:val="00827985"/>
    <w:rsid w:val="00827A1F"/>
    <w:rsid w:val="00827C23"/>
    <w:rsid w:val="0083020E"/>
    <w:rsid w:val="00830928"/>
    <w:rsid w:val="00830D71"/>
    <w:rsid w:val="00831F15"/>
    <w:rsid w:val="00832D39"/>
    <w:rsid w:val="00833808"/>
    <w:rsid w:val="00834104"/>
    <w:rsid w:val="00834D40"/>
    <w:rsid w:val="00835FF9"/>
    <w:rsid w:val="00836975"/>
    <w:rsid w:val="00837A96"/>
    <w:rsid w:val="00837E48"/>
    <w:rsid w:val="0084057A"/>
    <w:rsid w:val="008432BE"/>
    <w:rsid w:val="00844365"/>
    <w:rsid w:val="008444AC"/>
    <w:rsid w:val="00844A92"/>
    <w:rsid w:val="00845010"/>
    <w:rsid w:val="0084520C"/>
    <w:rsid w:val="0084557C"/>
    <w:rsid w:val="008462D8"/>
    <w:rsid w:val="00847204"/>
    <w:rsid w:val="00850928"/>
    <w:rsid w:val="008510A6"/>
    <w:rsid w:val="008519AD"/>
    <w:rsid w:val="0085253D"/>
    <w:rsid w:val="00853CA7"/>
    <w:rsid w:val="008540E8"/>
    <w:rsid w:val="0085435D"/>
    <w:rsid w:val="00856534"/>
    <w:rsid w:val="00856EEA"/>
    <w:rsid w:val="00857083"/>
    <w:rsid w:val="00857341"/>
    <w:rsid w:val="008601C2"/>
    <w:rsid w:val="00860FAB"/>
    <w:rsid w:val="008613E8"/>
    <w:rsid w:val="008618D1"/>
    <w:rsid w:val="008624A5"/>
    <w:rsid w:val="0086280B"/>
    <w:rsid w:val="00862F98"/>
    <w:rsid w:val="00863BB2"/>
    <w:rsid w:val="008648DB"/>
    <w:rsid w:val="0086529E"/>
    <w:rsid w:val="00865336"/>
    <w:rsid w:val="00866A5E"/>
    <w:rsid w:val="00866ABA"/>
    <w:rsid w:val="00871747"/>
    <w:rsid w:val="00871B5B"/>
    <w:rsid w:val="00871C4D"/>
    <w:rsid w:val="0087240F"/>
    <w:rsid w:val="0087339B"/>
    <w:rsid w:val="00873BFE"/>
    <w:rsid w:val="00873D2E"/>
    <w:rsid w:val="0087526F"/>
    <w:rsid w:val="00875458"/>
    <w:rsid w:val="008756D6"/>
    <w:rsid w:val="00875A00"/>
    <w:rsid w:val="00875D96"/>
    <w:rsid w:val="0087702C"/>
    <w:rsid w:val="0087747A"/>
    <w:rsid w:val="00877667"/>
    <w:rsid w:val="008777A9"/>
    <w:rsid w:val="008801EB"/>
    <w:rsid w:val="008801F0"/>
    <w:rsid w:val="00880732"/>
    <w:rsid w:val="008808A4"/>
    <w:rsid w:val="00880F46"/>
    <w:rsid w:val="008816FC"/>
    <w:rsid w:val="008820E9"/>
    <w:rsid w:val="00883124"/>
    <w:rsid w:val="008838B3"/>
    <w:rsid w:val="00884173"/>
    <w:rsid w:val="008842B4"/>
    <w:rsid w:val="0088491C"/>
    <w:rsid w:val="008849CB"/>
    <w:rsid w:val="00885249"/>
    <w:rsid w:val="00885A7C"/>
    <w:rsid w:val="00886684"/>
    <w:rsid w:val="008869B3"/>
    <w:rsid w:val="00890884"/>
    <w:rsid w:val="00891674"/>
    <w:rsid w:val="00891A8D"/>
    <w:rsid w:val="00891BB6"/>
    <w:rsid w:val="00891F2C"/>
    <w:rsid w:val="00891F87"/>
    <w:rsid w:val="00892830"/>
    <w:rsid w:val="00892FAE"/>
    <w:rsid w:val="00893FDC"/>
    <w:rsid w:val="00894D78"/>
    <w:rsid w:val="00895577"/>
    <w:rsid w:val="008967C4"/>
    <w:rsid w:val="008967D7"/>
    <w:rsid w:val="008A1EEB"/>
    <w:rsid w:val="008A20F9"/>
    <w:rsid w:val="008A2C66"/>
    <w:rsid w:val="008A2EEB"/>
    <w:rsid w:val="008A3B67"/>
    <w:rsid w:val="008A56D0"/>
    <w:rsid w:val="008A5729"/>
    <w:rsid w:val="008A5788"/>
    <w:rsid w:val="008A58B6"/>
    <w:rsid w:val="008A6B18"/>
    <w:rsid w:val="008A6C3F"/>
    <w:rsid w:val="008A71A7"/>
    <w:rsid w:val="008A7952"/>
    <w:rsid w:val="008B0634"/>
    <w:rsid w:val="008B06D5"/>
    <w:rsid w:val="008B06D9"/>
    <w:rsid w:val="008B0B6E"/>
    <w:rsid w:val="008B0D4C"/>
    <w:rsid w:val="008B0DE0"/>
    <w:rsid w:val="008B22ED"/>
    <w:rsid w:val="008B2E44"/>
    <w:rsid w:val="008B351B"/>
    <w:rsid w:val="008B3883"/>
    <w:rsid w:val="008B3DD4"/>
    <w:rsid w:val="008B3FBD"/>
    <w:rsid w:val="008B45B0"/>
    <w:rsid w:val="008B4758"/>
    <w:rsid w:val="008B4965"/>
    <w:rsid w:val="008B501E"/>
    <w:rsid w:val="008B5A1C"/>
    <w:rsid w:val="008B6172"/>
    <w:rsid w:val="008B659A"/>
    <w:rsid w:val="008B6C3D"/>
    <w:rsid w:val="008B6C9E"/>
    <w:rsid w:val="008B7763"/>
    <w:rsid w:val="008B7D01"/>
    <w:rsid w:val="008B7D43"/>
    <w:rsid w:val="008C0EEC"/>
    <w:rsid w:val="008C106E"/>
    <w:rsid w:val="008C1FC4"/>
    <w:rsid w:val="008C3574"/>
    <w:rsid w:val="008C57FE"/>
    <w:rsid w:val="008C713A"/>
    <w:rsid w:val="008C72BB"/>
    <w:rsid w:val="008C7DF4"/>
    <w:rsid w:val="008D08CC"/>
    <w:rsid w:val="008D14A3"/>
    <w:rsid w:val="008D2963"/>
    <w:rsid w:val="008D2CEF"/>
    <w:rsid w:val="008D3EE7"/>
    <w:rsid w:val="008D40B2"/>
    <w:rsid w:val="008D40FD"/>
    <w:rsid w:val="008D41FF"/>
    <w:rsid w:val="008D554E"/>
    <w:rsid w:val="008D6F9F"/>
    <w:rsid w:val="008E0843"/>
    <w:rsid w:val="008E08D2"/>
    <w:rsid w:val="008E1435"/>
    <w:rsid w:val="008E1902"/>
    <w:rsid w:val="008E1A8D"/>
    <w:rsid w:val="008E36E7"/>
    <w:rsid w:val="008E41CA"/>
    <w:rsid w:val="008E63BD"/>
    <w:rsid w:val="008E6731"/>
    <w:rsid w:val="008E7693"/>
    <w:rsid w:val="008E769E"/>
    <w:rsid w:val="008E7C0A"/>
    <w:rsid w:val="008F0751"/>
    <w:rsid w:val="008F0B1F"/>
    <w:rsid w:val="008F0EE8"/>
    <w:rsid w:val="008F211D"/>
    <w:rsid w:val="008F21E7"/>
    <w:rsid w:val="008F23BB"/>
    <w:rsid w:val="008F2B83"/>
    <w:rsid w:val="008F3343"/>
    <w:rsid w:val="008F425E"/>
    <w:rsid w:val="008F4E02"/>
    <w:rsid w:val="008F74C2"/>
    <w:rsid w:val="008F7BD8"/>
    <w:rsid w:val="008F7DBF"/>
    <w:rsid w:val="009014B0"/>
    <w:rsid w:val="009019AA"/>
    <w:rsid w:val="00901E40"/>
    <w:rsid w:val="009031F5"/>
    <w:rsid w:val="009034C2"/>
    <w:rsid w:val="009035E5"/>
    <w:rsid w:val="009036D1"/>
    <w:rsid w:val="00903A5E"/>
    <w:rsid w:val="00903F4C"/>
    <w:rsid w:val="00904BF1"/>
    <w:rsid w:val="00906424"/>
    <w:rsid w:val="00906CDC"/>
    <w:rsid w:val="00907143"/>
    <w:rsid w:val="009073FF"/>
    <w:rsid w:val="009077AB"/>
    <w:rsid w:val="0091060E"/>
    <w:rsid w:val="00910633"/>
    <w:rsid w:val="00910A79"/>
    <w:rsid w:val="00910B2A"/>
    <w:rsid w:val="00910DC8"/>
    <w:rsid w:val="00910FDD"/>
    <w:rsid w:val="009121FE"/>
    <w:rsid w:val="009122E0"/>
    <w:rsid w:val="009122ED"/>
    <w:rsid w:val="00912CD2"/>
    <w:rsid w:val="009138BE"/>
    <w:rsid w:val="00913D73"/>
    <w:rsid w:val="00914E74"/>
    <w:rsid w:val="009161D1"/>
    <w:rsid w:val="0091691D"/>
    <w:rsid w:val="009176FB"/>
    <w:rsid w:val="00917F72"/>
    <w:rsid w:val="00920C90"/>
    <w:rsid w:val="00921388"/>
    <w:rsid w:val="0092151B"/>
    <w:rsid w:val="009217A0"/>
    <w:rsid w:val="00921843"/>
    <w:rsid w:val="00922610"/>
    <w:rsid w:val="009226F2"/>
    <w:rsid w:val="00922884"/>
    <w:rsid w:val="00922C54"/>
    <w:rsid w:val="0092304C"/>
    <w:rsid w:val="00923845"/>
    <w:rsid w:val="00923CCC"/>
    <w:rsid w:val="00923EAE"/>
    <w:rsid w:val="00924D91"/>
    <w:rsid w:val="00924ED9"/>
    <w:rsid w:val="009252FE"/>
    <w:rsid w:val="00925E77"/>
    <w:rsid w:val="009265E8"/>
    <w:rsid w:val="00926C52"/>
    <w:rsid w:val="009271F6"/>
    <w:rsid w:val="00927642"/>
    <w:rsid w:val="00927D05"/>
    <w:rsid w:val="00927D45"/>
    <w:rsid w:val="00930570"/>
    <w:rsid w:val="00930724"/>
    <w:rsid w:val="00930BD3"/>
    <w:rsid w:val="00931F09"/>
    <w:rsid w:val="0093218D"/>
    <w:rsid w:val="009322BF"/>
    <w:rsid w:val="009326CB"/>
    <w:rsid w:val="009336E6"/>
    <w:rsid w:val="00933B06"/>
    <w:rsid w:val="00933B6F"/>
    <w:rsid w:val="00934000"/>
    <w:rsid w:val="00934EE2"/>
    <w:rsid w:val="00934FB6"/>
    <w:rsid w:val="009355AA"/>
    <w:rsid w:val="00935AD0"/>
    <w:rsid w:val="00935E73"/>
    <w:rsid w:val="00936C58"/>
    <w:rsid w:val="00937E68"/>
    <w:rsid w:val="00937FD5"/>
    <w:rsid w:val="0094049D"/>
    <w:rsid w:val="00940525"/>
    <w:rsid w:val="009413B6"/>
    <w:rsid w:val="009414E2"/>
    <w:rsid w:val="0094151C"/>
    <w:rsid w:val="00941AA2"/>
    <w:rsid w:val="00941AD6"/>
    <w:rsid w:val="009423C7"/>
    <w:rsid w:val="009428BC"/>
    <w:rsid w:val="00942A89"/>
    <w:rsid w:val="00942D95"/>
    <w:rsid w:val="00943B7D"/>
    <w:rsid w:val="00944AAA"/>
    <w:rsid w:val="0094577F"/>
    <w:rsid w:val="009469A7"/>
    <w:rsid w:val="009469D9"/>
    <w:rsid w:val="00946E80"/>
    <w:rsid w:val="00947314"/>
    <w:rsid w:val="00950DBB"/>
    <w:rsid w:val="0095148B"/>
    <w:rsid w:val="00953EF4"/>
    <w:rsid w:val="00955AB9"/>
    <w:rsid w:val="00955D9E"/>
    <w:rsid w:val="009563A1"/>
    <w:rsid w:val="00956A71"/>
    <w:rsid w:val="009603B6"/>
    <w:rsid w:val="0096043C"/>
    <w:rsid w:val="00960A43"/>
    <w:rsid w:val="00960AA5"/>
    <w:rsid w:val="00960C58"/>
    <w:rsid w:val="00961452"/>
    <w:rsid w:val="00961AD3"/>
    <w:rsid w:val="00962014"/>
    <w:rsid w:val="009620F7"/>
    <w:rsid w:val="009626CE"/>
    <w:rsid w:val="00963445"/>
    <w:rsid w:val="0096349F"/>
    <w:rsid w:val="00963611"/>
    <w:rsid w:val="0096392D"/>
    <w:rsid w:val="00963CD5"/>
    <w:rsid w:val="00965E07"/>
    <w:rsid w:val="00967830"/>
    <w:rsid w:val="00967D3E"/>
    <w:rsid w:val="00967FFE"/>
    <w:rsid w:val="00971133"/>
    <w:rsid w:val="0097131E"/>
    <w:rsid w:val="00972608"/>
    <w:rsid w:val="00972883"/>
    <w:rsid w:val="00972ACC"/>
    <w:rsid w:val="00972F3F"/>
    <w:rsid w:val="009731C8"/>
    <w:rsid w:val="00973F8F"/>
    <w:rsid w:val="00974309"/>
    <w:rsid w:val="00974E78"/>
    <w:rsid w:val="0097573A"/>
    <w:rsid w:val="00975C51"/>
    <w:rsid w:val="00976618"/>
    <w:rsid w:val="009769AC"/>
    <w:rsid w:val="009804D1"/>
    <w:rsid w:val="00980F06"/>
    <w:rsid w:val="00980FE3"/>
    <w:rsid w:val="00981CDD"/>
    <w:rsid w:val="00982228"/>
    <w:rsid w:val="00983863"/>
    <w:rsid w:val="00983889"/>
    <w:rsid w:val="00983AD8"/>
    <w:rsid w:val="00983B5E"/>
    <w:rsid w:val="00984AEF"/>
    <w:rsid w:val="00984DD5"/>
    <w:rsid w:val="00985D0E"/>
    <w:rsid w:val="00985FF3"/>
    <w:rsid w:val="0098649F"/>
    <w:rsid w:val="00986D47"/>
    <w:rsid w:val="00986F14"/>
    <w:rsid w:val="00986FF1"/>
    <w:rsid w:val="009873AA"/>
    <w:rsid w:val="0099047E"/>
    <w:rsid w:val="009910BA"/>
    <w:rsid w:val="00992BE7"/>
    <w:rsid w:val="00993E64"/>
    <w:rsid w:val="0099483C"/>
    <w:rsid w:val="009949C3"/>
    <w:rsid w:val="00994B47"/>
    <w:rsid w:val="00994C44"/>
    <w:rsid w:val="009952B6"/>
    <w:rsid w:val="009956D9"/>
    <w:rsid w:val="00995947"/>
    <w:rsid w:val="00997486"/>
    <w:rsid w:val="00997818"/>
    <w:rsid w:val="009A0DC1"/>
    <w:rsid w:val="009A12AF"/>
    <w:rsid w:val="009A1D98"/>
    <w:rsid w:val="009A2FA5"/>
    <w:rsid w:val="009A3003"/>
    <w:rsid w:val="009A35ED"/>
    <w:rsid w:val="009A371D"/>
    <w:rsid w:val="009A4EC0"/>
    <w:rsid w:val="009A5149"/>
    <w:rsid w:val="009A52CD"/>
    <w:rsid w:val="009A530F"/>
    <w:rsid w:val="009A5C2F"/>
    <w:rsid w:val="009A6A76"/>
    <w:rsid w:val="009A70E2"/>
    <w:rsid w:val="009A7793"/>
    <w:rsid w:val="009A77C4"/>
    <w:rsid w:val="009B0422"/>
    <w:rsid w:val="009B0692"/>
    <w:rsid w:val="009B1BE7"/>
    <w:rsid w:val="009B1FB3"/>
    <w:rsid w:val="009B2429"/>
    <w:rsid w:val="009B2BC8"/>
    <w:rsid w:val="009B3061"/>
    <w:rsid w:val="009B385E"/>
    <w:rsid w:val="009B4316"/>
    <w:rsid w:val="009B4AF5"/>
    <w:rsid w:val="009B5525"/>
    <w:rsid w:val="009B66A0"/>
    <w:rsid w:val="009B6A76"/>
    <w:rsid w:val="009C01BE"/>
    <w:rsid w:val="009C178A"/>
    <w:rsid w:val="009C1CC7"/>
    <w:rsid w:val="009C243B"/>
    <w:rsid w:val="009C24D3"/>
    <w:rsid w:val="009C288D"/>
    <w:rsid w:val="009C3E33"/>
    <w:rsid w:val="009C5673"/>
    <w:rsid w:val="009C589E"/>
    <w:rsid w:val="009C5916"/>
    <w:rsid w:val="009C5B5E"/>
    <w:rsid w:val="009C6E14"/>
    <w:rsid w:val="009C783A"/>
    <w:rsid w:val="009C78E8"/>
    <w:rsid w:val="009D0B1C"/>
    <w:rsid w:val="009D0C3D"/>
    <w:rsid w:val="009D0E82"/>
    <w:rsid w:val="009D14D5"/>
    <w:rsid w:val="009D1C33"/>
    <w:rsid w:val="009D312C"/>
    <w:rsid w:val="009D4220"/>
    <w:rsid w:val="009D4449"/>
    <w:rsid w:val="009D45BF"/>
    <w:rsid w:val="009D5308"/>
    <w:rsid w:val="009D5B68"/>
    <w:rsid w:val="009D5F95"/>
    <w:rsid w:val="009D615D"/>
    <w:rsid w:val="009D6596"/>
    <w:rsid w:val="009D6618"/>
    <w:rsid w:val="009D69E2"/>
    <w:rsid w:val="009D6D1D"/>
    <w:rsid w:val="009D6D88"/>
    <w:rsid w:val="009D7C6A"/>
    <w:rsid w:val="009E1204"/>
    <w:rsid w:val="009E2694"/>
    <w:rsid w:val="009E2B8F"/>
    <w:rsid w:val="009E2E89"/>
    <w:rsid w:val="009E3ED5"/>
    <w:rsid w:val="009E407A"/>
    <w:rsid w:val="009E4CE9"/>
    <w:rsid w:val="009E5501"/>
    <w:rsid w:val="009E5781"/>
    <w:rsid w:val="009E5848"/>
    <w:rsid w:val="009E60D7"/>
    <w:rsid w:val="009E61D8"/>
    <w:rsid w:val="009E69E1"/>
    <w:rsid w:val="009E7035"/>
    <w:rsid w:val="009E7B0E"/>
    <w:rsid w:val="009F0A4F"/>
    <w:rsid w:val="009F0B36"/>
    <w:rsid w:val="009F0DAF"/>
    <w:rsid w:val="009F18B5"/>
    <w:rsid w:val="009F1EB7"/>
    <w:rsid w:val="009F2147"/>
    <w:rsid w:val="009F269E"/>
    <w:rsid w:val="009F2E12"/>
    <w:rsid w:val="009F3208"/>
    <w:rsid w:val="009F41B0"/>
    <w:rsid w:val="009F566B"/>
    <w:rsid w:val="009F5CDC"/>
    <w:rsid w:val="009F76FC"/>
    <w:rsid w:val="00A014DB"/>
    <w:rsid w:val="00A01681"/>
    <w:rsid w:val="00A01BC5"/>
    <w:rsid w:val="00A01DF2"/>
    <w:rsid w:val="00A0217F"/>
    <w:rsid w:val="00A02897"/>
    <w:rsid w:val="00A036EE"/>
    <w:rsid w:val="00A04AFC"/>
    <w:rsid w:val="00A0646D"/>
    <w:rsid w:val="00A0671D"/>
    <w:rsid w:val="00A06CD3"/>
    <w:rsid w:val="00A101B7"/>
    <w:rsid w:val="00A10F54"/>
    <w:rsid w:val="00A11911"/>
    <w:rsid w:val="00A11B57"/>
    <w:rsid w:val="00A13131"/>
    <w:rsid w:val="00A144A8"/>
    <w:rsid w:val="00A1527F"/>
    <w:rsid w:val="00A15B35"/>
    <w:rsid w:val="00A16C33"/>
    <w:rsid w:val="00A170FE"/>
    <w:rsid w:val="00A17793"/>
    <w:rsid w:val="00A20016"/>
    <w:rsid w:val="00A2032E"/>
    <w:rsid w:val="00A20764"/>
    <w:rsid w:val="00A2084A"/>
    <w:rsid w:val="00A20D2B"/>
    <w:rsid w:val="00A21AEF"/>
    <w:rsid w:val="00A21EDE"/>
    <w:rsid w:val="00A224BF"/>
    <w:rsid w:val="00A2262F"/>
    <w:rsid w:val="00A226AC"/>
    <w:rsid w:val="00A22706"/>
    <w:rsid w:val="00A22E64"/>
    <w:rsid w:val="00A239A4"/>
    <w:rsid w:val="00A23A41"/>
    <w:rsid w:val="00A23ACE"/>
    <w:rsid w:val="00A2450B"/>
    <w:rsid w:val="00A25B91"/>
    <w:rsid w:val="00A2658C"/>
    <w:rsid w:val="00A26C85"/>
    <w:rsid w:val="00A27218"/>
    <w:rsid w:val="00A306A9"/>
    <w:rsid w:val="00A30833"/>
    <w:rsid w:val="00A30DBC"/>
    <w:rsid w:val="00A314BB"/>
    <w:rsid w:val="00A31C63"/>
    <w:rsid w:val="00A32703"/>
    <w:rsid w:val="00A3337B"/>
    <w:rsid w:val="00A3340F"/>
    <w:rsid w:val="00A34483"/>
    <w:rsid w:val="00A347D6"/>
    <w:rsid w:val="00A35279"/>
    <w:rsid w:val="00A36632"/>
    <w:rsid w:val="00A3666A"/>
    <w:rsid w:val="00A369A6"/>
    <w:rsid w:val="00A371C2"/>
    <w:rsid w:val="00A37662"/>
    <w:rsid w:val="00A377F0"/>
    <w:rsid w:val="00A377FB"/>
    <w:rsid w:val="00A40C8F"/>
    <w:rsid w:val="00A419CA"/>
    <w:rsid w:val="00A41DDB"/>
    <w:rsid w:val="00A42F42"/>
    <w:rsid w:val="00A43B28"/>
    <w:rsid w:val="00A43C3A"/>
    <w:rsid w:val="00A43F0F"/>
    <w:rsid w:val="00A44909"/>
    <w:rsid w:val="00A45465"/>
    <w:rsid w:val="00A460D2"/>
    <w:rsid w:val="00A47033"/>
    <w:rsid w:val="00A50865"/>
    <w:rsid w:val="00A50D33"/>
    <w:rsid w:val="00A5134B"/>
    <w:rsid w:val="00A51EA1"/>
    <w:rsid w:val="00A5243B"/>
    <w:rsid w:val="00A526C9"/>
    <w:rsid w:val="00A53F73"/>
    <w:rsid w:val="00A555D6"/>
    <w:rsid w:val="00A559F0"/>
    <w:rsid w:val="00A574F9"/>
    <w:rsid w:val="00A575D9"/>
    <w:rsid w:val="00A579BE"/>
    <w:rsid w:val="00A57B36"/>
    <w:rsid w:val="00A60AA5"/>
    <w:rsid w:val="00A623F3"/>
    <w:rsid w:val="00A62981"/>
    <w:rsid w:val="00A62C3A"/>
    <w:rsid w:val="00A6310F"/>
    <w:rsid w:val="00A63482"/>
    <w:rsid w:val="00A636DB"/>
    <w:rsid w:val="00A645A2"/>
    <w:rsid w:val="00A657CA"/>
    <w:rsid w:val="00A65A16"/>
    <w:rsid w:val="00A6674E"/>
    <w:rsid w:val="00A66CE2"/>
    <w:rsid w:val="00A67118"/>
    <w:rsid w:val="00A67DE4"/>
    <w:rsid w:val="00A7029E"/>
    <w:rsid w:val="00A71870"/>
    <w:rsid w:val="00A720BB"/>
    <w:rsid w:val="00A72296"/>
    <w:rsid w:val="00A72C0D"/>
    <w:rsid w:val="00A72CA2"/>
    <w:rsid w:val="00A72DF8"/>
    <w:rsid w:val="00A737F2"/>
    <w:rsid w:val="00A73C06"/>
    <w:rsid w:val="00A73D6E"/>
    <w:rsid w:val="00A73EF9"/>
    <w:rsid w:val="00A74E63"/>
    <w:rsid w:val="00A75922"/>
    <w:rsid w:val="00A7640B"/>
    <w:rsid w:val="00A76953"/>
    <w:rsid w:val="00A77902"/>
    <w:rsid w:val="00A80D25"/>
    <w:rsid w:val="00A81B7D"/>
    <w:rsid w:val="00A82904"/>
    <w:rsid w:val="00A8360B"/>
    <w:rsid w:val="00A8405A"/>
    <w:rsid w:val="00A84262"/>
    <w:rsid w:val="00A84B1C"/>
    <w:rsid w:val="00A85F50"/>
    <w:rsid w:val="00A8789B"/>
    <w:rsid w:val="00A9032D"/>
    <w:rsid w:val="00A90330"/>
    <w:rsid w:val="00A90D67"/>
    <w:rsid w:val="00A92126"/>
    <w:rsid w:val="00A923AD"/>
    <w:rsid w:val="00A92B98"/>
    <w:rsid w:val="00A92E4F"/>
    <w:rsid w:val="00A93C17"/>
    <w:rsid w:val="00A9444B"/>
    <w:rsid w:val="00A94A79"/>
    <w:rsid w:val="00A94AF9"/>
    <w:rsid w:val="00A95C4F"/>
    <w:rsid w:val="00A9715C"/>
    <w:rsid w:val="00AA0604"/>
    <w:rsid w:val="00AA0BE6"/>
    <w:rsid w:val="00AA1982"/>
    <w:rsid w:val="00AA1FD1"/>
    <w:rsid w:val="00AA1FE4"/>
    <w:rsid w:val="00AA2471"/>
    <w:rsid w:val="00AA2968"/>
    <w:rsid w:val="00AA3582"/>
    <w:rsid w:val="00AA35B3"/>
    <w:rsid w:val="00AA3E5C"/>
    <w:rsid w:val="00AA535E"/>
    <w:rsid w:val="00AB0653"/>
    <w:rsid w:val="00AB0B92"/>
    <w:rsid w:val="00AB1384"/>
    <w:rsid w:val="00AB26ED"/>
    <w:rsid w:val="00AB3885"/>
    <w:rsid w:val="00AB4250"/>
    <w:rsid w:val="00AB4424"/>
    <w:rsid w:val="00AB4CC0"/>
    <w:rsid w:val="00AC263D"/>
    <w:rsid w:val="00AC2C2B"/>
    <w:rsid w:val="00AC43E5"/>
    <w:rsid w:val="00AC5160"/>
    <w:rsid w:val="00AC5322"/>
    <w:rsid w:val="00AC6664"/>
    <w:rsid w:val="00AC7D78"/>
    <w:rsid w:val="00AD0E2F"/>
    <w:rsid w:val="00AD0F6D"/>
    <w:rsid w:val="00AD0FB9"/>
    <w:rsid w:val="00AD2C75"/>
    <w:rsid w:val="00AD3B96"/>
    <w:rsid w:val="00AD53DB"/>
    <w:rsid w:val="00AD5D12"/>
    <w:rsid w:val="00AD60EA"/>
    <w:rsid w:val="00AD6B63"/>
    <w:rsid w:val="00AD71CE"/>
    <w:rsid w:val="00AE060A"/>
    <w:rsid w:val="00AE1FB2"/>
    <w:rsid w:val="00AE2803"/>
    <w:rsid w:val="00AE296D"/>
    <w:rsid w:val="00AE32FD"/>
    <w:rsid w:val="00AE34CA"/>
    <w:rsid w:val="00AE3BAE"/>
    <w:rsid w:val="00AE405E"/>
    <w:rsid w:val="00AE4417"/>
    <w:rsid w:val="00AE5A50"/>
    <w:rsid w:val="00AE5A8D"/>
    <w:rsid w:val="00AE60E5"/>
    <w:rsid w:val="00AE6411"/>
    <w:rsid w:val="00AE66B4"/>
    <w:rsid w:val="00AE741E"/>
    <w:rsid w:val="00AE75A7"/>
    <w:rsid w:val="00AE79E2"/>
    <w:rsid w:val="00AE7AF8"/>
    <w:rsid w:val="00AF0B01"/>
    <w:rsid w:val="00AF16D2"/>
    <w:rsid w:val="00AF1AD1"/>
    <w:rsid w:val="00AF205C"/>
    <w:rsid w:val="00AF26A7"/>
    <w:rsid w:val="00AF2773"/>
    <w:rsid w:val="00AF2FFD"/>
    <w:rsid w:val="00AF377F"/>
    <w:rsid w:val="00AF4F4B"/>
    <w:rsid w:val="00AF5349"/>
    <w:rsid w:val="00AF5815"/>
    <w:rsid w:val="00AF61FB"/>
    <w:rsid w:val="00B00874"/>
    <w:rsid w:val="00B00F9A"/>
    <w:rsid w:val="00B010A4"/>
    <w:rsid w:val="00B01B10"/>
    <w:rsid w:val="00B0213E"/>
    <w:rsid w:val="00B024AD"/>
    <w:rsid w:val="00B02625"/>
    <w:rsid w:val="00B02AA6"/>
    <w:rsid w:val="00B02EFB"/>
    <w:rsid w:val="00B03AC3"/>
    <w:rsid w:val="00B03C5E"/>
    <w:rsid w:val="00B0486B"/>
    <w:rsid w:val="00B0487A"/>
    <w:rsid w:val="00B0567F"/>
    <w:rsid w:val="00B0692A"/>
    <w:rsid w:val="00B070F9"/>
    <w:rsid w:val="00B11C80"/>
    <w:rsid w:val="00B136C2"/>
    <w:rsid w:val="00B13B6A"/>
    <w:rsid w:val="00B14DDC"/>
    <w:rsid w:val="00B15331"/>
    <w:rsid w:val="00B156A9"/>
    <w:rsid w:val="00B158BD"/>
    <w:rsid w:val="00B15DE3"/>
    <w:rsid w:val="00B16522"/>
    <w:rsid w:val="00B1657C"/>
    <w:rsid w:val="00B172D8"/>
    <w:rsid w:val="00B1746A"/>
    <w:rsid w:val="00B17672"/>
    <w:rsid w:val="00B20B8D"/>
    <w:rsid w:val="00B216C1"/>
    <w:rsid w:val="00B2192E"/>
    <w:rsid w:val="00B2277D"/>
    <w:rsid w:val="00B22A2D"/>
    <w:rsid w:val="00B23B55"/>
    <w:rsid w:val="00B24043"/>
    <w:rsid w:val="00B2485D"/>
    <w:rsid w:val="00B24870"/>
    <w:rsid w:val="00B24D01"/>
    <w:rsid w:val="00B24F57"/>
    <w:rsid w:val="00B2546C"/>
    <w:rsid w:val="00B26066"/>
    <w:rsid w:val="00B267C4"/>
    <w:rsid w:val="00B2682B"/>
    <w:rsid w:val="00B26C66"/>
    <w:rsid w:val="00B26F96"/>
    <w:rsid w:val="00B27E32"/>
    <w:rsid w:val="00B3010C"/>
    <w:rsid w:val="00B34640"/>
    <w:rsid w:val="00B35BF2"/>
    <w:rsid w:val="00B361EF"/>
    <w:rsid w:val="00B36370"/>
    <w:rsid w:val="00B36834"/>
    <w:rsid w:val="00B401CD"/>
    <w:rsid w:val="00B420CD"/>
    <w:rsid w:val="00B42851"/>
    <w:rsid w:val="00B439C6"/>
    <w:rsid w:val="00B43B32"/>
    <w:rsid w:val="00B43BED"/>
    <w:rsid w:val="00B44038"/>
    <w:rsid w:val="00B44F15"/>
    <w:rsid w:val="00B46D54"/>
    <w:rsid w:val="00B46F43"/>
    <w:rsid w:val="00B47B4B"/>
    <w:rsid w:val="00B47D66"/>
    <w:rsid w:val="00B505F3"/>
    <w:rsid w:val="00B50D18"/>
    <w:rsid w:val="00B50DAE"/>
    <w:rsid w:val="00B5144B"/>
    <w:rsid w:val="00B51D4E"/>
    <w:rsid w:val="00B51DD4"/>
    <w:rsid w:val="00B52DB8"/>
    <w:rsid w:val="00B53062"/>
    <w:rsid w:val="00B53854"/>
    <w:rsid w:val="00B54E90"/>
    <w:rsid w:val="00B55F04"/>
    <w:rsid w:val="00B55FAD"/>
    <w:rsid w:val="00B567AE"/>
    <w:rsid w:val="00B56FA7"/>
    <w:rsid w:val="00B57245"/>
    <w:rsid w:val="00B6021B"/>
    <w:rsid w:val="00B6031D"/>
    <w:rsid w:val="00B6041C"/>
    <w:rsid w:val="00B61FF1"/>
    <w:rsid w:val="00B62760"/>
    <w:rsid w:val="00B63F4B"/>
    <w:rsid w:val="00B64363"/>
    <w:rsid w:val="00B64E7E"/>
    <w:rsid w:val="00B65D57"/>
    <w:rsid w:val="00B6727B"/>
    <w:rsid w:val="00B702D1"/>
    <w:rsid w:val="00B7048F"/>
    <w:rsid w:val="00B70730"/>
    <w:rsid w:val="00B70CD9"/>
    <w:rsid w:val="00B716E0"/>
    <w:rsid w:val="00B71EFD"/>
    <w:rsid w:val="00B72216"/>
    <w:rsid w:val="00B72C09"/>
    <w:rsid w:val="00B72C32"/>
    <w:rsid w:val="00B72C3D"/>
    <w:rsid w:val="00B73373"/>
    <w:rsid w:val="00B733AE"/>
    <w:rsid w:val="00B73881"/>
    <w:rsid w:val="00B749D2"/>
    <w:rsid w:val="00B75093"/>
    <w:rsid w:val="00B7568A"/>
    <w:rsid w:val="00B757A6"/>
    <w:rsid w:val="00B76250"/>
    <w:rsid w:val="00B76499"/>
    <w:rsid w:val="00B76718"/>
    <w:rsid w:val="00B7734D"/>
    <w:rsid w:val="00B7788A"/>
    <w:rsid w:val="00B77D27"/>
    <w:rsid w:val="00B806E0"/>
    <w:rsid w:val="00B8152A"/>
    <w:rsid w:val="00B81636"/>
    <w:rsid w:val="00B81C41"/>
    <w:rsid w:val="00B81E06"/>
    <w:rsid w:val="00B82428"/>
    <w:rsid w:val="00B82B84"/>
    <w:rsid w:val="00B83431"/>
    <w:rsid w:val="00B835B7"/>
    <w:rsid w:val="00B83A97"/>
    <w:rsid w:val="00B85AE5"/>
    <w:rsid w:val="00B85BAF"/>
    <w:rsid w:val="00B86633"/>
    <w:rsid w:val="00B87168"/>
    <w:rsid w:val="00B90908"/>
    <w:rsid w:val="00B92275"/>
    <w:rsid w:val="00B92C24"/>
    <w:rsid w:val="00B93762"/>
    <w:rsid w:val="00B93A2E"/>
    <w:rsid w:val="00B93C33"/>
    <w:rsid w:val="00B947D9"/>
    <w:rsid w:val="00B956D4"/>
    <w:rsid w:val="00B96C7F"/>
    <w:rsid w:val="00B96DC6"/>
    <w:rsid w:val="00B97385"/>
    <w:rsid w:val="00B975A5"/>
    <w:rsid w:val="00B975AB"/>
    <w:rsid w:val="00BA067D"/>
    <w:rsid w:val="00BA07FB"/>
    <w:rsid w:val="00BA351E"/>
    <w:rsid w:val="00BA404C"/>
    <w:rsid w:val="00BA4BA9"/>
    <w:rsid w:val="00BA4C53"/>
    <w:rsid w:val="00BA53E1"/>
    <w:rsid w:val="00BA560F"/>
    <w:rsid w:val="00BA58AE"/>
    <w:rsid w:val="00BA5EC3"/>
    <w:rsid w:val="00BA6F3A"/>
    <w:rsid w:val="00BA76A2"/>
    <w:rsid w:val="00BB09DA"/>
    <w:rsid w:val="00BB0B92"/>
    <w:rsid w:val="00BB0DA0"/>
    <w:rsid w:val="00BB1C35"/>
    <w:rsid w:val="00BB1C9C"/>
    <w:rsid w:val="00BB2757"/>
    <w:rsid w:val="00BB4ADC"/>
    <w:rsid w:val="00BB4E84"/>
    <w:rsid w:val="00BB5781"/>
    <w:rsid w:val="00BB60BB"/>
    <w:rsid w:val="00BB662A"/>
    <w:rsid w:val="00BB677F"/>
    <w:rsid w:val="00BB7808"/>
    <w:rsid w:val="00BB7875"/>
    <w:rsid w:val="00BC1136"/>
    <w:rsid w:val="00BC12A2"/>
    <w:rsid w:val="00BC1301"/>
    <w:rsid w:val="00BC164F"/>
    <w:rsid w:val="00BC28AD"/>
    <w:rsid w:val="00BC2F9E"/>
    <w:rsid w:val="00BC3990"/>
    <w:rsid w:val="00BC3AAC"/>
    <w:rsid w:val="00BC3B7C"/>
    <w:rsid w:val="00BC452E"/>
    <w:rsid w:val="00BC6691"/>
    <w:rsid w:val="00BC66D3"/>
    <w:rsid w:val="00BC6FBD"/>
    <w:rsid w:val="00BC76AA"/>
    <w:rsid w:val="00BC77D2"/>
    <w:rsid w:val="00BC7D88"/>
    <w:rsid w:val="00BC7DC9"/>
    <w:rsid w:val="00BD0FB9"/>
    <w:rsid w:val="00BD1544"/>
    <w:rsid w:val="00BD1B8E"/>
    <w:rsid w:val="00BD229E"/>
    <w:rsid w:val="00BD2300"/>
    <w:rsid w:val="00BD2343"/>
    <w:rsid w:val="00BD2B7E"/>
    <w:rsid w:val="00BD32D4"/>
    <w:rsid w:val="00BD3527"/>
    <w:rsid w:val="00BD36F6"/>
    <w:rsid w:val="00BD37D8"/>
    <w:rsid w:val="00BD40A9"/>
    <w:rsid w:val="00BD430B"/>
    <w:rsid w:val="00BD4B26"/>
    <w:rsid w:val="00BD5832"/>
    <w:rsid w:val="00BD59D8"/>
    <w:rsid w:val="00BD5A5C"/>
    <w:rsid w:val="00BD5A86"/>
    <w:rsid w:val="00BD5AB8"/>
    <w:rsid w:val="00BD5B40"/>
    <w:rsid w:val="00BD5CC6"/>
    <w:rsid w:val="00BD7A4B"/>
    <w:rsid w:val="00BE0C9D"/>
    <w:rsid w:val="00BE154C"/>
    <w:rsid w:val="00BE2154"/>
    <w:rsid w:val="00BE2341"/>
    <w:rsid w:val="00BE2ED8"/>
    <w:rsid w:val="00BE3CCD"/>
    <w:rsid w:val="00BE5244"/>
    <w:rsid w:val="00BE68DE"/>
    <w:rsid w:val="00BE6C37"/>
    <w:rsid w:val="00BE6D3D"/>
    <w:rsid w:val="00BE7A14"/>
    <w:rsid w:val="00BE7AC6"/>
    <w:rsid w:val="00BF05A1"/>
    <w:rsid w:val="00BF0920"/>
    <w:rsid w:val="00BF0C68"/>
    <w:rsid w:val="00BF15EF"/>
    <w:rsid w:val="00BF189F"/>
    <w:rsid w:val="00BF1CC3"/>
    <w:rsid w:val="00BF1F12"/>
    <w:rsid w:val="00BF2174"/>
    <w:rsid w:val="00BF2694"/>
    <w:rsid w:val="00BF2716"/>
    <w:rsid w:val="00BF3278"/>
    <w:rsid w:val="00BF38A4"/>
    <w:rsid w:val="00BF6448"/>
    <w:rsid w:val="00BF68C6"/>
    <w:rsid w:val="00BF6D24"/>
    <w:rsid w:val="00BF6F63"/>
    <w:rsid w:val="00BF73F0"/>
    <w:rsid w:val="00C0086F"/>
    <w:rsid w:val="00C0193A"/>
    <w:rsid w:val="00C01C26"/>
    <w:rsid w:val="00C01EA1"/>
    <w:rsid w:val="00C01FD1"/>
    <w:rsid w:val="00C02272"/>
    <w:rsid w:val="00C02821"/>
    <w:rsid w:val="00C036E7"/>
    <w:rsid w:val="00C03D41"/>
    <w:rsid w:val="00C044E6"/>
    <w:rsid w:val="00C047D8"/>
    <w:rsid w:val="00C048F0"/>
    <w:rsid w:val="00C04F94"/>
    <w:rsid w:val="00C0598E"/>
    <w:rsid w:val="00C066EC"/>
    <w:rsid w:val="00C07425"/>
    <w:rsid w:val="00C0768D"/>
    <w:rsid w:val="00C07F69"/>
    <w:rsid w:val="00C117A9"/>
    <w:rsid w:val="00C11B7B"/>
    <w:rsid w:val="00C11F1D"/>
    <w:rsid w:val="00C11F89"/>
    <w:rsid w:val="00C12468"/>
    <w:rsid w:val="00C15016"/>
    <w:rsid w:val="00C1573F"/>
    <w:rsid w:val="00C16383"/>
    <w:rsid w:val="00C16E13"/>
    <w:rsid w:val="00C17CBB"/>
    <w:rsid w:val="00C17D98"/>
    <w:rsid w:val="00C20925"/>
    <w:rsid w:val="00C211CC"/>
    <w:rsid w:val="00C22784"/>
    <w:rsid w:val="00C22FA0"/>
    <w:rsid w:val="00C2409E"/>
    <w:rsid w:val="00C246A7"/>
    <w:rsid w:val="00C24B3B"/>
    <w:rsid w:val="00C25175"/>
    <w:rsid w:val="00C25A44"/>
    <w:rsid w:val="00C25BAF"/>
    <w:rsid w:val="00C27213"/>
    <w:rsid w:val="00C27393"/>
    <w:rsid w:val="00C274CF"/>
    <w:rsid w:val="00C27711"/>
    <w:rsid w:val="00C27A31"/>
    <w:rsid w:val="00C30451"/>
    <w:rsid w:val="00C314BA"/>
    <w:rsid w:val="00C31C93"/>
    <w:rsid w:val="00C31E9A"/>
    <w:rsid w:val="00C32B5A"/>
    <w:rsid w:val="00C3304D"/>
    <w:rsid w:val="00C332A0"/>
    <w:rsid w:val="00C33B83"/>
    <w:rsid w:val="00C33C8D"/>
    <w:rsid w:val="00C34047"/>
    <w:rsid w:val="00C35827"/>
    <w:rsid w:val="00C36530"/>
    <w:rsid w:val="00C36B76"/>
    <w:rsid w:val="00C36D06"/>
    <w:rsid w:val="00C37375"/>
    <w:rsid w:val="00C4022E"/>
    <w:rsid w:val="00C41313"/>
    <w:rsid w:val="00C416BA"/>
    <w:rsid w:val="00C42700"/>
    <w:rsid w:val="00C42E52"/>
    <w:rsid w:val="00C432C4"/>
    <w:rsid w:val="00C43901"/>
    <w:rsid w:val="00C44788"/>
    <w:rsid w:val="00C454C9"/>
    <w:rsid w:val="00C45C59"/>
    <w:rsid w:val="00C45C75"/>
    <w:rsid w:val="00C462BD"/>
    <w:rsid w:val="00C46351"/>
    <w:rsid w:val="00C46D15"/>
    <w:rsid w:val="00C470EF"/>
    <w:rsid w:val="00C50B70"/>
    <w:rsid w:val="00C517D6"/>
    <w:rsid w:val="00C51CF5"/>
    <w:rsid w:val="00C5206B"/>
    <w:rsid w:val="00C52841"/>
    <w:rsid w:val="00C540FD"/>
    <w:rsid w:val="00C56137"/>
    <w:rsid w:val="00C56570"/>
    <w:rsid w:val="00C57A3C"/>
    <w:rsid w:val="00C60C66"/>
    <w:rsid w:val="00C61171"/>
    <w:rsid w:val="00C62739"/>
    <w:rsid w:val="00C6280F"/>
    <w:rsid w:val="00C62A15"/>
    <w:rsid w:val="00C63555"/>
    <w:rsid w:val="00C6528F"/>
    <w:rsid w:val="00C663D1"/>
    <w:rsid w:val="00C70B9F"/>
    <w:rsid w:val="00C7161B"/>
    <w:rsid w:val="00C717AF"/>
    <w:rsid w:val="00C71C0C"/>
    <w:rsid w:val="00C71FDE"/>
    <w:rsid w:val="00C7242D"/>
    <w:rsid w:val="00C72D97"/>
    <w:rsid w:val="00C72F45"/>
    <w:rsid w:val="00C74279"/>
    <w:rsid w:val="00C74344"/>
    <w:rsid w:val="00C746EE"/>
    <w:rsid w:val="00C74979"/>
    <w:rsid w:val="00C75A74"/>
    <w:rsid w:val="00C75FF5"/>
    <w:rsid w:val="00C75FF9"/>
    <w:rsid w:val="00C76E46"/>
    <w:rsid w:val="00C800B6"/>
    <w:rsid w:val="00C80530"/>
    <w:rsid w:val="00C815A5"/>
    <w:rsid w:val="00C81797"/>
    <w:rsid w:val="00C81BC8"/>
    <w:rsid w:val="00C82015"/>
    <w:rsid w:val="00C82BD7"/>
    <w:rsid w:val="00C83123"/>
    <w:rsid w:val="00C831F1"/>
    <w:rsid w:val="00C83D98"/>
    <w:rsid w:val="00C84364"/>
    <w:rsid w:val="00C843F2"/>
    <w:rsid w:val="00C8466D"/>
    <w:rsid w:val="00C850E6"/>
    <w:rsid w:val="00C8519E"/>
    <w:rsid w:val="00C87604"/>
    <w:rsid w:val="00C90760"/>
    <w:rsid w:val="00C916C4"/>
    <w:rsid w:val="00C91897"/>
    <w:rsid w:val="00C91B10"/>
    <w:rsid w:val="00C92B0C"/>
    <w:rsid w:val="00C935B0"/>
    <w:rsid w:val="00C936B3"/>
    <w:rsid w:val="00C93BFC"/>
    <w:rsid w:val="00C944A9"/>
    <w:rsid w:val="00C94560"/>
    <w:rsid w:val="00C952F5"/>
    <w:rsid w:val="00C9591F"/>
    <w:rsid w:val="00C95EE3"/>
    <w:rsid w:val="00C970A3"/>
    <w:rsid w:val="00C970E4"/>
    <w:rsid w:val="00CA06A9"/>
    <w:rsid w:val="00CA13ED"/>
    <w:rsid w:val="00CA19A2"/>
    <w:rsid w:val="00CA25A0"/>
    <w:rsid w:val="00CA29CA"/>
    <w:rsid w:val="00CA2C2F"/>
    <w:rsid w:val="00CA2FB7"/>
    <w:rsid w:val="00CA36A7"/>
    <w:rsid w:val="00CA41E8"/>
    <w:rsid w:val="00CA4EBB"/>
    <w:rsid w:val="00CA52C5"/>
    <w:rsid w:val="00CA5AE4"/>
    <w:rsid w:val="00CA74EC"/>
    <w:rsid w:val="00CA7776"/>
    <w:rsid w:val="00CB0A17"/>
    <w:rsid w:val="00CB0E12"/>
    <w:rsid w:val="00CB10E3"/>
    <w:rsid w:val="00CB12E0"/>
    <w:rsid w:val="00CB1312"/>
    <w:rsid w:val="00CB1920"/>
    <w:rsid w:val="00CB1A94"/>
    <w:rsid w:val="00CB1F60"/>
    <w:rsid w:val="00CB23CC"/>
    <w:rsid w:val="00CB2613"/>
    <w:rsid w:val="00CB27E4"/>
    <w:rsid w:val="00CB2B6C"/>
    <w:rsid w:val="00CB2C9B"/>
    <w:rsid w:val="00CB39C1"/>
    <w:rsid w:val="00CB5149"/>
    <w:rsid w:val="00CB6AAB"/>
    <w:rsid w:val="00CB6DF9"/>
    <w:rsid w:val="00CB6E24"/>
    <w:rsid w:val="00CC00F2"/>
    <w:rsid w:val="00CC0E68"/>
    <w:rsid w:val="00CC269B"/>
    <w:rsid w:val="00CC26D7"/>
    <w:rsid w:val="00CC3B2B"/>
    <w:rsid w:val="00CC4840"/>
    <w:rsid w:val="00CC52AF"/>
    <w:rsid w:val="00CC5D2A"/>
    <w:rsid w:val="00CC64E3"/>
    <w:rsid w:val="00CC67C5"/>
    <w:rsid w:val="00CC7439"/>
    <w:rsid w:val="00CC78AB"/>
    <w:rsid w:val="00CC7F6E"/>
    <w:rsid w:val="00CD12F0"/>
    <w:rsid w:val="00CD1C31"/>
    <w:rsid w:val="00CD1FBA"/>
    <w:rsid w:val="00CD2377"/>
    <w:rsid w:val="00CD478A"/>
    <w:rsid w:val="00CD4916"/>
    <w:rsid w:val="00CD51F8"/>
    <w:rsid w:val="00CD5269"/>
    <w:rsid w:val="00CD5961"/>
    <w:rsid w:val="00CD5974"/>
    <w:rsid w:val="00CD6463"/>
    <w:rsid w:val="00CD6727"/>
    <w:rsid w:val="00CD6BC6"/>
    <w:rsid w:val="00CD6CB8"/>
    <w:rsid w:val="00CD7105"/>
    <w:rsid w:val="00CD72A7"/>
    <w:rsid w:val="00CD7AA8"/>
    <w:rsid w:val="00CD7DFC"/>
    <w:rsid w:val="00CD7F25"/>
    <w:rsid w:val="00CE015B"/>
    <w:rsid w:val="00CE0982"/>
    <w:rsid w:val="00CE0D43"/>
    <w:rsid w:val="00CE114E"/>
    <w:rsid w:val="00CE137F"/>
    <w:rsid w:val="00CE1518"/>
    <w:rsid w:val="00CE23A0"/>
    <w:rsid w:val="00CE3F68"/>
    <w:rsid w:val="00CE464D"/>
    <w:rsid w:val="00CE4727"/>
    <w:rsid w:val="00CE548F"/>
    <w:rsid w:val="00CE6A51"/>
    <w:rsid w:val="00CE6AA4"/>
    <w:rsid w:val="00CE6C56"/>
    <w:rsid w:val="00CE6E40"/>
    <w:rsid w:val="00CE6F13"/>
    <w:rsid w:val="00CF03E6"/>
    <w:rsid w:val="00CF1105"/>
    <w:rsid w:val="00CF14E5"/>
    <w:rsid w:val="00CF1553"/>
    <w:rsid w:val="00CF1FF4"/>
    <w:rsid w:val="00CF205F"/>
    <w:rsid w:val="00CF2295"/>
    <w:rsid w:val="00CF23B1"/>
    <w:rsid w:val="00CF2658"/>
    <w:rsid w:val="00CF3234"/>
    <w:rsid w:val="00CF3861"/>
    <w:rsid w:val="00CF3A63"/>
    <w:rsid w:val="00CF3CBB"/>
    <w:rsid w:val="00CF3CBF"/>
    <w:rsid w:val="00CF3E85"/>
    <w:rsid w:val="00CF63D4"/>
    <w:rsid w:val="00D0070A"/>
    <w:rsid w:val="00D0091A"/>
    <w:rsid w:val="00D00B51"/>
    <w:rsid w:val="00D01241"/>
    <w:rsid w:val="00D01C94"/>
    <w:rsid w:val="00D0206C"/>
    <w:rsid w:val="00D036FA"/>
    <w:rsid w:val="00D03824"/>
    <w:rsid w:val="00D038A3"/>
    <w:rsid w:val="00D050E8"/>
    <w:rsid w:val="00D051A8"/>
    <w:rsid w:val="00D05995"/>
    <w:rsid w:val="00D064CA"/>
    <w:rsid w:val="00D06939"/>
    <w:rsid w:val="00D06D18"/>
    <w:rsid w:val="00D07419"/>
    <w:rsid w:val="00D076A2"/>
    <w:rsid w:val="00D10B9E"/>
    <w:rsid w:val="00D10C71"/>
    <w:rsid w:val="00D11798"/>
    <w:rsid w:val="00D11F21"/>
    <w:rsid w:val="00D13A5F"/>
    <w:rsid w:val="00D13C41"/>
    <w:rsid w:val="00D14078"/>
    <w:rsid w:val="00D1514C"/>
    <w:rsid w:val="00D15386"/>
    <w:rsid w:val="00D15E29"/>
    <w:rsid w:val="00D16875"/>
    <w:rsid w:val="00D1782C"/>
    <w:rsid w:val="00D17BDA"/>
    <w:rsid w:val="00D17E3A"/>
    <w:rsid w:val="00D204D3"/>
    <w:rsid w:val="00D2064B"/>
    <w:rsid w:val="00D207BA"/>
    <w:rsid w:val="00D2088C"/>
    <w:rsid w:val="00D20F91"/>
    <w:rsid w:val="00D21055"/>
    <w:rsid w:val="00D2134D"/>
    <w:rsid w:val="00D2155D"/>
    <w:rsid w:val="00D21983"/>
    <w:rsid w:val="00D22CAF"/>
    <w:rsid w:val="00D22E40"/>
    <w:rsid w:val="00D23194"/>
    <w:rsid w:val="00D24088"/>
    <w:rsid w:val="00D246BD"/>
    <w:rsid w:val="00D24F99"/>
    <w:rsid w:val="00D25DAD"/>
    <w:rsid w:val="00D2640E"/>
    <w:rsid w:val="00D26E6F"/>
    <w:rsid w:val="00D26FE1"/>
    <w:rsid w:val="00D27571"/>
    <w:rsid w:val="00D27CF3"/>
    <w:rsid w:val="00D30694"/>
    <w:rsid w:val="00D313F5"/>
    <w:rsid w:val="00D319DF"/>
    <w:rsid w:val="00D32EA2"/>
    <w:rsid w:val="00D34392"/>
    <w:rsid w:val="00D34625"/>
    <w:rsid w:val="00D348D6"/>
    <w:rsid w:val="00D3509F"/>
    <w:rsid w:val="00D35F37"/>
    <w:rsid w:val="00D36025"/>
    <w:rsid w:val="00D360E8"/>
    <w:rsid w:val="00D404F9"/>
    <w:rsid w:val="00D408FE"/>
    <w:rsid w:val="00D40E1D"/>
    <w:rsid w:val="00D40E48"/>
    <w:rsid w:val="00D41842"/>
    <w:rsid w:val="00D41E6D"/>
    <w:rsid w:val="00D422AE"/>
    <w:rsid w:val="00D4252C"/>
    <w:rsid w:val="00D42A44"/>
    <w:rsid w:val="00D42D5D"/>
    <w:rsid w:val="00D434CD"/>
    <w:rsid w:val="00D44A5E"/>
    <w:rsid w:val="00D44E73"/>
    <w:rsid w:val="00D458CA"/>
    <w:rsid w:val="00D45A53"/>
    <w:rsid w:val="00D46D37"/>
    <w:rsid w:val="00D474CE"/>
    <w:rsid w:val="00D52A9E"/>
    <w:rsid w:val="00D52CC6"/>
    <w:rsid w:val="00D53FEA"/>
    <w:rsid w:val="00D544EE"/>
    <w:rsid w:val="00D55954"/>
    <w:rsid w:val="00D55E21"/>
    <w:rsid w:val="00D5612A"/>
    <w:rsid w:val="00D5689D"/>
    <w:rsid w:val="00D57057"/>
    <w:rsid w:val="00D577A5"/>
    <w:rsid w:val="00D604EE"/>
    <w:rsid w:val="00D61902"/>
    <w:rsid w:val="00D61BEE"/>
    <w:rsid w:val="00D62139"/>
    <w:rsid w:val="00D62AFA"/>
    <w:rsid w:val="00D640BE"/>
    <w:rsid w:val="00D64AA6"/>
    <w:rsid w:val="00D64D57"/>
    <w:rsid w:val="00D65104"/>
    <w:rsid w:val="00D65B1F"/>
    <w:rsid w:val="00D70D86"/>
    <w:rsid w:val="00D71C37"/>
    <w:rsid w:val="00D71CE2"/>
    <w:rsid w:val="00D721BF"/>
    <w:rsid w:val="00D72370"/>
    <w:rsid w:val="00D725C9"/>
    <w:rsid w:val="00D72B7F"/>
    <w:rsid w:val="00D72DD5"/>
    <w:rsid w:val="00D73179"/>
    <w:rsid w:val="00D7447A"/>
    <w:rsid w:val="00D7501A"/>
    <w:rsid w:val="00D75577"/>
    <w:rsid w:val="00D75938"/>
    <w:rsid w:val="00D76CFE"/>
    <w:rsid w:val="00D77212"/>
    <w:rsid w:val="00D776BB"/>
    <w:rsid w:val="00D8003A"/>
    <w:rsid w:val="00D80051"/>
    <w:rsid w:val="00D80EE3"/>
    <w:rsid w:val="00D80FE5"/>
    <w:rsid w:val="00D825F3"/>
    <w:rsid w:val="00D83057"/>
    <w:rsid w:val="00D842BB"/>
    <w:rsid w:val="00D84FCA"/>
    <w:rsid w:val="00D8505B"/>
    <w:rsid w:val="00D85BB1"/>
    <w:rsid w:val="00D85C9B"/>
    <w:rsid w:val="00D85E56"/>
    <w:rsid w:val="00D8613D"/>
    <w:rsid w:val="00D86360"/>
    <w:rsid w:val="00D86ABA"/>
    <w:rsid w:val="00D86C4A"/>
    <w:rsid w:val="00D87FA7"/>
    <w:rsid w:val="00D91288"/>
    <w:rsid w:val="00D92A3D"/>
    <w:rsid w:val="00D92A4B"/>
    <w:rsid w:val="00D93903"/>
    <w:rsid w:val="00D939E3"/>
    <w:rsid w:val="00D94C8A"/>
    <w:rsid w:val="00D950B0"/>
    <w:rsid w:val="00D95A28"/>
    <w:rsid w:val="00D95E54"/>
    <w:rsid w:val="00D95FEA"/>
    <w:rsid w:val="00D96990"/>
    <w:rsid w:val="00D96B3D"/>
    <w:rsid w:val="00D97F95"/>
    <w:rsid w:val="00DA015C"/>
    <w:rsid w:val="00DA02D1"/>
    <w:rsid w:val="00DA08A3"/>
    <w:rsid w:val="00DA0E1F"/>
    <w:rsid w:val="00DA15C5"/>
    <w:rsid w:val="00DA1734"/>
    <w:rsid w:val="00DA2106"/>
    <w:rsid w:val="00DA330E"/>
    <w:rsid w:val="00DA3963"/>
    <w:rsid w:val="00DA437D"/>
    <w:rsid w:val="00DA45FB"/>
    <w:rsid w:val="00DA46EB"/>
    <w:rsid w:val="00DA49AF"/>
    <w:rsid w:val="00DA56EF"/>
    <w:rsid w:val="00DA63AD"/>
    <w:rsid w:val="00DA69A7"/>
    <w:rsid w:val="00DA6CC6"/>
    <w:rsid w:val="00DA7694"/>
    <w:rsid w:val="00DB012D"/>
    <w:rsid w:val="00DB0288"/>
    <w:rsid w:val="00DB12B1"/>
    <w:rsid w:val="00DB189E"/>
    <w:rsid w:val="00DB1E0A"/>
    <w:rsid w:val="00DB215F"/>
    <w:rsid w:val="00DB3292"/>
    <w:rsid w:val="00DB35E0"/>
    <w:rsid w:val="00DB3661"/>
    <w:rsid w:val="00DB40CD"/>
    <w:rsid w:val="00DB4E84"/>
    <w:rsid w:val="00DB5BDB"/>
    <w:rsid w:val="00DB67EA"/>
    <w:rsid w:val="00DB69D3"/>
    <w:rsid w:val="00DB7398"/>
    <w:rsid w:val="00DB7CC6"/>
    <w:rsid w:val="00DB7EF7"/>
    <w:rsid w:val="00DC0029"/>
    <w:rsid w:val="00DC1F8F"/>
    <w:rsid w:val="00DC31B9"/>
    <w:rsid w:val="00DC3748"/>
    <w:rsid w:val="00DC3D73"/>
    <w:rsid w:val="00DC43A9"/>
    <w:rsid w:val="00DC4E75"/>
    <w:rsid w:val="00DC5269"/>
    <w:rsid w:val="00DC5807"/>
    <w:rsid w:val="00DC5AFA"/>
    <w:rsid w:val="00DC62B0"/>
    <w:rsid w:val="00DC6390"/>
    <w:rsid w:val="00DC7030"/>
    <w:rsid w:val="00DC7267"/>
    <w:rsid w:val="00DC7639"/>
    <w:rsid w:val="00DC7E12"/>
    <w:rsid w:val="00DD061B"/>
    <w:rsid w:val="00DD07F3"/>
    <w:rsid w:val="00DD0ED6"/>
    <w:rsid w:val="00DD2AB8"/>
    <w:rsid w:val="00DD2BBF"/>
    <w:rsid w:val="00DD2EA4"/>
    <w:rsid w:val="00DD3572"/>
    <w:rsid w:val="00DD3638"/>
    <w:rsid w:val="00DD373D"/>
    <w:rsid w:val="00DD41DC"/>
    <w:rsid w:val="00DD4D6D"/>
    <w:rsid w:val="00DD6627"/>
    <w:rsid w:val="00DD6952"/>
    <w:rsid w:val="00DD7D45"/>
    <w:rsid w:val="00DE01B7"/>
    <w:rsid w:val="00DE0313"/>
    <w:rsid w:val="00DE03C8"/>
    <w:rsid w:val="00DE049B"/>
    <w:rsid w:val="00DE05D6"/>
    <w:rsid w:val="00DE10D4"/>
    <w:rsid w:val="00DE137F"/>
    <w:rsid w:val="00DE1510"/>
    <w:rsid w:val="00DE1691"/>
    <w:rsid w:val="00DE1B25"/>
    <w:rsid w:val="00DE24C1"/>
    <w:rsid w:val="00DE37C4"/>
    <w:rsid w:val="00DE3AF2"/>
    <w:rsid w:val="00DE4252"/>
    <w:rsid w:val="00DE4945"/>
    <w:rsid w:val="00DE5212"/>
    <w:rsid w:val="00DE536F"/>
    <w:rsid w:val="00DE5500"/>
    <w:rsid w:val="00DE552D"/>
    <w:rsid w:val="00DE6E71"/>
    <w:rsid w:val="00DF1083"/>
    <w:rsid w:val="00DF15B8"/>
    <w:rsid w:val="00DF1674"/>
    <w:rsid w:val="00DF2117"/>
    <w:rsid w:val="00DF2E78"/>
    <w:rsid w:val="00DF34C9"/>
    <w:rsid w:val="00DF351C"/>
    <w:rsid w:val="00DF44B3"/>
    <w:rsid w:val="00DF4635"/>
    <w:rsid w:val="00DF4640"/>
    <w:rsid w:val="00DF525C"/>
    <w:rsid w:val="00DF6182"/>
    <w:rsid w:val="00DF77D7"/>
    <w:rsid w:val="00E00A1F"/>
    <w:rsid w:val="00E00BB6"/>
    <w:rsid w:val="00E00CB7"/>
    <w:rsid w:val="00E015E1"/>
    <w:rsid w:val="00E01F16"/>
    <w:rsid w:val="00E02331"/>
    <w:rsid w:val="00E0263D"/>
    <w:rsid w:val="00E0370E"/>
    <w:rsid w:val="00E04A85"/>
    <w:rsid w:val="00E05377"/>
    <w:rsid w:val="00E0568E"/>
    <w:rsid w:val="00E05DFF"/>
    <w:rsid w:val="00E06301"/>
    <w:rsid w:val="00E06591"/>
    <w:rsid w:val="00E07A28"/>
    <w:rsid w:val="00E07F6A"/>
    <w:rsid w:val="00E10002"/>
    <w:rsid w:val="00E126AE"/>
    <w:rsid w:val="00E13268"/>
    <w:rsid w:val="00E135C3"/>
    <w:rsid w:val="00E13A12"/>
    <w:rsid w:val="00E14DBB"/>
    <w:rsid w:val="00E15530"/>
    <w:rsid w:val="00E158E8"/>
    <w:rsid w:val="00E16455"/>
    <w:rsid w:val="00E16830"/>
    <w:rsid w:val="00E168FD"/>
    <w:rsid w:val="00E16AC5"/>
    <w:rsid w:val="00E16ED4"/>
    <w:rsid w:val="00E17CC7"/>
    <w:rsid w:val="00E201C6"/>
    <w:rsid w:val="00E204C9"/>
    <w:rsid w:val="00E20E8B"/>
    <w:rsid w:val="00E20ECC"/>
    <w:rsid w:val="00E212C3"/>
    <w:rsid w:val="00E21735"/>
    <w:rsid w:val="00E220DC"/>
    <w:rsid w:val="00E228F3"/>
    <w:rsid w:val="00E22ABC"/>
    <w:rsid w:val="00E2351B"/>
    <w:rsid w:val="00E2429E"/>
    <w:rsid w:val="00E254DF"/>
    <w:rsid w:val="00E26054"/>
    <w:rsid w:val="00E26F6B"/>
    <w:rsid w:val="00E27672"/>
    <w:rsid w:val="00E277E4"/>
    <w:rsid w:val="00E27B49"/>
    <w:rsid w:val="00E3165B"/>
    <w:rsid w:val="00E31940"/>
    <w:rsid w:val="00E32DA8"/>
    <w:rsid w:val="00E33442"/>
    <w:rsid w:val="00E33625"/>
    <w:rsid w:val="00E34205"/>
    <w:rsid w:val="00E34665"/>
    <w:rsid w:val="00E34B6E"/>
    <w:rsid w:val="00E34E9E"/>
    <w:rsid w:val="00E35FE9"/>
    <w:rsid w:val="00E36B70"/>
    <w:rsid w:val="00E36F62"/>
    <w:rsid w:val="00E37001"/>
    <w:rsid w:val="00E373D4"/>
    <w:rsid w:val="00E40179"/>
    <w:rsid w:val="00E40517"/>
    <w:rsid w:val="00E40986"/>
    <w:rsid w:val="00E41147"/>
    <w:rsid w:val="00E41BEA"/>
    <w:rsid w:val="00E41C66"/>
    <w:rsid w:val="00E42075"/>
    <w:rsid w:val="00E42841"/>
    <w:rsid w:val="00E428A5"/>
    <w:rsid w:val="00E42C07"/>
    <w:rsid w:val="00E42D00"/>
    <w:rsid w:val="00E43B3E"/>
    <w:rsid w:val="00E43D5F"/>
    <w:rsid w:val="00E43EA8"/>
    <w:rsid w:val="00E440F0"/>
    <w:rsid w:val="00E44450"/>
    <w:rsid w:val="00E44C5F"/>
    <w:rsid w:val="00E45384"/>
    <w:rsid w:val="00E4591A"/>
    <w:rsid w:val="00E45CD1"/>
    <w:rsid w:val="00E4602F"/>
    <w:rsid w:val="00E46F97"/>
    <w:rsid w:val="00E472ED"/>
    <w:rsid w:val="00E47712"/>
    <w:rsid w:val="00E5068C"/>
    <w:rsid w:val="00E51E79"/>
    <w:rsid w:val="00E51E84"/>
    <w:rsid w:val="00E52A52"/>
    <w:rsid w:val="00E52C35"/>
    <w:rsid w:val="00E530F2"/>
    <w:rsid w:val="00E535E9"/>
    <w:rsid w:val="00E53687"/>
    <w:rsid w:val="00E53BBD"/>
    <w:rsid w:val="00E53FAF"/>
    <w:rsid w:val="00E5400C"/>
    <w:rsid w:val="00E54E40"/>
    <w:rsid w:val="00E54F98"/>
    <w:rsid w:val="00E55CAD"/>
    <w:rsid w:val="00E55F96"/>
    <w:rsid w:val="00E565EE"/>
    <w:rsid w:val="00E56DD7"/>
    <w:rsid w:val="00E570DA"/>
    <w:rsid w:val="00E57C22"/>
    <w:rsid w:val="00E61535"/>
    <w:rsid w:val="00E6217B"/>
    <w:rsid w:val="00E625F5"/>
    <w:rsid w:val="00E65D05"/>
    <w:rsid w:val="00E65EB6"/>
    <w:rsid w:val="00E66235"/>
    <w:rsid w:val="00E66364"/>
    <w:rsid w:val="00E66449"/>
    <w:rsid w:val="00E67B56"/>
    <w:rsid w:val="00E70A8D"/>
    <w:rsid w:val="00E70C28"/>
    <w:rsid w:val="00E7143E"/>
    <w:rsid w:val="00E71819"/>
    <w:rsid w:val="00E71B38"/>
    <w:rsid w:val="00E71DC2"/>
    <w:rsid w:val="00E71ECC"/>
    <w:rsid w:val="00E71F0D"/>
    <w:rsid w:val="00E72070"/>
    <w:rsid w:val="00E72998"/>
    <w:rsid w:val="00E739C1"/>
    <w:rsid w:val="00E73B00"/>
    <w:rsid w:val="00E73BE7"/>
    <w:rsid w:val="00E74647"/>
    <w:rsid w:val="00E7494A"/>
    <w:rsid w:val="00E75B86"/>
    <w:rsid w:val="00E7602D"/>
    <w:rsid w:val="00E77988"/>
    <w:rsid w:val="00E801EA"/>
    <w:rsid w:val="00E807CA"/>
    <w:rsid w:val="00E81846"/>
    <w:rsid w:val="00E81F9D"/>
    <w:rsid w:val="00E8425B"/>
    <w:rsid w:val="00E84C81"/>
    <w:rsid w:val="00E85055"/>
    <w:rsid w:val="00E86B08"/>
    <w:rsid w:val="00E86B36"/>
    <w:rsid w:val="00E872FD"/>
    <w:rsid w:val="00E873AF"/>
    <w:rsid w:val="00E8782E"/>
    <w:rsid w:val="00E900FC"/>
    <w:rsid w:val="00E929A1"/>
    <w:rsid w:val="00E92E2C"/>
    <w:rsid w:val="00E92EEE"/>
    <w:rsid w:val="00E92F0B"/>
    <w:rsid w:val="00E93570"/>
    <w:rsid w:val="00E9456F"/>
    <w:rsid w:val="00E958C1"/>
    <w:rsid w:val="00E95F1D"/>
    <w:rsid w:val="00E9703C"/>
    <w:rsid w:val="00E974A5"/>
    <w:rsid w:val="00EA0E88"/>
    <w:rsid w:val="00EA103D"/>
    <w:rsid w:val="00EA122B"/>
    <w:rsid w:val="00EA1F35"/>
    <w:rsid w:val="00EA28CE"/>
    <w:rsid w:val="00EA2E22"/>
    <w:rsid w:val="00EA2F01"/>
    <w:rsid w:val="00EA301C"/>
    <w:rsid w:val="00EA3531"/>
    <w:rsid w:val="00EA35CB"/>
    <w:rsid w:val="00EA3DA8"/>
    <w:rsid w:val="00EA47BD"/>
    <w:rsid w:val="00EA4A26"/>
    <w:rsid w:val="00EA4AEA"/>
    <w:rsid w:val="00EA4AFE"/>
    <w:rsid w:val="00EA52B1"/>
    <w:rsid w:val="00EA5694"/>
    <w:rsid w:val="00EA7E3E"/>
    <w:rsid w:val="00EB0595"/>
    <w:rsid w:val="00EB074D"/>
    <w:rsid w:val="00EB0E3C"/>
    <w:rsid w:val="00EB1A4E"/>
    <w:rsid w:val="00EB1C4B"/>
    <w:rsid w:val="00EB1E65"/>
    <w:rsid w:val="00EB2174"/>
    <w:rsid w:val="00EB2676"/>
    <w:rsid w:val="00EB2681"/>
    <w:rsid w:val="00EB3C4C"/>
    <w:rsid w:val="00EB3D74"/>
    <w:rsid w:val="00EB4D5D"/>
    <w:rsid w:val="00EB5857"/>
    <w:rsid w:val="00EB5E4C"/>
    <w:rsid w:val="00EB651A"/>
    <w:rsid w:val="00EB6D73"/>
    <w:rsid w:val="00EB73FD"/>
    <w:rsid w:val="00EC0A66"/>
    <w:rsid w:val="00EC1191"/>
    <w:rsid w:val="00EC178C"/>
    <w:rsid w:val="00EC1E70"/>
    <w:rsid w:val="00EC2656"/>
    <w:rsid w:val="00EC2829"/>
    <w:rsid w:val="00EC3765"/>
    <w:rsid w:val="00EC3F1B"/>
    <w:rsid w:val="00EC4A02"/>
    <w:rsid w:val="00EC54F9"/>
    <w:rsid w:val="00EC5A74"/>
    <w:rsid w:val="00EC5B1F"/>
    <w:rsid w:val="00EC6A70"/>
    <w:rsid w:val="00EC6DB6"/>
    <w:rsid w:val="00EC7D63"/>
    <w:rsid w:val="00ED1729"/>
    <w:rsid w:val="00ED2172"/>
    <w:rsid w:val="00ED25D7"/>
    <w:rsid w:val="00ED2BB5"/>
    <w:rsid w:val="00ED2C21"/>
    <w:rsid w:val="00ED31E9"/>
    <w:rsid w:val="00ED3429"/>
    <w:rsid w:val="00ED350D"/>
    <w:rsid w:val="00ED4E39"/>
    <w:rsid w:val="00ED5B4D"/>
    <w:rsid w:val="00ED5ED0"/>
    <w:rsid w:val="00ED5FE0"/>
    <w:rsid w:val="00ED6983"/>
    <w:rsid w:val="00EE06B7"/>
    <w:rsid w:val="00EE09F8"/>
    <w:rsid w:val="00EE186C"/>
    <w:rsid w:val="00EE3599"/>
    <w:rsid w:val="00EE5AF5"/>
    <w:rsid w:val="00EE5E3A"/>
    <w:rsid w:val="00EE70E7"/>
    <w:rsid w:val="00EE78EB"/>
    <w:rsid w:val="00EE7C03"/>
    <w:rsid w:val="00EF03BB"/>
    <w:rsid w:val="00EF05F0"/>
    <w:rsid w:val="00EF0996"/>
    <w:rsid w:val="00EF12D6"/>
    <w:rsid w:val="00EF1361"/>
    <w:rsid w:val="00EF167E"/>
    <w:rsid w:val="00EF2089"/>
    <w:rsid w:val="00EF2287"/>
    <w:rsid w:val="00EF24A3"/>
    <w:rsid w:val="00EF2BD6"/>
    <w:rsid w:val="00EF39CD"/>
    <w:rsid w:val="00EF3B0E"/>
    <w:rsid w:val="00EF4323"/>
    <w:rsid w:val="00EF4B4D"/>
    <w:rsid w:val="00EF5022"/>
    <w:rsid w:val="00EF6894"/>
    <w:rsid w:val="00EF71AC"/>
    <w:rsid w:val="00EF7233"/>
    <w:rsid w:val="00EF7414"/>
    <w:rsid w:val="00F002B5"/>
    <w:rsid w:val="00F00843"/>
    <w:rsid w:val="00F00EBA"/>
    <w:rsid w:val="00F00FEB"/>
    <w:rsid w:val="00F02170"/>
    <w:rsid w:val="00F021C4"/>
    <w:rsid w:val="00F0227A"/>
    <w:rsid w:val="00F04C4E"/>
    <w:rsid w:val="00F04D40"/>
    <w:rsid w:val="00F05FBA"/>
    <w:rsid w:val="00F06E92"/>
    <w:rsid w:val="00F0714C"/>
    <w:rsid w:val="00F07211"/>
    <w:rsid w:val="00F10DA5"/>
    <w:rsid w:val="00F128BC"/>
    <w:rsid w:val="00F130C6"/>
    <w:rsid w:val="00F13DA1"/>
    <w:rsid w:val="00F1447A"/>
    <w:rsid w:val="00F14741"/>
    <w:rsid w:val="00F14E48"/>
    <w:rsid w:val="00F153AC"/>
    <w:rsid w:val="00F15CC8"/>
    <w:rsid w:val="00F15CCE"/>
    <w:rsid w:val="00F1758C"/>
    <w:rsid w:val="00F175EE"/>
    <w:rsid w:val="00F202C4"/>
    <w:rsid w:val="00F2043B"/>
    <w:rsid w:val="00F2051A"/>
    <w:rsid w:val="00F21C50"/>
    <w:rsid w:val="00F21E14"/>
    <w:rsid w:val="00F22A9A"/>
    <w:rsid w:val="00F23E1E"/>
    <w:rsid w:val="00F24FAD"/>
    <w:rsid w:val="00F25477"/>
    <w:rsid w:val="00F25485"/>
    <w:rsid w:val="00F25A10"/>
    <w:rsid w:val="00F25A92"/>
    <w:rsid w:val="00F26290"/>
    <w:rsid w:val="00F26B98"/>
    <w:rsid w:val="00F26DC9"/>
    <w:rsid w:val="00F279B8"/>
    <w:rsid w:val="00F30994"/>
    <w:rsid w:val="00F30C75"/>
    <w:rsid w:val="00F30E02"/>
    <w:rsid w:val="00F3103B"/>
    <w:rsid w:val="00F315B2"/>
    <w:rsid w:val="00F31F81"/>
    <w:rsid w:val="00F32807"/>
    <w:rsid w:val="00F329B6"/>
    <w:rsid w:val="00F32AF5"/>
    <w:rsid w:val="00F33BA6"/>
    <w:rsid w:val="00F33C1E"/>
    <w:rsid w:val="00F33F63"/>
    <w:rsid w:val="00F33FCE"/>
    <w:rsid w:val="00F3463A"/>
    <w:rsid w:val="00F346C3"/>
    <w:rsid w:val="00F35193"/>
    <w:rsid w:val="00F3572E"/>
    <w:rsid w:val="00F36124"/>
    <w:rsid w:val="00F3635B"/>
    <w:rsid w:val="00F364E4"/>
    <w:rsid w:val="00F37DC9"/>
    <w:rsid w:val="00F40256"/>
    <w:rsid w:val="00F41F78"/>
    <w:rsid w:val="00F420EC"/>
    <w:rsid w:val="00F4221F"/>
    <w:rsid w:val="00F43664"/>
    <w:rsid w:val="00F44551"/>
    <w:rsid w:val="00F445EE"/>
    <w:rsid w:val="00F451CE"/>
    <w:rsid w:val="00F45C71"/>
    <w:rsid w:val="00F475E0"/>
    <w:rsid w:val="00F47CB9"/>
    <w:rsid w:val="00F5172F"/>
    <w:rsid w:val="00F51B66"/>
    <w:rsid w:val="00F520EE"/>
    <w:rsid w:val="00F53D4E"/>
    <w:rsid w:val="00F544B4"/>
    <w:rsid w:val="00F5537E"/>
    <w:rsid w:val="00F55995"/>
    <w:rsid w:val="00F55BB5"/>
    <w:rsid w:val="00F5751B"/>
    <w:rsid w:val="00F60FDE"/>
    <w:rsid w:val="00F61F0B"/>
    <w:rsid w:val="00F626E9"/>
    <w:rsid w:val="00F634D5"/>
    <w:rsid w:val="00F63D63"/>
    <w:rsid w:val="00F645EF"/>
    <w:rsid w:val="00F6479B"/>
    <w:rsid w:val="00F655FB"/>
    <w:rsid w:val="00F65A37"/>
    <w:rsid w:val="00F67049"/>
    <w:rsid w:val="00F6738F"/>
    <w:rsid w:val="00F70FA7"/>
    <w:rsid w:val="00F71201"/>
    <w:rsid w:val="00F715D6"/>
    <w:rsid w:val="00F71691"/>
    <w:rsid w:val="00F71AAF"/>
    <w:rsid w:val="00F71C18"/>
    <w:rsid w:val="00F7300B"/>
    <w:rsid w:val="00F756FC"/>
    <w:rsid w:val="00F75D7F"/>
    <w:rsid w:val="00F761DD"/>
    <w:rsid w:val="00F7796C"/>
    <w:rsid w:val="00F80D3F"/>
    <w:rsid w:val="00F810E4"/>
    <w:rsid w:val="00F81215"/>
    <w:rsid w:val="00F81C38"/>
    <w:rsid w:val="00F81EE6"/>
    <w:rsid w:val="00F82676"/>
    <w:rsid w:val="00F82EA7"/>
    <w:rsid w:val="00F83B2B"/>
    <w:rsid w:val="00F83F69"/>
    <w:rsid w:val="00F84123"/>
    <w:rsid w:val="00F841C2"/>
    <w:rsid w:val="00F84DEF"/>
    <w:rsid w:val="00F8519F"/>
    <w:rsid w:val="00F853C0"/>
    <w:rsid w:val="00F862AA"/>
    <w:rsid w:val="00F86C07"/>
    <w:rsid w:val="00F871DD"/>
    <w:rsid w:val="00F878C2"/>
    <w:rsid w:val="00F878E4"/>
    <w:rsid w:val="00F879D9"/>
    <w:rsid w:val="00F87B0D"/>
    <w:rsid w:val="00F90C36"/>
    <w:rsid w:val="00F91175"/>
    <w:rsid w:val="00F91A08"/>
    <w:rsid w:val="00F933F6"/>
    <w:rsid w:val="00F93729"/>
    <w:rsid w:val="00F93B9A"/>
    <w:rsid w:val="00F94A1D"/>
    <w:rsid w:val="00F94BB8"/>
    <w:rsid w:val="00F9531C"/>
    <w:rsid w:val="00F95784"/>
    <w:rsid w:val="00F96174"/>
    <w:rsid w:val="00F961F2"/>
    <w:rsid w:val="00F974C0"/>
    <w:rsid w:val="00F97909"/>
    <w:rsid w:val="00FA1097"/>
    <w:rsid w:val="00FA309B"/>
    <w:rsid w:val="00FA3ACF"/>
    <w:rsid w:val="00FA3DDA"/>
    <w:rsid w:val="00FA40CC"/>
    <w:rsid w:val="00FA4104"/>
    <w:rsid w:val="00FA41FC"/>
    <w:rsid w:val="00FA4C90"/>
    <w:rsid w:val="00FA4D3F"/>
    <w:rsid w:val="00FA55F2"/>
    <w:rsid w:val="00FA6F90"/>
    <w:rsid w:val="00FA73CB"/>
    <w:rsid w:val="00FA78EA"/>
    <w:rsid w:val="00FB0119"/>
    <w:rsid w:val="00FB0780"/>
    <w:rsid w:val="00FB0B99"/>
    <w:rsid w:val="00FB0C2F"/>
    <w:rsid w:val="00FB19AF"/>
    <w:rsid w:val="00FB1F1E"/>
    <w:rsid w:val="00FB3443"/>
    <w:rsid w:val="00FB358E"/>
    <w:rsid w:val="00FB3BDF"/>
    <w:rsid w:val="00FB3C64"/>
    <w:rsid w:val="00FB4681"/>
    <w:rsid w:val="00FB4E51"/>
    <w:rsid w:val="00FB4F2C"/>
    <w:rsid w:val="00FB5285"/>
    <w:rsid w:val="00FB5A2C"/>
    <w:rsid w:val="00FB7161"/>
    <w:rsid w:val="00FB7BC0"/>
    <w:rsid w:val="00FB7D14"/>
    <w:rsid w:val="00FC09EC"/>
    <w:rsid w:val="00FC0FD5"/>
    <w:rsid w:val="00FC1000"/>
    <w:rsid w:val="00FC2212"/>
    <w:rsid w:val="00FC2D57"/>
    <w:rsid w:val="00FC403E"/>
    <w:rsid w:val="00FC451A"/>
    <w:rsid w:val="00FC51A2"/>
    <w:rsid w:val="00FC5352"/>
    <w:rsid w:val="00FC5ADC"/>
    <w:rsid w:val="00FC60A1"/>
    <w:rsid w:val="00FC6108"/>
    <w:rsid w:val="00FC71E9"/>
    <w:rsid w:val="00FD0493"/>
    <w:rsid w:val="00FD0B8D"/>
    <w:rsid w:val="00FD15C9"/>
    <w:rsid w:val="00FD2A15"/>
    <w:rsid w:val="00FD300C"/>
    <w:rsid w:val="00FD33C4"/>
    <w:rsid w:val="00FD3961"/>
    <w:rsid w:val="00FD4306"/>
    <w:rsid w:val="00FD4BE1"/>
    <w:rsid w:val="00FD4F24"/>
    <w:rsid w:val="00FD5086"/>
    <w:rsid w:val="00FD6890"/>
    <w:rsid w:val="00FD7053"/>
    <w:rsid w:val="00FD71ED"/>
    <w:rsid w:val="00FD7BBD"/>
    <w:rsid w:val="00FD7D73"/>
    <w:rsid w:val="00FE088A"/>
    <w:rsid w:val="00FE11E0"/>
    <w:rsid w:val="00FE3278"/>
    <w:rsid w:val="00FE3952"/>
    <w:rsid w:val="00FE3F0F"/>
    <w:rsid w:val="00FE52CB"/>
    <w:rsid w:val="00FE6E5A"/>
    <w:rsid w:val="00FE7538"/>
    <w:rsid w:val="00FE7DF5"/>
    <w:rsid w:val="00FE7F73"/>
    <w:rsid w:val="00FF0B42"/>
    <w:rsid w:val="00FF1778"/>
    <w:rsid w:val="00FF26B6"/>
    <w:rsid w:val="00FF2BD7"/>
    <w:rsid w:val="00FF3238"/>
    <w:rsid w:val="00FF40AA"/>
    <w:rsid w:val="00FF411A"/>
    <w:rsid w:val="00FF4E88"/>
    <w:rsid w:val="00FF5A5C"/>
    <w:rsid w:val="00FF62F0"/>
    <w:rsid w:val="00FF653E"/>
    <w:rsid w:val="00FF6567"/>
    <w:rsid w:val="018A3070"/>
    <w:rsid w:val="01967137"/>
    <w:rsid w:val="01A14129"/>
    <w:rsid w:val="01E51306"/>
    <w:rsid w:val="027B1093"/>
    <w:rsid w:val="02D34ED8"/>
    <w:rsid w:val="031A2E91"/>
    <w:rsid w:val="038F5A36"/>
    <w:rsid w:val="047E2D72"/>
    <w:rsid w:val="04BC398B"/>
    <w:rsid w:val="07683A92"/>
    <w:rsid w:val="076C3406"/>
    <w:rsid w:val="07FF0001"/>
    <w:rsid w:val="080323CE"/>
    <w:rsid w:val="09A7405D"/>
    <w:rsid w:val="09B015B9"/>
    <w:rsid w:val="0B036890"/>
    <w:rsid w:val="0B7022C8"/>
    <w:rsid w:val="0B7A57E2"/>
    <w:rsid w:val="0BA97E9F"/>
    <w:rsid w:val="0C460BFB"/>
    <w:rsid w:val="0C8D224E"/>
    <w:rsid w:val="0CD87469"/>
    <w:rsid w:val="0DC54F9D"/>
    <w:rsid w:val="0E354A42"/>
    <w:rsid w:val="10BF6062"/>
    <w:rsid w:val="10C26994"/>
    <w:rsid w:val="110523D6"/>
    <w:rsid w:val="11527A12"/>
    <w:rsid w:val="11C16086"/>
    <w:rsid w:val="13CB0E19"/>
    <w:rsid w:val="143D7B34"/>
    <w:rsid w:val="14A466FD"/>
    <w:rsid w:val="1564640D"/>
    <w:rsid w:val="159422E9"/>
    <w:rsid w:val="15E2625A"/>
    <w:rsid w:val="16216521"/>
    <w:rsid w:val="16556363"/>
    <w:rsid w:val="175674E5"/>
    <w:rsid w:val="18793C75"/>
    <w:rsid w:val="18AA6D3D"/>
    <w:rsid w:val="18F16F05"/>
    <w:rsid w:val="19226695"/>
    <w:rsid w:val="193879E2"/>
    <w:rsid w:val="197C220D"/>
    <w:rsid w:val="19E64584"/>
    <w:rsid w:val="1A283FD0"/>
    <w:rsid w:val="1A2D78B9"/>
    <w:rsid w:val="1A79592D"/>
    <w:rsid w:val="1B137374"/>
    <w:rsid w:val="1B22633C"/>
    <w:rsid w:val="1C800AE0"/>
    <w:rsid w:val="1D1C2CC1"/>
    <w:rsid w:val="1D740F1A"/>
    <w:rsid w:val="20D068DD"/>
    <w:rsid w:val="21033EFB"/>
    <w:rsid w:val="21D15F94"/>
    <w:rsid w:val="22117E82"/>
    <w:rsid w:val="222B5D62"/>
    <w:rsid w:val="225D1C0A"/>
    <w:rsid w:val="23605B77"/>
    <w:rsid w:val="244821F4"/>
    <w:rsid w:val="24514DE5"/>
    <w:rsid w:val="24C96603"/>
    <w:rsid w:val="24F31570"/>
    <w:rsid w:val="251D728D"/>
    <w:rsid w:val="253D7D3D"/>
    <w:rsid w:val="25A732D6"/>
    <w:rsid w:val="25C65DCF"/>
    <w:rsid w:val="275F4E1D"/>
    <w:rsid w:val="27FD1797"/>
    <w:rsid w:val="28CA70B7"/>
    <w:rsid w:val="298F5FC5"/>
    <w:rsid w:val="2B383057"/>
    <w:rsid w:val="2B8D5A08"/>
    <w:rsid w:val="2BEF364A"/>
    <w:rsid w:val="2BF83DDA"/>
    <w:rsid w:val="2C060348"/>
    <w:rsid w:val="2C5E3ADF"/>
    <w:rsid w:val="2DB35555"/>
    <w:rsid w:val="2DBE73DF"/>
    <w:rsid w:val="2F651459"/>
    <w:rsid w:val="31063A08"/>
    <w:rsid w:val="31885A56"/>
    <w:rsid w:val="318F3E88"/>
    <w:rsid w:val="31FF724F"/>
    <w:rsid w:val="32214503"/>
    <w:rsid w:val="323815F2"/>
    <w:rsid w:val="33452D25"/>
    <w:rsid w:val="34101E0E"/>
    <w:rsid w:val="346C26BA"/>
    <w:rsid w:val="34DE23B0"/>
    <w:rsid w:val="34EB0F24"/>
    <w:rsid w:val="35866913"/>
    <w:rsid w:val="35C77E2D"/>
    <w:rsid w:val="35CD5890"/>
    <w:rsid w:val="36066C64"/>
    <w:rsid w:val="369705A6"/>
    <w:rsid w:val="372F0ECB"/>
    <w:rsid w:val="379C5578"/>
    <w:rsid w:val="38AE43CA"/>
    <w:rsid w:val="38D55093"/>
    <w:rsid w:val="38F66050"/>
    <w:rsid w:val="39984BA7"/>
    <w:rsid w:val="39B344B3"/>
    <w:rsid w:val="3A1B230D"/>
    <w:rsid w:val="3A2A7980"/>
    <w:rsid w:val="3B2B380E"/>
    <w:rsid w:val="3B7929F0"/>
    <w:rsid w:val="3C3A4103"/>
    <w:rsid w:val="3C7A6D9F"/>
    <w:rsid w:val="40781C3D"/>
    <w:rsid w:val="40924318"/>
    <w:rsid w:val="41094CEA"/>
    <w:rsid w:val="410D5D4F"/>
    <w:rsid w:val="41C511FA"/>
    <w:rsid w:val="423035E7"/>
    <w:rsid w:val="42A34F08"/>
    <w:rsid w:val="42A82295"/>
    <w:rsid w:val="44506156"/>
    <w:rsid w:val="45C2318D"/>
    <w:rsid w:val="45FC6F96"/>
    <w:rsid w:val="47144DD0"/>
    <w:rsid w:val="47576FAC"/>
    <w:rsid w:val="483E1243"/>
    <w:rsid w:val="48E063FE"/>
    <w:rsid w:val="49143978"/>
    <w:rsid w:val="49843781"/>
    <w:rsid w:val="4999038E"/>
    <w:rsid w:val="49DD4A76"/>
    <w:rsid w:val="49F4318E"/>
    <w:rsid w:val="49FD1A91"/>
    <w:rsid w:val="4A210D55"/>
    <w:rsid w:val="4AA9559E"/>
    <w:rsid w:val="4AF1625A"/>
    <w:rsid w:val="4B914DD8"/>
    <w:rsid w:val="4B9A24A3"/>
    <w:rsid w:val="4BEB3A0C"/>
    <w:rsid w:val="4C5B0705"/>
    <w:rsid w:val="4C9E3CA4"/>
    <w:rsid w:val="4D172528"/>
    <w:rsid w:val="4E433ED9"/>
    <w:rsid w:val="4E7616B4"/>
    <w:rsid w:val="4EC37009"/>
    <w:rsid w:val="4EE95F3D"/>
    <w:rsid w:val="4F1D3F80"/>
    <w:rsid w:val="4F256A40"/>
    <w:rsid w:val="4FF42C3A"/>
    <w:rsid w:val="507C57E2"/>
    <w:rsid w:val="50D67A9F"/>
    <w:rsid w:val="511F3583"/>
    <w:rsid w:val="51A75023"/>
    <w:rsid w:val="52404FE3"/>
    <w:rsid w:val="53C92113"/>
    <w:rsid w:val="5489289E"/>
    <w:rsid w:val="54A94593"/>
    <w:rsid w:val="5628379B"/>
    <w:rsid w:val="566562E2"/>
    <w:rsid w:val="56DA1EBA"/>
    <w:rsid w:val="58B13B62"/>
    <w:rsid w:val="58E5708E"/>
    <w:rsid w:val="59226A06"/>
    <w:rsid w:val="59782AC7"/>
    <w:rsid w:val="5B2B26FB"/>
    <w:rsid w:val="5B3C28A2"/>
    <w:rsid w:val="5BDA6706"/>
    <w:rsid w:val="5E067FBB"/>
    <w:rsid w:val="5ED42845"/>
    <w:rsid w:val="5EF00131"/>
    <w:rsid w:val="5F713FC0"/>
    <w:rsid w:val="5FCD67C2"/>
    <w:rsid w:val="601C5431"/>
    <w:rsid w:val="60C54DD3"/>
    <w:rsid w:val="60E63299"/>
    <w:rsid w:val="61C073E4"/>
    <w:rsid w:val="62233FD7"/>
    <w:rsid w:val="626F1960"/>
    <w:rsid w:val="63973F45"/>
    <w:rsid w:val="63D35731"/>
    <w:rsid w:val="640E3329"/>
    <w:rsid w:val="643349DB"/>
    <w:rsid w:val="64F21AEE"/>
    <w:rsid w:val="652518BE"/>
    <w:rsid w:val="65345E3B"/>
    <w:rsid w:val="65377647"/>
    <w:rsid w:val="65390C7D"/>
    <w:rsid w:val="65777C2C"/>
    <w:rsid w:val="66667485"/>
    <w:rsid w:val="679C81EF"/>
    <w:rsid w:val="6895479A"/>
    <w:rsid w:val="69C7418A"/>
    <w:rsid w:val="6C5A29A6"/>
    <w:rsid w:val="6CDA1E95"/>
    <w:rsid w:val="6F41699B"/>
    <w:rsid w:val="6FDC1206"/>
    <w:rsid w:val="6FEF2053"/>
    <w:rsid w:val="700346FC"/>
    <w:rsid w:val="700A43A4"/>
    <w:rsid w:val="709F52F3"/>
    <w:rsid w:val="70A31055"/>
    <w:rsid w:val="70D459C1"/>
    <w:rsid w:val="70E12D5C"/>
    <w:rsid w:val="711517D7"/>
    <w:rsid w:val="71342769"/>
    <w:rsid w:val="7224368D"/>
    <w:rsid w:val="729B1A10"/>
    <w:rsid w:val="735C3895"/>
    <w:rsid w:val="73782EC4"/>
    <w:rsid w:val="75117C5A"/>
    <w:rsid w:val="75F53936"/>
    <w:rsid w:val="765E5500"/>
    <w:rsid w:val="78171F46"/>
    <w:rsid w:val="797F3E04"/>
    <w:rsid w:val="79E52DE6"/>
    <w:rsid w:val="7A0B220C"/>
    <w:rsid w:val="7B552E02"/>
    <w:rsid w:val="7B656851"/>
    <w:rsid w:val="7BAE295B"/>
    <w:rsid w:val="7BD55642"/>
    <w:rsid w:val="7BF614DD"/>
    <w:rsid w:val="7C21774C"/>
    <w:rsid w:val="7C4667E0"/>
    <w:rsid w:val="7D4116DB"/>
    <w:rsid w:val="7DEF3730"/>
    <w:rsid w:val="7DFF594D"/>
    <w:rsid w:val="7ECAECC3"/>
    <w:rsid w:val="7EE009A1"/>
    <w:rsid w:val="7F632985"/>
    <w:rsid w:val="D4C535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4"/>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2"/>
    <w:qFormat/>
    <w:uiPriority w:val="9"/>
    <w:pPr>
      <w:keepNext/>
      <w:keepLines/>
      <w:spacing w:before="260" w:after="260" w:line="416" w:lineRule="auto"/>
      <w:outlineLvl w:val="2"/>
    </w:pPr>
    <w:rPr>
      <w:b/>
      <w:bCs/>
      <w:sz w:val="32"/>
      <w:szCs w:val="32"/>
    </w:rPr>
  </w:style>
  <w:style w:type="paragraph" w:styleId="6">
    <w:name w:val="heading 4"/>
    <w:basedOn w:val="1"/>
    <w:next w:val="1"/>
    <w:link w:val="43"/>
    <w:unhideWhenUsed/>
    <w:qFormat/>
    <w:uiPriority w:val="9"/>
    <w:pPr>
      <w:keepNext/>
      <w:keepLines/>
      <w:spacing w:before="280" w:after="290" w:line="376" w:lineRule="auto"/>
      <w:outlineLvl w:val="3"/>
    </w:pPr>
    <w:rPr>
      <w:rFonts w:ascii="Calibri Light" w:hAnsi="Calibri Light"/>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WW-Default"/>
    <w:qFormat/>
    <w:uiPriority w:val="0"/>
    <w:pPr>
      <w:widowControl w:val="0"/>
      <w:suppressAutoHyphens/>
      <w:autoSpaceDE w:val="0"/>
    </w:pPr>
    <w:rPr>
      <w:rFonts w:ascii="Times New Roman" w:hAnsi="Times New Roman" w:eastAsia="宋体" w:cs="Times New Roman"/>
      <w:color w:val="000000"/>
      <w:sz w:val="24"/>
      <w:szCs w:val="24"/>
      <w:lang w:val="en-US" w:eastAsia="zh-CN" w:bidi="ar-SA"/>
    </w:rPr>
  </w:style>
  <w:style w:type="paragraph" w:styleId="7">
    <w:name w:val="annotation text"/>
    <w:basedOn w:val="1"/>
    <w:link w:val="29"/>
    <w:unhideWhenUsed/>
    <w:qFormat/>
    <w:uiPriority w:val="0"/>
    <w:pPr>
      <w:jc w:val="left"/>
    </w:pPr>
  </w:style>
  <w:style w:type="paragraph" w:styleId="8">
    <w:name w:val="Body Text"/>
    <w:basedOn w:val="1"/>
    <w:link w:val="27"/>
    <w:qFormat/>
    <w:uiPriority w:val="0"/>
    <w:pPr>
      <w:spacing w:after="120"/>
    </w:pPr>
    <w:rPr>
      <w:szCs w:val="24"/>
    </w:rPr>
  </w:style>
  <w:style w:type="paragraph" w:styleId="9">
    <w:name w:val="toc 3"/>
    <w:basedOn w:val="1"/>
    <w:next w:val="1"/>
    <w:unhideWhenUsed/>
    <w:qFormat/>
    <w:uiPriority w:val="39"/>
    <w:pPr>
      <w:ind w:left="840" w:leftChars="400"/>
    </w:pPr>
  </w:style>
  <w:style w:type="paragraph" w:styleId="10">
    <w:name w:val="Balloon Text"/>
    <w:basedOn w:val="1"/>
    <w:link w:val="26"/>
    <w:unhideWhenUsed/>
    <w:qFormat/>
    <w:uiPriority w:val="99"/>
    <w:rPr>
      <w:sz w:val="18"/>
      <w:szCs w:val="18"/>
    </w:rPr>
  </w:style>
  <w:style w:type="paragraph" w:styleId="11">
    <w:name w:val="footer"/>
    <w:basedOn w:val="1"/>
    <w:link w:val="30"/>
    <w:unhideWhenUsed/>
    <w:qFormat/>
    <w:uiPriority w:val="99"/>
    <w:pPr>
      <w:tabs>
        <w:tab w:val="center" w:pos="4153"/>
        <w:tab w:val="right" w:pos="8306"/>
      </w:tabs>
      <w:snapToGrid w:val="0"/>
      <w:jc w:val="left"/>
    </w:pPr>
    <w:rPr>
      <w:kern w:val="0"/>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unhideWhenUsed/>
    <w:qFormat/>
    <w:uiPriority w:val="39"/>
  </w:style>
  <w:style w:type="paragraph" w:styleId="14">
    <w:name w:val="toc 2"/>
    <w:basedOn w:val="1"/>
    <w:next w:val="1"/>
    <w:unhideWhenUsed/>
    <w:qFormat/>
    <w:uiPriority w:val="39"/>
    <w:pPr>
      <w:tabs>
        <w:tab w:val="right" w:leader="dot" w:pos="8296"/>
      </w:tabs>
      <w:spacing w:line="560" w:lineRule="exact"/>
      <w:ind w:left="420" w:leftChars="200"/>
    </w:pPr>
  </w:style>
  <w:style w:type="paragraph" w:styleId="15">
    <w:name w:val="Normal (Web)"/>
    <w:basedOn w:val="1"/>
    <w:link w:val="24"/>
    <w:qFormat/>
    <w:uiPriority w:val="99"/>
    <w:pPr>
      <w:spacing w:before="100" w:beforeAutospacing="1" w:after="100" w:afterAutospacing="1"/>
      <w:jc w:val="left"/>
    </w:pPr>
    <w:rPr>
      <w:kern w:val="0"/>
      <w:sz w:val="24"/>
      <w:szCs w:val="24"/>
    </w:rPr>
  </w:style>
  <w:style w:type="paragraph" w:styleId="16">
    <w:name w:val="annotation subject"/>
    <w:basedOn w:val="7"/>
    <w:next w:val="7"/>
    <w:link w:val="33"/>
    <w:unhideWhenUsed/>
    <w:qFormat/>
    <w:uiPriority w:val="99"/>
    <w:rPr>
      <w:b/>
      <w:bCs/>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22"/>
    <w:rPr>
      <w:b/>
      <w:bCs/>
    </w:rPr>
  </w:style>
  <w:style w:type="character" w:styleId="21">
    <w:name w:val="Emphasis"/>
    <w:qFormat/>
    <w:uiPriority w:val="20"/>
    <w:rPr>
      <w:i/>
      <w:iCs/>
    </w:rPr>
  </w:style>
  <w:style w:type="character" w:styleId="22">
    <w:name w:val="Hyperlink"/>
    <w:unhideWhenUsed/>
    <w:qFormat/>
    <w:uiPriority w:val="99"/>
    <w:rPr>
      <w:color w:val="0000FF"/>
      <w:u w:val="single"/>
    </w:rPr>
  </w:style>
  <w:style w:type="character" w:styleId="23">
    <w:name w:val="annotation reference"/>
    <w:unhideWhenUsed/>
    <w:qFormat/>
    <w:uiPriority w:val="0"/>
    <w:rPr>
      <w:sz w:val="21"/>
      <w:szCs w:val="21"/>
    </w:rPr>
  </w:style>
  <w:style w:type="character" w:customStyle="1" w:styleId="24">
    <w:name w:val="普通(网站) Char"/>
    <w:link w:val="15"/>
    <w:qFormat/>
    <w:uiPriority w:val="99"/>
    <w:rPr>
      <w:sz w:val="24"/>
      <w:szCs w:val="24"/>
    </w:rPr>
  </w:style>
  <w:style w:type="character" w:customStyle="1" w:styleId="25">
    <w:name w:val="页眉 Char"/>
    <w:link w:val="12"/>
    <w:semiHidden/>
    <w:qFormat/>
    <w:uiPriority w:val="99"/>
    <w:rPr>
      <w:sz w:val="18"/>
      <w:szCs w:val="18"/>
    </w:rPr>
  </w:style>
  <w:style w:type="character" w:customStyle="1" w:styleId="26">
    <w:name w:val="批注框文本 Char"/>
    <w:link w:val="10"/>
    <w:semiHidden/>
    <w:qFormat/>
    <w:uiPriority w:val="99"/>
    <w:rPr>
      <w:kern w:val="2"/>
      <w:sz w:val="18"/>
      <w:szCs w:val="18"/>
    </w:rPr>
  </w:style>
  <w:style w:type="character" w:customStyle="1" w:styleId="27">
    <w:name w:val="正文文本 Char"/>
    <w:link w:val="8"/>
    <w:qFormat/>
    <w:uiPriority w:val="0"/>
    <w:rPr>
      <w:kern w:val="2"/>
      <w:sz w:val="21"/>
      <w:szCs w:val="24"/>
    </w:rPr>
  </w:style>
  <w:style w:type="character" w:customStyle="1" w:styleId="28">
    <w:name w:val="bjh-p"/>
    <w:basedOn w:val="19"/>
    <w:qFormat/>
    <w:uiPriority w:val="0"/>
  </w:style>
  <w:style w:type="character" w:customStyle="1" w:styleId="29">
    <w:name w:val="批注文字 Char"/>
    <w:link w:val="7"/>
    <w:qFormat/>
    <w:uiPriority w:val="0"/>
    <w:rPr>
      <w:kern w:val="2"/>
      <w:sz w:val="21"/>
      <w:szCs w:val="22"/>
    </w:rPr>
  </w:style>
  <w:style w:type="character" w:customStyle="1" w:styleId="30">
    <w:name w:val="页脚 Char"/>
    <w:link w:val="11"/>
    <w:qFormat/>
    <w:uiPriority w:val="99"/>
    <w:rPr>
      <w:sz w:val="18"/>
      <w:szCs w:val="18"/>
    </w:rPr>
  </w:style>
  <w:style w:type="character" w:customStyle="1" w:styleId="31">
    <w:name w:val="标题 1 Char"/>
    <w:link w:val="3"/>
    <w:qFormat/>
    <w:uiPriority w:val="9"/>
    <w:rPr>
      <w:b/>
      <w:bCs/>
      <w:kern w:val="44"/>
      <w:sz w:val="44"/>
      <w:szCs w:val="44"/>
    </w:rPr>
  </w:style>
  <w:style w:type="character" w:customStyle="1" w:styleId="32">
    <w:name w:val="标题 3 Char"/>
    <w:link w:val="5"/>
    <w:qFormat/>
    <w:uiPriority w:val="9"/>
    <w:rPr>
      <w:b/>
      <w:bCs/>
      <w:kern w:val="2"/>
      <w:sz w:val="32"/>
      <w:szCs w:val="32"/>
    </w:rPr>
  </w:style>
  <w:style w:type="character" w:customStyle="1" w:styleId="33">
    <w:name w:val="批注主题 Char"/>
    <w:link w:val="16"/>
    <w:semiHidden/>
    <w:qFormat/>
    <w:uiPriority w:val="99"/>
    <w:rPr>
      <w:b/>
      <w:bCs/>
      <w:kern w:val="2"/>
      <w:sz w:val="21"/>
      <w:szCs w:val="22"/>
    </w:rPr>
  </w:style>
  <w:style w:type="character" w:customStyle="1" w:styleId="34">
    <w:name w:val="标题 2 Char"/>
    <w:link w:val="4"/>
    <w:qFormat/>
    <w:uiPriority w:val="9"/>
    <w:rPr>
      <w:rFonts w:ascii="Cambria" w:hAnsi="Cambria" w:eastAsia="宋体" w:cs="Times New Roman"/>
      <w:b/>
      <w:bCs/>
      <w:kern w:val="2"/>
      <w:sz w:val="32"/>
      <w:szCs w:val="32"/>
    </w:rPr>
  </w:style>
  <w:style w:type="paragraph" w:customStyle="1" w:styleId="35">
    <w:name w:val="Char Char Char Char Char Char Char Char Char"/>
    <w:basedOn w:val="1"/>
    <w:qFormat/>
    <w:uiPriority w:val="0"/>
    <w:pPr>
      <w:widowControl/>
      <w:spacing w:after="160" w:line="240" w:lineRule="exact"/>
      <w:jc w:val="left"/>
    </w:pPr>
    <w:rPr>
      <w:rFonts w:ascii="Times New Roman" w:hAnsi="Times New Roman"/>
      <w:szCs w:val="20"/>
    </w:rPr>
  </w:style>
  <w:style w:type="paragraph" w:customStyle="1" w:styleId="36">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styleId="37">
    <w:name w:val="List Paragraph"/>
    <w:basedOn w:val="1"/>
    <w:qFormat/>
    <w:uiPriority w:val="34"/>
    <w:pPr>
      <w:ind w:firstLine="420" w:firstLineChars="200"/>
    </w:pPr>
  </w:style>
  <w:style w:type="paragraph" w:customStyle="1" w:styleId="38">
    <w:name w:val="WPSOffice手动目录 2"/>
    <w:qFormat/>
    <w:uiPriority w:val="0"/>
    <w:pPr>
      <w:ind w:left="200" w:leftChars="200"/>
    </w:pPr>
    <w:rPr>
      <w:rFonts w:ascii="Calibri" w:hAnsi="Calibri" w:eastAsia="宋体" w:cs="Times New Roman"/>
      <w:lang w:val="en-US" w:eastAsia="zh-CN" w:bidi="ar-SA"/>
    </w:rPr>
  </w:style>
  <w:style w:type="paragraph" w:customStyle="1" w:styleId="39">
    <w:name w:val="WPSOffice手动目录 1"/>
    <w:qFormat/>
    <w:uiPriority w:val="0"/>
    <w:rPr>
      <w:rFonts w:ascii="Calibri" w:hAnsi="Calibri" w:eastAsia="宋体" w:cs="Times New Roman"/>
      <w:lang w:val="en-US" w:eastAsia="zh-CN" w:bidi="ar-SA"/>
    </w:rPr>
  </w:style>
  <w:style w:type="character" w:customStyle="1" w:styleId="40">
    <w:name w:val="c-font-big"/>
    <w:qFormat/>
    <w:uiPriority w:val="0"/>
  </w:style>
  <w:style w:type="paragraph" w:customStyle="1" w:styleId="41">
    <w:name w:val="ztext-empty-paragraph"/>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2">
    <w:name w:val="hrefstyle"/>
    <w:basedOn w:val="19"/>
    <w:qFormat/>
    <w:uiPriority w:val="0"/>
  </w:style>
  <w:style w:type="character" w:customStyle="1" w:styleId="43">
    <w:name w:val="标题 4 Char"/>
    <w:link w:val="6"/>
    <w:qFormat/>
    <w:uiPriority w:val="9"/>
    <w:rPr>
      <w:rFonts w:ascii="Calibri Light" w:hAnsi="Calibri Light" w:eastAsia="宋体" w:cs="Times New Roman"/>
      <w:b/>
      <w:bCs/>
      <w:kern w:val="2"/>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3432</Words>
  <Characters>19567</Characters>
  <Lines>163</Lines>
  <Paragraphs>45</Paragraphs>
  <TotalTime>39</TotalTime>
  <ScaleCrop>false</ScaleCrop>
  <LinksUpToDate>false</LinksUpToDate>
  <CharactersWithSpaces>22954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2020-12-18T09:36:00Z</dcterms:created>
  <dc:creator>Administrator</dc:creator>
  <cp:lastModifiedBy>lawyer</cp:lastModifiedBy>
  <cp:lastPrinted>2021-06-18T02:08:00Z</cp:lastPrinted>
  <dcterms:modified xsi:type="dcterms:W3CDTF">2026-07-16T18:10:46Z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5620A7DB7A38423EBBEAE35EED4F6B3C</vt:lpwstr>
  </property>
</Properties>
</file>