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FD2F2">
      <w:pPr>
        <w:pStyle w:val="15"/>
        <w:ind w:firstLine="0" w:firstLineChars="0"/>
        <w:rPr>
          <w:color w:val="auto"/>
        </w:rPr>
      </w:pPr>
      <w:r>
        <w:rPr>
          <w:color w:val="auto"/>
        </w:rPr>
        <w:t>《</w:t>
      </w:r>
      <w:r>
        <w:rPr>
          <w:rFonts w:hint="eastAsia"/>
          <w:color w:val="auto"/>
        </w:rPr>
        <w:t>深圳市光明区科技创新“十五五”规划</w:t>
      </w:r>
    </w:p>
    <w:p w14:paraId="57348266">
      <w:pPr>
        <w:pStyle w:val="15"/>
        <w:ind w:firstLine="0" w:firstLineChars="0"/>
        <w:rPr>
          <w:color w:val="auto"/>
        </w:rPr>
      </w:pPr>
      <w:r>
        <w:rPr>
          <w:rFonts w:hint="eastAsia"/>
          <w:color w:val="auto"/>
        </w:rPr>
        <w:t>（征求意见稿）</w:t>
      </w:r>
      <w:r>
        <w:rPr>
          <w:color w:val="auto"/>
        </w:rPr>
        <w:t>》听证报告</w:t>
      </w:r>
    </w:p>
    <w:p w14:paraId="43D06E1B">
      <w:pPr>
        <w:ind w:firstLine="640"/>
        <w:rPr>
          <w:rFonts w:hint="eastAsia" w:ascii="仿宋_GB2312" w:hAnsi="仿宋_GB2312" w:cs="仿宋_GB2312"/>
          <w:color w:val="auto"/>
        </w:rPr>
      </w:pPr>
    </w:p>
    <w:p w14:paraId="21A51DB0">
      <w:pPr>
        <w:ind w:firstLine="640"/>
        <w:rPr>
          <w:rFonts w:hint="eastAsia" w:ascii="仿宋_GB2312" w:hAnsi="仿宋_GB2312" w:cs="仿宋_GB2312"/>
          <w:color w:val="auto"/>
        </w:rPr>
      </w:pPr>
      <w:r>
        <w:rPr>
          <w:rFonts w:hint="eastAsia" w:ascii="仿宋_GB2312" w:hAnsi="仿宋_GB2312" w:cs="仿宋_GB2312"/>
          <w:color w:val="auto"/>
        </w:rPr>
        <w:t>为促进科学、民主、依法决策，切实保障人民群众的知情权、参与权、表达权、监督权，根据《重大行政决策</w:t>
      </w:r>
      <w:bookmarkStart w:id="0" w:name="_GoBack"/>
      <w:bookmarkEnd w:id="0"/>
      <w:r>
        <w:rPr>
          <w:rFonts w:hint="eastAsia" w:ascii="仿宋_GB2312" w:hAnsi="仿宋_GB2312" w:cs="仿宋_GB2312"/>
          <w:color w:val="auto"/>
        </w:rPr>
        <w:t>程序暂行条例》《广东省重大行政决策听证规定》《深圳市行政听证办法》等规定，深圳市光明区科技创新局于2026年7月16日下午在深圳市光明区公共服务平台5楼</w:t>
      </w:r>
      <w:r>
        <w:rPr>
          <w:rFonts w:hint="eastAsia" w:ascii="仿宋_GB2312" w:hAnsi="仿宋_GB2312" w:cs="仿宋_GB2312"/>
          <w:color w:val="auto"/>
          <w:lang w:val="en-US" w:eastAsia="zh-CN"/>
        </w:rPr>
        <w:t>550</w:t>
      </w:r>
      <w:r>
        <w:rPr>
          <w:rFonts w:hint="eastAsia" w:ascii="仿宋_GB2312" w:hAnsi="仿宋_GB2312" w:cs="仿宋_GB2312"/>
          <w:color w:val="auto"/>
        </w:rPr>
        <w:t>会议室举行《深圳市光明区科技创新“十五五”规划（征求意见稿）》（以下简称《规划》）听证会。有关情况报告如下：</w:t>
      </w:r>
    </w:p>
    <w:p w14:paraId="22A67747">
      <w:pPr>
        <w:adjustRightInd/>
        <w:snapToGrid/>
        <w:ind w:firstLine="640"/>
        <w:jc w:val="left"/>
        <w:outlineLvl w:val="0"/>
        <w:rPr>
          <w:rFonts w:hint="eastAsia" w:ascii="黑体" w:hAnsi="黑体" w:eastAsia="黑体"/>
          <w:bCs/>
          <w:color w:val="auto"/>
          <w:szCs w:val="48"/>
        </w:rPr>
      </w:pPr>
      <w:r>
        <w:rPr>
          <w:rFonts w:hint="eastAsia" w:ascii="黑体" w:hAnsi="黑体" w:eastAsia="黑体"/>
          <w:bCs/>
          <w:color w:val="auto"/>
          <w:szCs w:val="48"/>
        </w:rPr>
        <w:t>一、听证会</w:t>
      </w:r>
      <w:r>
        <w:rPr>
          <w:rFonts w:hint="eastAsia" w:ascii="黑体" w:hAnsi="黑体" w:eastAsia="黑体"/>
          <w:bCs/>
          <w:color w:val="auto"/>
          <w:szCs w:val="48"/>
          <w:lang w:val="en-US" w:eastAsia="zh-CN"/>
        </w:rPr>
        <w:t>组织情况</w:t>
      </w:r>
    </w:p>
    <w:p w14:paraId="02E3E82A">
      <w:pPr>
        <w:ind w:firstLine="640"/>
        <w:rPr>
          <w:rFonts w:hint="eastAsia" w:ascii="仿宋_GB2312" w:hAnsi="仿宋_GB2312" w:cs="仿宋_GB2312"/>
          <w:color w:val="auto"/>
          <w:lang w:val="en-US" w:eastAsia="zh-CN"/>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一</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听证目的</w:t>
      </w:r>
    </w:p>
    <w:p w14:paraId="4AA6A94D">
      <w:pPr>
        <w:ind w:firstLine="640"/>
        <w:rPr>
          <w:rFonts w:hint="eastAsia" w:ascii="仿宋_GB2312" w:hAnsi="仿宋_GB2312" w:cs="仿宋_GB2312"/>
          <w:color w:val="auto"/>
          <w:lang w:eastAsia="zh-CN"/>
        </w:rPr>
      </w:pPr>
      <w:r>
        <w:rPr>
          <w:rFonts w:hint="eastAsia" w:ascii="仿宋_GB2312" w:hAnsi="仿宋_GB2312" w:cs="仿宋_GB2312"/>
          <w:color w:val="auto"/>
        </w:rPr>
        <w:t>为科学谋划</w:t>
      </w:r>
      <w:r>
        <w:rPr>
          <w:rFonts w:hint="eastAsia" w:ascii="仿宋_GB2312" w:hAnsi="仿宋_GB2312" w:cs="仿宋_GB2312"/>
          <w:color w:val="auto"/>
          <w:lang w:val="en-US" w:eastAsia="zh-CN"/>
        </w:rPr>
        <w:t>未来五年</w:t>
      </w:r>
      <w:r>
        <w:rPr>
          <w:rFonts w:hint="eastAsia" w:ascii="仿宋_GB2312" w:hAnsi="仿宋_GB2312" w:cs="仿宋_GB2312"/>
          <w:color w:val="auto"/>
        </w:rPr>
        <w:t>光明区</w:t>
      </w:r>
      <w:r>
        <w:rPr>
          <w:rFonts w:hint="eastAsia" w:ascii="仿宋_GB2312" w:hAnsi="仿宋_GB2312" w:cs="仿宋_GB2312"/>
          <w:color w:val="auto"/>
          <w:lang w:val="en-US" w:eastAsia="zh-CN"/>
        </w:rPr>
        <w:t>科技创新发展思路和方向</w:t>
      </w:r>
      <w:r>
        <w:rPr>
          <w:rFonts w:hint="eastAsia" w:ascii="仿宋_GB2312" w:hAnsi="仿宋_GB2312" w:cs="仿宋_GB2312"/>
          <w:color w:val="auto"/>
        </w:rPr>
        <w:t>，充分汇聚</w:t>
      </w:r>
      <w:r>
        <w:rPr>
          <w:rFonts w:hint="eastAsia" w:ascii="仿宋_GB2312" w:hAnsi="仿宋_GB2312" w:cs="仿宋_GB2312"/>
          <w:color w:val="auto"/>
          <w:lang w:val="en-US" w:eastAsia="zh-CN"/>
        </w:rPr>
        <w:t>职能部门</w:t>
      </w:r>
      <w:r>
        <w:rPr>
          <w:rFonts w:hint="eastAsia" w:ascii="仿宋_GB2312" w:hAnsi="仿宋_GB2312" w:cs="仿宋_GB2312"/>
          <w:color w:val="auto"/>
        </w:rPr>
        <w:t>、</w:t>
      </w:r>
      <w:r>
        <w:rPr>
          <w:rFonts w:hint="eastAsia" w:ascii="仿宋_GB2312" w:hAnsi="仿宋_GB2312" w:cs="仿宋_GB2312"/>
          <w:color w:val="auto"/>
          <w:lang w:val="en-US" w:eastAsia="zh-CN"/>
        </w:rPr>
        <w:t>科研单位、科技</w:t>
      </w:r>
      <w:r>
        <w:rPr>
          <w:rFonts w:hint="eastAsia" w:ascii="仿宋_GB2312" w:hAnsi="仿宋_GB2312" w:cs="仿宋_GB2312"/>
          <w:color w:val="auto"/>
        </w:rPr>
        <w:t>企业</w:t>
      </w:r>
      <w:r>
        <w:rPr>
          <w:rFonts w:hint="eastAsia" w:ascii="仿宋_GB2312" w:hAnsi="仿宋_GB2312" w:cs="仿宋_GB2312"/>
          <w:color w:val="auto"/>
          <w:lang w:val="en-US" w:eastAsia="zh-CN"/>
        </w:rPr>
        <w:t>等</w:t>
      </w:r>
      <w:r>
        <w:rPr>
          <w:rFonts w:hint="eastAsia" w:ascii="仿宋_GB2312" w:hAnsi="仿宋_GB2312" w:cs="仿宋_GB2312"/>
          <w:color w:val="auto"/>
        </w:rPr>
        <w:t>多方智慧，广泛</w:t>
      </w:r>
      <w:r>
        <w:rPr>
          <w:rFonts w:hint="eastAsia" w:ascii="仿宋_GB2312" w:hAnsi="仿宋_GB2312" w:cs="仿宋_GB2312"/>
          <w:color w:val="auto"/>
          <w:lang w:val="en-US" w:eastAsia="zh-CN"/>
        </w:rPr>
        <w:t>吸纳</w:t>
      </w:r>
      <w:r>
        <w:rPr>
          <w:rFonts w:hint="eastAsia" w:ascii="仿宋_GB2312" w:hAnsi="仿宋_GB2312" w:cs="仿宋_GB2312"/>
          <w:color w:val="auto"/>
        </w:rPr>
        <w:t>社会各界意见建议，切实增强规划的前瞻性、科学性与落地实效</w:t>
      </w:r>
      <w:r>
        <w:rPr>
          <w:rFonts w:hint="eastAsia" w:ascii="仿宋_GB2312" w:hAnsi="仿宋_GB2312" w:cs="仿宋_GB2312"/>
          <w:color w:val="auto"/>
          <w:lang w:eastAsia="zh-CN"/>
        </w:rPr>
        <w:t>。</w:t>
      </w:r>
    </w:p>
    <w:p w14:paraId="265F4D64">
      <w:pPr>
        <w:ind w:firstLine="640"/>
        <w:rPr>
          <w:rFonts w:hint="eastAsia" w:ascii="仿宋_GB2312" w:hAnsi="仿宋_GB2312" w:cs="仿宋_GB2312"/>
          <w:color w:val="auto"/>
          <w:lang w:val="en-US" w:eastAsia="zh-CN"/>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二</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听证依据</w:t>
      </w:r>
    </w:p>
    <w:p w14:paraId="65BBC4DA">
      <w:pPr>
        <w:ind w:firstLine="640"/>
        <w:rPr>
          <w:rFonts w:hint="eastAsia" w:ascii="仿宋_GB2312" w:hAnsi="仿宋_GB2312" w:eastAsia="仿宋_GB2312" w:cs="仿宋_GB2312"/>
          <w:color w:val="auto"/>
          <w:sz w:val="32"/>
          <w:szCs w:val="24"/>
          <w:lang w:eastAsia="zh-CN"/>
        </w:rPr>
      </w:pPr>
      <w:r>
        <w:rPr>
          <w:rFonts w:hint="eastAsia" w:ascii="仿宋_GB2312" w:hAnsi="仿宋_GB2312" w:eastAsia="仿宋_GB2312" w:cs="仿宋_GB2312"/>
          <w:color w:val="auto"/>
          <w:sz w:val="32"/>
          <w:szCs w:val="24"/>
        </w:rPr>
        <w:t>本次听证会依据《广东省重大行政决策程序规定》（粤府令第288号）、《广东省重大行政决策听证规定》（粤府令第303号）、《深圳市重大行政决策程序实施办法》（深府规〔2023〕2号）等有关规定组织开展。作为重大行政决策事项，《规划》的听证流程、参与人员构成均符合法定要求</w:t>
      </w:r>
      <w:r>
        <w:rPr>
          <w:rFonts w:hint="eastAsia" w:ascii="仿宋_GB2312" w:hAnsi="仿宋_GB2312" w:eastAsia="仿宋_GB2312" w:cs="仿宋_GB2312"/>
          <w:color w:val="auto"/>
          <w:sz w:val="32"/>
          <w:szCs w:val="24"/>
          <w:lang w:eastAsia="zh-CN"/>
        </w:rPr>
        <w:t>。</w:t>
      </w:r>
    </w:p>
    <w:p w14:paraId="74BC893E">
      <w:pPr>
        <w:ind w:firstLine="640"/>
        <w:rPr>
          <w:rFonts w:hint="eastAsia" w:ascii="仿宋_GB2312" w:hAnsi="仿宋_GB2312" w:eastAsia="仿宋_GB2312" w:cs="仿宋_GB2312"/>
          <w:color w:val="auto"/>
          <w:sz w:val="32"/>
          <w:szCs w:val="24"/>
          <w:lang w:eastAsia="zh-CN"/>
        </w:rPr>
      </w:pPr>
      <w:r>
        <w:rPr>
          <w:rFonts w:hint="eastAsia" w:ascii="仿宋_GB2312" w:hAnsi="仿宋_GB2312" w:eastAsia="仿宋_GB2312" w:cs="仿宋_GB2312"/>
          <w:color w:val="auto"/>
          <w:sz w:val="32"/>
          <w:szCs w:val="24"/>
          <w:lang w:eastAsia="zh-CN"/>
        </w:rPr>
        <w:t>（三）筹备与组织情况</w:t>
      </w:r>
    </w:p>
    <w:p w14:paraId="7756924D">
      <w:pPr>
        <w:ind w:firstLine="640"/>
        <w:rPr>
          <w:rFonts w:hint="eastAsia" w:ascii="仿宋_GB2312" w:hAnsi="仿宋_GB2312" w:cs="仿宋_GB2312"/>
          <w:color w:val="auto"/>
        </w:rPr>
      </w:pPr>
      <w:r>
        <w:rPr>
          <w:rFonts w:hint="eastAsia" w:ascii="仿宋_GB2312" w:hAnsi="仿宋_GB2312" w:cs="仿宋_GB2312"/>
          <w:b/>
          <w:bCs/>
          <w:color w:val="auto"/>
          <w:lang w:val="en-US" w:eastAsia="zh-CN"/>
        </w:rPr>
        <w:t>1.参与人员确定。</w:t>
      </w:r>
      <w:r>
        <w:rPr>
          <w:rFonts w:hint="eastAsia" w:ascii="仿宋_GB2312" w:hAnsi="仿宋_GB2312" w:cs="仿宋_GB2312"/>
          <w:color w:val="auto"/>
        </w:rPr>
        <w:t>本次听证会通过邀请、自愿报名产生听证会参与人员14名，其中听证主持人1人，深圳市光明区公职律师事务所李红彬；听证陈述人1人，深圳市光明区科技创新局政策规划科梅平；听证记录员1人，深圳市光明区科技创新局政策规划科袁璀</w:t>
      </w:r>
      <w:r>
        <w:rPr>
          <w:rFonts w:hint="eastAsia" w:ascii="仿宋_GB2312" w:hAnsi="仿宋_GB2312" w:eastAsia="仿宋_GB2312" w:cs="仿宋_GB2312"/>
          <w:color w:val="auto"/>
        </w:rPr>
        <w:t>霂</w:t>
      </w:r>
      <w:r>
        <w:rPr>
          <w:rFonts w:hint="eastAsia" w:ascii="仿宋_GB2312" w:hAnsi="仿宋_GB2312" w:cs="仿宋_GB2312"/>
          <w:color w:val="auto"/>
        </w:rPr>
        <w:t>；听证参加人</w:t>
      </w:r>
      <w:r>
        <w:rPr>
          <w:rFonts w:hint="eastAsia" w:ascii="仿宋_GB2312" w:hAnsi="仿宋_GB2312" w:cs="仿宋_GB2312"/>
          <w:color w:val="auto"/>
          <w:lang w:val="en-US" w:eastAsia="zh-CN"/>
        </w:rPr>
        <w:t>11人，</w:t>
      </w:r>
      <w:r>
        <w:rPr>
          <w:rFonts w:hint="eastAsia" w:ascii="仿宋_GB2312" w:hAnsi="仿宋_GB2312" w:cs="仿宋_GB2312"/>
          <w:color w:val="auto"/>
        </w:rPr>
        <w:t>分别为</w:t>
      </w:r>
      <w:r>
        <w:rPr>
          <w:rFonts w:hint="eastAsia" w:ascii="仿宋_GB2312" w:hAnsi="仿宋_GB2312" w:cs="仿宋_GB2312"/>
          <w:color w:val="auto"/>
          <w:lang w:val="en-US" w:eastAsia="zh-CN"/>
        </w:rPr>
        <w:t>光明</w:t>
      </w:r>
      <w:r>
        <w:rPr>
          <w:rFonts w:hint="eastAsia" w:ascii="仿宋_GB2312" w:hAnsi="仿宋_GB2312" w:cs="仿宋_GB2312"/>
          <w:color w:val="auto"/>
        </w:rPr>
        <w:t>区</w:t>
      </w:r>
      <w:r>
        <w:rPr>
          <w:rFonts w:hint="eastAsia" w:ascii="仿宋_GB2312" w:hAnsi="仿宋_GB2312" w:cs="仿宋_GB2312"/>
          <w:color w:val="auto"/>
          <w:lang w:val="en-US" w:eastAsia="zh-CN"/>
        </w:rPr>
        <w:t>委</w:t>
      </w:r>
      <w:r>
        <w:rPr>
          <w:rFonts w:hint="eastAsia" w:ascii="仿宋_GB2312" w:hAnsi="仿宋_GB2312" w:cs="仿宋_GB2312"/>
          <w:color w:val="auto"/>
        </w:rPr>
        <w:t>政策研究室於果、区发展改革局李士翔、区工业和信息化局陈静、深圳市光明区华农现代农业研究院王伟峰、南方科技大学光明高等研究院刘如景、深圳脑科学技术产业创新中心连红玲、深圳虹信生物科技有限公司王亚民、深圳深信生物科技有限公司季青、深圳市科曼医疗设备有限公司何彬、深圳市科曼医疗设备有限公司陈志忠、深圳市名洋能源科技有限公司香镇财。</w:t>
      </w:r>
    </w:p>
    <w:p w14:paraId="2B1068AE">
      <w:pPr>
        <w:ind w:firstLine="640"/>
        <w:rPr>
          <w:rFonts w:hint="eastAsia" w:ascii="仿宋_GB2312" w:hAnsi="仿宋_GB2312" w:cs="仿宋_GB2312"/>
          <w:color w:val="auto"/>
        </w:rPr>
      </w:pPr>
      <w:r>
        <w:rPr>
          <w:rFonts w:hint="eastAsia" w:ascii="仿宋_GB2312" w:hAnsi="仿宋_GB2312" w:cs="仿宋_GB2312"/>
          <w:b/>
          <w:bCs/>
          <w:color w:val="auto"/>
          <w:lang w:val="en-US" w:eastAsia="zh-CN"/>
        </w:rPr>
        <w:t>2.会议准备。</w:t>
      </w:r>
      <w:r>
        <w:rPr>
          <w:rFonts w:hint="eastAsia" w:ascii="仿宋_GB2312" w:hAnsi="仿宋_GB2312" w:cs="仿宋_GB2312"/>
          <w:color w:val="auto"/>
          <w:lang w:val="en-US" w:eastAsia="zh-CN"/>
        </w:rPr>
        <w:t>光明</w:t>
      </w:r>
      <w:r>
        <w:rPr>
          <w:rFonts w:hint="eastAsia" w:ascii="仿宋_GB2312" w:hAnsi="仿宋_GB2312" w:cs="仿宋_GB2312"/>
          <w:color w:val="auto"/>
        </w:rPr>
        <w:t>区</w:t>
      </w:r>
      <w:r>
        <w:rPr>
          <w:rFonts w:hint="eastAsia" w:ascii="仿宋_GB2312" w:hAnsi="仿宋_GB2312" w:cs="仿宋_GB2312"/>
          <w:color w:val="auto"/>
          <w:lang w:val="en-US" w:eastAsia="zh-CN"/>
        </w:rPr>
        <w:t>科技创新</w:t>
      </w:r>
      <w:r>
        <w:rPr>
          <w:rFonts w:hint="eastAsia" w:ascii="仿宋_GB2312" w:hAnsi="仿宋_GB2312" w:cs="仿宋_GB2312"/>
          <w:color w:val="auto"/>
        </w:rPr>
        <w:t>局于</w:t>
      </w:r>
      <w:r>
        <w:rPr>
          <w:rFonts w:hint="eastAsia" w:ascii="仿宋_GB2312" w:hAnsi="仿宋_GB2312" w:cs="仿宋_GB2312"/>
          <w:color w:val="auto"/>
          <w:lang w:val="en-US" w:eastAsia="zh-CN"/>
        </w:rPr>
        <w:t>2026</w:t>
      </w:r>
      <w:r>
        <w:rPr>
          <w:rFonts w:hint="eastAsia" w:ascii="仿宋_GB2312" w:hAnsi="仿宋_GB2312" w:cs="仿宋_GB2312"/>
          <w:color w:val="auto"/>
          <w:highlight w:val="none"/>
          <w:lang w:val="en-US" w:eastAsia="zh-CN"/>
        </w:rPr>
        <w:t>年</w:t>
      </w:r>
      <w:r>
        <w:rPr>
          <w:rFonts w:hint="eastAsia" w:ascii="仿宋_GB2312" w:hAnsi="仿宋_GB2312" w:cs="仿宋_GB2312"/>
          <w:color w:val="auto"/>
          <w:highlight w:val="none"/>
        </w:rPr>
        <w:t>7月</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日</w:t>
      </w:r>
      <w:r>
        <w:rPr>
          <w:rFonts w:hint="eastAsia" w:ascii="仿宋_GB2312" w:hAnsi="仿宋_GB2312" w:cs="仿宋_GB2312"/>
          <w:color w:val="auto"/>
          <w:highlight w:val="none"/>
          <w:lang w:val="en-US" w:eastAsia="zh-CN"/>
        </w:rPr>
        <w:t>在区政府在线公布了听证会参与人员名单，并于</w:t>
      </w:r>
      <w:r>
        <w:rPr>
          <w:rFonts w:hint="eastAsia" w:ascii="仿宋_GB2312" w:hAnsi="仿宋_GB2312" w:cs="仿宋_GB2312"/>
          <w:color w:val="auto"/>
          <w:highlight w:val="none"/>
        </w:rPr>
        <w:t>7月</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日向</w:t>
      </w:r>
      <w:r>
        <w:rPr>
          <w:rFonts w:hint="eastAsia" w:ascii="仿宋_GB2312" w:hAnsi="仿宋_GB2312" w:cs="仿宋_GB2312"/>
          <w:color w:val="auto"/>
          <w:highlight w:val="none"/>
          <w:lang w:val="en-US" w:eastAsia="zh-CN"/>
        </w:rPr>
        <w:t>听证主持人和</w:t>
      </w:r>
      <w:r>
        <w:rPr>
          <w:rFonts w:hint="eastAsia" w:ascii="仿宋_GB2312" w:hAnsi="仿宋_GB2312" w:cs="仿宋_GB2312"/>
          <w:color w:val="auto"/>
          <w:highlight w:val="none"/>
        </w:rPr>
        <w:t>听证参与人员送达了听证会邀请函</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规划》</w:t>
      </w:r>
      <w:r>
        <w:rPr>
          <w:rFonts w:hint="eastAsia" w:ascii="仿宋_GB2312" w:hAnsi="仿宋_GB2312" w:cs="仿宋_GB2312"/>
          <w:color w:val="auto"/>
          <w:lang w:val="en-US" w:eastAsia="zh-CN"/>
        </w:rPr>
        <w:t>等</w:t>
      </w:r>
      <w:r>
        <w:rPr>
          <w:rFonts w:hint="eastAsia" w:ascii="仿宋_GB2312" w:hAnsi="仿宋_GB2312" w:cs="仿宋_GB2312"/>
          <w:color w:val="auto"/>
        </w:rPr>
        <w:t>相关资料，为参会代表提前熟悉听证事项、准备专业意见预留充足时间。同时，提前落实听证会场，明确听证纪律、参与人员权利义务及听证会完整流程，确保听证会有序推进。</w:t>
      </w:r>
    </w:p>
    <w:p w14:paraId="008DD79E">
      <w:pPr>
        <w:ind w:firstLine="640"/>
        <w:rPr>
          <w:rFonts w:hint="eastAsia" w:ascii="仿宋_GB2312" w:hAnsi="仿宋_GB2312" w:cs="仿宋_GB2312"/>
          <w:color w:val="auto"/>
        </w:rPr>
      </w:pPr>
      <w:r>
        <w:rPr>
          <w:rFonts w:hint="eastAsia" w:ascii="仿宋_GB2312" w:hAnsi="仿宋_GB2312" w:cs="仿宋_GB2312"/>
          <w:b/>
          <w:bCs/>
          <w:color w:val="auto"/>
          <w:lang w:val="en-US" w:eastAsia="zh-CN"/>
        </w:rPr>
        <w:t>3.参会情况。</w:t>
      </w:r>
      <w:r>
        <w:rPr>
          <w:rFonts w:hint="eastAsia" w:ascii="仿宋_GB2312" w:hAnsi="仿宋_GB2312" w:cs="仿宋_GB2312"/>
          <w:color w:val="auto"/>
        </w:rPr>
        <w:t>本次听证会应到听证参与人14人，实到</w:t>
      </w:r>
      <w:r>
        <w:rPr>
          <w:rFonts w:hint="eastAsia" w:ascii="仿宋_GB2312" w:hAnsi="仿宋_GB2312" w:cs="仿宋_GB2312"/>
          <w:color w:val="auto"/>
          <w:lang w:val="en-US" w:eastAsia="zh-CN"/>
        </w:rPr>
        <w:t>14</w:t>
      </w:r>
      <w:r>
        <w:rPr>
          <w:rFonts w:hint="eastAsia" w:ascii="仿宋_GB2312" w:hAnsi="仿宋_GB2312" w:cs="仿宋_GB2312"/>
          <w:color w:val="auto"/>
        </w:rPr>
        <w:t>人，本次听证会符合规定，会议如期举行。在听证会上，听证主持人规范引导会议进程</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听证陈述人如实</w:t>
      </w:r>
      <w:r>
        <w:rPr>
          <w:rFonts w:hint="eastAsia" w:ascii="仿宋_GB2312" w:hAnsi="仿宋_GB2312" w:cs="仿宋_GB2312"/>
          <w:color w:val="auto"/>
        </w:rPr>
        <w:t>陈述了</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规划》编制情况，</w:t>
      </w:r>
      <w:r>
        <w:rPr>
          <w:rFonts w:hint="eastAsia" w:ascii="仿宋_GB2312" w:hAnsi="仿宋_GB2312" w:cs="仿宋_GB2312"/>
          <w:color w:val="auto"/>
        </w:rPr>
        <w:t>听证</w:t>
      </w:r>
      <w:r>
        <w:rPr>
          <w:rFonts w:hint="eastAsia" w:ascii="仿宋_GB2312" w:hAnsi="仿宋_GB2312" w:cs="仿宋_GB2312"/>
          <w:color w:val="auto"/>
          <w:lang w:val="en-US" w:eastAsia="zh-CN"/>
        </w:rPr>
        <w:t>参加人</w:t>
      </w:r>
      <w:r>
        <w:rPr>
          <w:rFonts w:hint="eastAsia" w:ascii="仿宋_GB2312" w:hAnsi="仿宋_GB2312" w:cs="仿宋_GB2312"/>
          <w:color w:val="auto"/>
        </w:rPr>
        <w:t>围绕</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规划》充分</w:t>
      </w:r>
      <w:r>
        <w:rPr>
          <w:rFonts w:hint="eastAsia" w:ascii="仿宋_GB2312" w:hAnsi="仿宋_GB2312" w:cs="仿宋_GB2312"/>
          <w:color w:val="auto"/>
        </w:rPr>
        <w:t>发表意见</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听证</w:t>
      </w:r>
      <w:r>
        <w:rPr>
          <w:rFonts w:hint="eastAsia" w:ascii="仿宋_GB2312" w:hAnsi="仿宋_GB2312" w:cs="仿宋_GB2312"/>
          <w:color w:val="auto"/>
        </w:rPr>
        <w:t>记录员全面、准确记录各方观点，听证程序合法、环节完整。</w:t>
      </w:r>
    </w:p>
    <w:p w14:paraId="7EA1C0F6">
      <w:pPr>
        <w:adjustRightInd/>
        <w:snapToGrid/>
        <w:ind w:firstLine="640"/>
        <w:jc w:val="left"/>
        <w:outlineLvl w:val="0"/>
        <w:rPr>
          <w:rFonts w:hint="eastAsia" w:ascii="黑体" w:hAnsi="黑体" w:eastAsia="黑体"/>
          <w:bCs/>
          <w:color w:val="auto"/>
          <w:szCs w:val="48"/>
        </w:rPr>
      </w:pPr>
      <w:r>
        <w:rPr>
          <w:rFonts w:hint="eastAsia" w:ascii="黑体" w:hAnsi="黑体" w:eastAsia="黑体"/>
          <w:bCs/>
          <w:color w:val="auto"/>
          <w:szCs w:val="48"/>
          <w:lang w:val="en-US" w:eastAsia="zh-CN"/>
        </w:rPr>
        <w:t>二</w:t>
      </w:r>
      <w:r>
        <w:rPr>
          <w:rFonts w:hint="eastAsia" w:ascii="黑体" w:hAnsi="黑体" w:eastAsia="黑体"/>
          <w:bCs/>
          <w:color w:val="auto"/>
          <w:szCs w:val="48"/>
        </w:rPr>
        <w:t>、听证陈述人陈述有关基本情况</w:t>
      </w:r>
    </w:p>
    <w:p w14:paraId="1C6ACBAD">
      <w:pPr>
        <w:ind w:firstLine="640"/>
        <w:rPr>
          <w:color w:val="auto"/>
        </w:rPr>
      </w:pPr>
      <w:r>
        <w:rPr>
          <w:rFonts w:hint="eastAsia"/>
          <w:color w:val="auto"/>
        </w:rPr>
        <w:t>（一）《规划》起草背景和编制依据</w:t>
      </w:r>
    </w:p>
    <w:p w14:paraId="6BA0CAAF">
      <w:pPr>
        <w:ind w:firstLine="640"/>
        <w:rPr>
          <w:rFonts w:hint="eastAsia"/>
          <w:color w:val="auto"/>
        </w:rPr>
      </w:pPr>
      <w:r>
        <w:rPr>
          <w:rFonts w:hint="eastAsia"/>
          <w:color w:val="auto"/>
        </w:rPr>
        <w:t>第一，关于起草背景。《中华人民共和国国民经济和社会发展第十五个五年规划纲要》将“加快高水平科技自立自强 引领发展新质生产力”作为核心任务部署。光明科学城作为大湾区综合性国家科学中心先行启动区，肩负着助力国家实现高水平科技自立自强的历史使命。“十五五”期间，光明科学城建设迈入创新能级全面跃升、科技成果加速涌现的新阶段，更需加强规划引领、明确发展目标、优化资源配置，提升创新体系整体效能，推动科技创新和产业创新深度融合，因地制宜发展新质生产力，为实现高水平科技自立自强</w:t>
      </w:r>
      <w:r>
        <w:rPr>
          <w:rFonts w:hint="eastAsia"/>
          <w:color w:val="auto"/>
          <w:lang w:eastAsia="zh-CN"/>
        </w:rPr>
        <w:t>作出</w:t>
      </w:r>
      <w:r>
        <w:rPr>
          <w:rFonts w:hint="eastAsia"/>
          <w:color w:val="auto"/>
        </w:rPr>
        <w:t>光明贡献。</w:t>
      </w:r>
    </w:p>
    <w:p w14:paraId="128C8500">
      <w:pPr>
        <w:ind w:firstLine="640"/>
        <w:rPr>
          <w:rFonts w:hint="eastAsia"/>
          <w:color w:val="auto"/>
        </w:rPr>
      </w:pPr>
      <w:r>
        <w:rPr>
          <w:rFonts w:hint="eastAsia"/>
          <w:color w:val="auto"/>
        </w:rPr>
        <w:t>第二，关于编制依据。依据《中华人民共和国国民经济和社会发展第十五个五年规划纲要》《广东省国民经济和社会发展第十五个五年规划纲要》《深圳市国民经济和社会发展第十五个五年规划纲要》《深圳市科技创新“十五五”规划》《深圳市光明区国民经济和社会发展第十五个五年规划纲要》等文件，编制《规划》。</w:t>
      </w:r>
    </w:p>
    <w:p w14:paraId="33D71A5B">
      <w:pPr>
        <w:ind w:firstLine="640"/>
        <w:rPr>
          <w:rFonts w:hint="eastAsia"/>
          <w:color w:val="auto"/>
        </w:rPr>
      </w:pPr>
      <w:r>
        <w:rPr>
          <w:rFonts w:hint="eastAsia"/>
          <w:color w:val="auto"/>
        </w:rPr>
        <w:t>第三，关于编制历程。光明区科技创新局高标准编制《规划》，经过调研走访、专家座谈、规划衔接、对标互鉴、征求意见、修改完善等多个阶段，已完成专家论证并开展风险评估，</w:t>
      </w:r>
      <w:r>
        <w:rPr>
          <w:rFonts w:hint="eastAsia"/>
          <w:color w:val="auto"/>
          <w:lang w:val="en-US" w:eastAsia="zh-CN"/>
        </w:rPr>
        <w:t>充分吸纳了市区相关部门、专家、社会公众意见建议，</w:t>
      </w:r>
      <w:r>
        <w:rPr>
          <w:rFonts w:hint="eastAsia"/>
          <w:color w:val="auto"/>
        </w:rPr>
        <w:t>形成了当前的《规划》征求意见稿。</w:t>
      </w:r>
    </w:p>
    <w:p w14:paraId="0870DE69">
      <w:pPr>
        <w:ind w:firstLine="640"/>
        <w:rPr>
          <w:color w:val="auto"/>
        </w:rPr>
      </w:pPr>
      <w:r>
        <w:rPr>
          <w:rFonts w:hint="eastAsia"/>
          <w:color w:val="auto"/>
        </w:rPr>
        <w:t>第四，关于主要内容。《规划》全篇共八个章节，第一章“发展基础与面临形势”，全面总结“十四五”时期全区科技创新成效基础，分析研判未来五年外部环境趋势。第二章“总体要求”，明确规划的指导思想、发展原则、发展目标和主要指标。第三章至第七章为五项重点任务，分别为“锻造国家战略科技力量，建设具有全球影响力的科学中心”“加强原始创新和关键核心技术攻关，增强自主创新能力”“加快科技成果高效转化应用，培育壮大新质生产力”“强化企业科技创新主体地位，建设现代化产业体系”“深入推进科技创新体制机制改革，营造开放创新生态”。第八章“保障举措”，建立规划实施保障体系，确保高质量完成各项任务。</w:t>
      </w:r>
    </w:p>
    <w:p w14:paraId="00791D32">
      <w:pPr>
        <w:adjustRightInd/>
        <w:snapToGrid/>
        <w:ind w:firstLine="640"/>
        <w:jc w:val="left"/>
        <w:outlineLvl w:val="0"/>
        <w:rPr>
          <w:rFonts w:ascii="黑体" w:hAnsi="黑体" w:eastAsia="黑体"/>
          <w:bCs/>
          <w:color w:val="auto"/>
          <w:szCs w:val="48"/>
        </w:rPr>
      </w:pPr>
      <w:r>
        <w:rPr>
          <w:rFonts w:hint="eastAsia" w:ascii="黑体" w:hAnsi="黑体" w:eastAsia="黑体"/>
          <w:bCs/>
          <w:color w:val="auto"/>
          <w:szCs w:val="48"/>
          <w:lang w:val="en-US" w:eastAsia="zh-CN"/>
        </w:rPr>
        <w:t>三</w:t>
      </w:r>
      <w:r>
        <w:rPr>
          <w:rFonts w:ascii="黑体" w:hAnsi="黑体" w:eastAsia="黑体"/>
          <w:bCs/>
          <w:color w:val="auto"/>
          <w:szCs w:val="48"/>
        </w:rPr>
        <w:t>、听证参加人陈述其提出的意见和建议</w:t>
      </w:r>
    </w:p>
    <w:p w14:paraId="0230AF7B">
      <w:pPr>
        <w:ind w:firstLine="640"/>
        <w:rPr>
          <w:rFonts w:hint="eastAsia" w:ascii="仿宋_GB2312" w:hAnsi="仿宋_GB2312" w:cs="仿宋_GB2312"/>
          <w:color w:val="auto"/>
          <w:lang w:val="en-US" w:eastAsia="zh-CN"/>
        </w:rPr>
      </w:pPr>
      <w:r>
        <w:rPr>
          <w:rFonts w:hint="eastAsia" w:ascii="仿宋_GB2312" w:hAnsi="仿宋_GB2312" w:cs="仿宋_GB2312"/>
          <w:color w:val="auto"/>
          <w:lang w:val="en-US" w:eastAsia="zh-CN"/>
        </w:rPr>
        <w:t>听证参加人围绕《规划》有关内容提出意见或建议，经逐条梳理、分类归纳，形成8条核心意见如下：</w:t>
      </w:r>
    </w:p>
    <w:p w14:paraId="0F0AA8C3">
      <w:pPr>
        <w:ind w:firstLine="640"/>
        <w:rPr>
          <w:rFonts w:hint="eastAsia" w:ascii="仿宋_GB2312" w:hAnsi="仿宋_GB2312" w:eastAsia="仿宋_GB2312" w:cs="仿宋_GB2312"/>
          <w:color w:val="auto"/>
          <w:lang w:val="en-US" w:eastAsia="zh-CN"/>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一</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关于科技转化类指标设置的建议。目前指标体系关注创新主体数量、研发投入强度和专利产出等维度，建议可以增加概念验证中心、中小试基地等载体指标，补齐科技成果从中小试研发到产业化量产关键节点。</w:t>
      </w:r>
    </w:p>
    <w:p w14:paraId="3F59F6ED">
      <w:pPr>
        <w:ind w:firstLine="640"/>
        <w:rPr>
          <w:rFonts w:hint="eastAsia"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二</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关于产业专栏项目的建议。目前产业体系章节设置了项目专栏，这些项目聚焦的是什么方面，是否聚焦科技创新方面。</w:t>
      </w:r>
    </w:p>
    <w:p w14:paraId="5BCEA539">
      <w:pPr>
        <w:ind w:firstLine="643"/>
        <w:rPr>
          <w:rFonts w:hint="eastAsia"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三</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关于科研平台内容的建议。目前《规划》已有较多深圳理工大学、</w:t>
      </w:r>
      <w:r>
        <w:rPr>
          <w:rFonts w:hint="eastAsia" w:ascii="仿宋_GB2312" w:hAnsi="仿宋_GB2312" w:eastAsia="仿宋_GB2312" w:cs="仿宋_GB2312"/>
          <w:color w:val="auto"/>
          <w:sz w:val="32"/>
          <w:szCs w:val="32"/>
        </w:rPr>
        <w:t>中山大学·深圳</w:t>
      </w:r>
      <w:r>
        <w:rPr>
          <w:rFonts w:hint="eastAsia" w:ascii="仿宋_GB2312" w:hAnsi="仿宋_GB2312" w:cs="仿宋_GB2312"/>
          <w:color w:val="auto"/>
          <w:lang w:val="en-US" w:eastAsia="zh-CN"/>
        </w:rPr>
        <w:t>两所高校的相关内容，其他科研院所如深圳市光明区华农现代农业研究院相关布局建议补充强化，建议补充智慧农业和宠物经济相关内容。</w:t>
      </w:r>
    </w:p>
    <w:p w14:paraId="6F9E2438">
      <w:pPr>
        <w:ind w:firstLine="643"/>
        <w:rPr>
          <w:rFonts w:hint="eastAsia"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四</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关于国际大科学计划的建议。前期政策研讨中已提出对国际大科学计划的支持，建议在《规划》中体现。</w:t>
      </w:r>
    </w:p>
    <w:p w14:paraId="1A31FC5E">
      <w:pPr>
        <w:ind w:firstLine="643"/>
        <w:rPr>
          <w:rFonts w:hint="eastAsia"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五</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生物医药领域布局的建议。建议一是重点关注体内CAR-T发展方向，目前全球相关BD交易额已经有几百亿美元，希望后续生命科学领域锚定这一关键方向，作为光明区未来生物医药突破的重要支点。二是目前企业主要合作的CRO/CDMO及医院资源集中在江浙地区，建议光明区加强相关资源布局及联动协同。三是推动区内医院面向企业开放临床研究资源，加大临床团队人才引进力度。四是加大对区内生物医药企业的算力训力支持，助力研究开发。</w:t>
      </w:r>
    </w:p>
    <w:p w14:paraId="58FABD60">
      <w:pPr>
        <w:ind w:firstLine="643"/>
        <w:rPr>
          <w:rFonts w:hint="eastAsia"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六</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关于科研设施仪器共享的建议。建议通过门户网站开放共享重大科技基础设施、重大科研仪器等科创资源。</w:t>
      </w:r>
    </w:p>
    <w:p w14:paraId="38804431">
      <w:pPr>
        <w:ind w:firstLine="643"/>
        <w:rPr>
          <w:rFonts w:hint="eastAsia" w:ascii="仿宋_GB2312" w:hAnsi="仿宋_GB2312" w:cs="仿宋_GB2312"/>
          <w:color w:val="auto"/>
          <w:lang w:val="en-US" w:eastAsia="zh-CN"/>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七）关于支持中小企业培育孵化的建议。目前龙头企业已经依托中小试平台开展关联企业孵化转化的相关工作，建议加强中小企业的培育扶持。</w:t>
      </w:r>
    </w:p>
    <w:p w14:paraId="1A5CA7F5">
      <w:pPr>
        <w:ind w:firstLine="640"/>
        <w:rPr>
          <w:rFonts w:hint="eastAsia" w:ascii="仿宋_GB2312" w:hAnsi="仿宋_GB2312" w:cs="仿宋_GB2312"/>
          <w:color w:val="auto"/>
        </w:rPr>
      </w:pPr>
      <w:r>
        <w:rPr>
          <w:rFonts w:hint="eastAsia" w:ascii="仿宋_GB2312" w:hAnsi="仿宋_GB2312" w:cs="仿宋_GB2312"/>
          <w:color w:val="auto"/>
          <w:lang w:eastAsia="zh-CN"/>
        </w:rPr>
        <w:t>（</w:t>
      </w:r>
      <w:r>
        <w:rPr>
          <w:rFonts w:hint="eastAsia" w:ascii="仿宋_GB2312" w:hAnsi="仿宋_GB2312" w:cs="仿宋_GB2312"/>
          <w:color w:val="auto"/>
          <w:lang w:val="en-US" w:eastAsia="zh-CN"/>
        </w:rPr>
        <w:t>八</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关于总规衔接的建议。建议相关指标、项目和表述与总规进行衔接，保持一致。</w:t>
      </w:r>
    </w:p>
    <w:p w14:paraId="509C08B4">
      <w:pPr>
        <w:adjustRightInd/>
        <w:snapToGrid/>
        <w:ind w:firstLine="643"/>
        <w:jc w:val="left"/>
        <w:outlineLvl w:val="9"/>
        <w:rPr>
          <w:rFonts w:hint="eastAsia" w:ascii="黑体" w:hAnsi="黑体" w:eastAsia="黑体"/>
          <w:bCs/>
          <w:color w:val="auto"/>
          <w:szCs w:val="48"/>
          <w:lang w:val="en-US" w:eastAsia="zh-CN"/>
        </w:rPr>
      </w:pPr>
      <w:r>
        <w:rPr>
          <w:rFonts w:hint="eastAsia" w:ascii="黑体" w:hAnsi="黑体" w:eastAsia="黑体"/>
          <w:bCs/>
          <w:color w:val="auto"/>
          <w:szCs w:val="48"/>
          <w:lang w:val="en-US" w:eastAsia="zh-CN"/>
        </w:rPr>
        <w:t>四、听证会争论的主要问题</w:t>
      </w:r>
    </w:p>
    <w:p w14:paraId="195C0DAF">
      <w:pPr>
        <w:ind w:firstLine="643"/>
        <w:rPr>
          <w:rFonts w:hint="eastAsia"/>
          <w:color w:val="auto"/>
        </w:rPr>
      </w:pPr>
      <w:r>
        <w:rPr>
          <w:rFonts w:hint="eastAsia"/>
          <w:color w:val="auto"/>
        </w:rPr>
        <w:t>无争论性问题。</w:t>
      </w:r>
    </w:p>
    <w:p w14:paraId="4BEB40C6">
      <w:pPr>
        <w:adjustRightInd/>
        <w:snapToGrid/>
        <w:ind w:firstLine="640"/>
        <w:jc w:val="left"/>
        <w:outlineLvl w:val="0"/>
        <w:rPr>
          <w:rFonts w:ascii="黑体" w:hAnsi="黑体" w:eastAsia="黑体"/>
          <w:bCs/>
          <w:color w:val="auto"/>
          <w:szCs w:val="48"/>
        </w:rPr>
      </w:pPr>
      <w:r>
        <w:rPr>
          <w:rFonts w:hint="eastAsia" w:ascii="黑体" w:hAnsi="黑体" w:eastAsia="黑体"/>
          <w:bCs/>
          <w:color w:val="auto"/>
          <w:szCs w:val="48"/>
          <w:lang w:val="en-US" w:eastAsia="zh-CN"/>
        </w:rPr>
        <w:t>五、</w:t>
      </w:r>
      <w:r>
        <w:rPr>
          <w:rFonts w:ascii="黑体" w:hAnsi="黑体" w:eastAsia="黑体"/>
          <w:bCs/>
          <w:color w:val="auto"/>
          <w:szCs w:val="48"/>
        </w:rPr>
        <w:t>听证陈述人对听证参加人的意见以及建议予以回应情况</w:t>
      </w:r>
    </w:p>
    <w:p w14:paraId="37ABB61F">
      <w:pPr>
        <w:ind w:firstLine="643"/>
        <w:rPr>
          <w:rFonts w:hint="eastAsia" w:ascii="仿宋_GB2312" w:hAnsi="仿宋_GB2312" w:cs="仿宋_GB2312"/>
          <w:color w:val="auto"/>
          <w:lang w:val="en-US" w:eastAsia="zh-CN"/>
        </w:rPr>
      </w:pPr>
      <w:r>
        <w:rPr>
          <w:rFonts w:hint="eastAsia" w:ascii="仿宋_GB2312" w:hAnsi="仿宋_GB2312" w:cs="仿宋_GB2312"/>
          <w:color w:val="auto"/>
          <w:lang w:val="en-US" w:eastAsia="zh-CN"/>
        </w:rPr>
        <w:t>针对上述</w:t>
      </w:r>
      <w:r>
        <w:rPr>
          <w:rFonts w:hint="eastAsia" w:ascii="仿宋_GB2312" w:hAnsi="仿宋_GB2312" w:cs="仿宋_GB2312"/>
          <w:color w:val="auto"/>
        </w:rPr>
        <w:t>问题</w:t>
      </w:r>
      <w:r>
        <w:rPr>
          <w:rFonts w:hint="eastAsia" w:ascii="仿宋_GB2312" w:hAnsi="仿宋_GB2312" w:cs="仿宋_GB2312"/>
          <w:color w:val="auto"/>
          <w:lang w:eastAsia="zh-CN"/>
        </w:rPr>
        <w:t>，</w:t>
      </w:r>
      <w:r>
        <w:rPr>
          <w:rFonts w:hint="eastAsia" w:ascii="仿宋_GB2312" w:hAnsi="仿宋_GB2312" w:cs="仿宋_GB2312"/>
          <w:color w:val="auto"/>
          <w:lang w:val="en-US" w:eastAsia="zh-CN"/>
        </w:rPr>
        <w:t>听证陈述人在听证会上进行了回应，回应内容如下：</w:t>
      </w:r>
    </w:p>
    <w:p w14:paraId="72A108BF">
      <w:pPr>
        <w:ind w:firstLine="643"/>
        <w:rPr>
          <w:rFonts w:hint="eastAsia" w:ascii="仿宋_GB2312" w:hAnsi="仿宋_GB2312" w:cs="仿宋_GB2312"/>
          <w:color w:val="auto"/>
          <w:lang w:val="en-US" w:eastAsia="zh-CN"/>
        </w:rPr>
      </w:pPr>
      <w:r>
        <w:rPr>
          <w:rFonts w:hint="eastAsia" w:ascii="仿宋_GB2312" w:hAnsi="仿宋_GB2312" w:cs="仿宋_GB2312"/>
          <w:color w:val="auto"/>
          <w:lang w:val="en-US" w:eastAsia="zh-CN"/>
        </w:rPr>
        <w:t>（一）关于科技转化类指标设置的建议。目前设置的市级以上科技创新平台已包含市级以上认定的概念验证中心、中小试基地等，因此不单设此类载体指标。</w:t>
      </w:r>
    </w:p>
    <w:p w14:paraId="5F0EBD63">
      <w:pPr>
        <w:ind w:firstLine="643"/>
        <w:rPr>
          <w:rFonts w:hint="eastAsia" w:ascii="仿宋_GB2312" w:hAnsi="仿宋_GB2312" w:cs="仿宋_GB2312"/>
          <w:color w:val="auto"/>
          <w:lang w:val="en-US" w:eastAsia="zh-CN"/>
        </w:rPr>
      </w:pPr>
      <w:r>
        <w:rPr>
          <w:rFonts w:hint="eastAsia" w:ascii="仿宋_GB2312" w:hAnsi="仿宋_GB2312" w:cs="仿宋_GB2312"/>
          <w:color w:val="auto"/>
          <w:lang w:val="en-US" w:eastAsia="zh-CN"/>
        </w:rPr>
        <w:t>（二）关于产业专栏项目的建议。专栏中的产业项目，目前主要梳理了研发属性强的产业项目，体现科技创新属性，如赛桥生物一站式细胞药物智造平台、粒影生物AI+生物制造中试平台，以扩建厂房为主的制造类产业项目不在其中列出。</w:t>
      </w:r>
    </w:p>
    <w:p w14:paraId="2265F115">
      <w:pPr>
        <w:ind w:firstLine="643"/>
        <w:rPr>
          <w:rFonts w:hint="eastAsia" w:ascii="仿宋_GB2312" w:hAnsi="仿宋_GB2312" w:cs="仿宋_GB2312"/>
          <w:color w:val="auto"/>
          <w:lang w:val="en-US" w:eastAsia="zh-CN"/>
        </w:rPr>
      </w:pPr>
      <w:r>
        <w:rPr>
          <w:rFonts w:hint="eastAsia" w:ascii="仿宋_GB2312" w:hAnsi="仿宋_GB2312" w:cs="仿宋_GB2312"/>
          <w:color w:val="auto"/>
          <w:lang w:val="en-US" w:eastAsia="zh-CN"/>
        </w:rPr>
        <w:t>（三）关于科研平台内容的建议。将结合深圳市光明区华农现代农业研究院创新中心布局、科研成果转化落地等未来五年发展思路进行补充，体现农业科技、宠物科技相关内容。</w:t>
      </w:r>
    </w:p>
    <w:p w14:paraId="7024B415">
      <w:pPr>
        <w:ind w:firstLine="643"/>
        <w:rPr>
          <w:rFonts w:hint="eastAsia" w:ascii="仿宋_GB2312" w:hAnsi="仿宋_GB2312" w:cs="仿宋_GB2312"/>
          <w:color w:val="auto"/>
          <w:lang w:val="en-US" w:eastAsia="zh-CN"/>
        </w:rPr>
      </w:pPr>
      <w:r>
        <w:rPr>
          <w:rFonts w:hint="eastAsia" w:ascii="仿宋_GB2312" w:hAnsi="仿宋_GB2312" w:cs="仿宋_GB2312"/>
          <w:color w:val="auto"/>
          <w:lang w:val="en-US" w:eastAsia="zh-CN"/>
        </w:rPr>
        <w:t>（四）关于国际大科学计划的建议。相关内容体现在《规划》中国际科技合作章节，具体内容为：支持各类创新主体牵头组织或参与国际大科学计划和大科学工程。</w:t>
      </w:r>
    </w:p>
    <w:p w14:paraId="61816A1A">
      <w:pPr>
        <w:ind w:firstLine="643"/>
        <w:rPr>
          <w:rFonts w:hint="eastAsia" w:ascii="仿宋_GB2312" w:hAnsi="仿宋_GB2312" w:cs="仿宋_GB2312"/>
          <w:color w:val="auto"/>
          <w:lang w:val="en-US" w:eastAsia="zh-CN"/>
        </w:rPr>
      </w:pPr>
      <w:r>
        <w:rPr>
          <w:rFonts w:hint="eastAsia" w:ascii="仿宋_GB2312" w:hAnsi="仿宋_GB2312" w:cs="仿宋_GB2312"/>
          <w:color w:val="auto"/>
          <w:lang w:val="en-US" w:eastAsia="zh-CN"/>
        </w:rPr>
        <w:t>（五）关于生物医药领域布局的建议。</w:t>
      </w:r>
      <w:r>
        <w:rPr>
          <w:rFonts w:hint="eastAsia" w:ascii="仿宋_GB2312" w:hAnsi="仿宋_GB2312" w:cs="仿宋_GB2312"/>
          <w:b/>
          <w:bCs/>
          <w:color w:val="auto"/>
          <w:lang w:val="en-US" w:eastAsia="zh-CN"/>
        </w:rPr>
        <w:t>一是</w:t>
      </w:r>
      <w:r>
        <w:rPr>
          <w:rFonts w:hint="eastAsia" w:ascii="仿宋_GB2312" w:hAnsi="仿宋_GB2312" w:cs="仿宋_GB2312"/>
          <w:color w:val="auto"/>
          <w:lang w:val="en-US" w:eastAsia="zh-CN"/>
        </w:rPr>
        <w:t>将体内CAR-T纳入前沿攻关方向，在前沿科技攻关方向专栏中已有涉及，体内CAR-T属于基因与细胞治疗领域中新型载体递送技术。</w:t>
      </w:r>
      <w:r>
        <w:rPr>
          <w:rFonts w:hint="eastAsia" w:ascii="仿宋_GB2312" w:hAnsi="仿宋_GB2312" w:cs="仿宋_GB2312"/>
          <w:b/>
          <w:bCs/>
          <w:color w:val="auto"/>
          <w:lang w:val="en-US" w:eastAsia="zh-CN"/>
        </w:rPr>
        <w:t>二是</w:t>
      </w:r>
      <w:r>
        <w:rPr>
          <w:rFonts w:hint="eastAsia" w:ascii="仿宋_GB2312" w:hAnsi="仿宋_GB2312" w:cs="仿宋_GB2312"/>
          <w:color w:val="auto"/>
          <w:lang w:val="en-US" w:eastAsia="zh-CN"/>
        </w:rPr>
        <w:t>已将CRO/CDMO及医院资源的联动布局纳入《规划》，强调完善产业服务体系，加快引进和建设一批CDMO、CRO等一站式产业服务平台，提供覆盖药物发现、工艺开发、临床试验和商业化生产等全链条专业服务，降低企业研发与商业化成本，提升区域产业服务能级。</w:t>
      </w:r>
      <w:r>
        <w:rPr>
          <w:rFonts w:hint="eastAsia" w:ascii="仿宋_GB2312" w:hAnsi="仿宋_GB2312" w:cs="仿宋_GB2312"/>
          <w:b/>
          <w:bCs/>
          <w:color w:val="auto"/>
          <w:lang w:val="en-US" w:eastAsia="zh-CN"/>
        </w:rPr>
        <w:t>三是</w:t>
      </w:r>
      <w:r>
        <w:rPr>
          <w:rFonts w:hint="eastAsia" w:ascii="仿宋_GB2312" w:hAnsi="仿宋_GB2312" w:cs="仿宋_GB2312"/>
          <w:color w:val="auto"/>
          <w:lang w:val="en-US" w:eastAsia="zh-CN"/>
        </w:rPr>
        <w:t>《规划》中强调构建完整创新链，完善粤港澳大湾区国际临床试验中心运行机制，联动中山大学附属第七医院、深圳理工大学总医院等研究型医院，吸纳高水平临床人才，形成“基础研究—临床研究—技术转化”完整创新链条，将推进临床资源向区内企业倾斜。</w:t>
      </w:r>
      <w:r>
        <w:rPr>
          <w:rFonts w:hint="eastAsia" w:ascii="仿宋_GB2312" w:hAnsi="仿宋_GB2312" w:cs="仿宋_GB2312"/>
          <w:b/>
          <w:bCs/>
          <w:color w:val="auto"/>
          <w:lang w:val="en-US" w:eastAsia="zh-CN"/>
        </w:rPr>
        <w:t>四是</w:t>
      </w:r>
      <w:r>
        <w:rPr>
          <w:rFonts w:hint="eastAsia" w:ascii="仿宋_GB2312" w:hAnsi="仿宋_GB2312" w:cs="仿宋_GB2312"/>
          <w:color w:val="auto"/>
          <w:lang w:val="en-US" w:eastAsia="zh-CN"/>
        </w:rPr>
        <w:t>《规划》重视“AI+生物医药”融合，强化AI在药物智能筛选、分子结构预测、临床试验设计与智能分析、药物合成工艺优化等领域应用，建设医药研发数字化创新平台。在人工智能赋能千行百业章节，强调加快“AI+科学研究”布局，其中重点领域包括新药创制、基因研究等领域，将支持人工智能助力医药企业研发。</w:t>
      </w:r>
    </w:p>
    <w:p w14:paraId="33BD52A3">
      <w:pPr>
        <w:ind w:firstLine="643"/>
        <w:rPr>
          <w:rFonts w:hint="eastAsia"/>
          <w:color w:val="auto"/>
          <w:lang w:val="en-US" w:eastAsia="zh-CN"/>
        </w:rPr>
      </w:pPr>
      <w:r>
        <w:rPr>
          <w:rFonts w:hint="eastAsia"/>
          <w:color w:val="auto"/>
          <w:lang w:val="en-US" w:eastAsia="zh-CN"/>
        </w:rPr>
        <w:t>（六）关于科研设施仪器共享的建议。目前市区已建设相关平台，光明科学城微信公众号开发了设施共享平台功能板块，脑设施、合成大设施、脑创中心、深圳医学科学院、深圳湾实验室等设施机构的大型仪器可在线查看预约，深圳市大型科学仪器设施资源共享管理中心已建设有深圳市大型科学仪器共享平台，推进科技资源开放共享，提高使用效率，后续将加大推广力度。</w:t>
      </w:r>
    </w:p>
    <w:p w14:paraId="47B316C6">
      <w:pPr>
        <w:ind w:firstLine="643"/>
        <w:rPr>
          <w:rFonts w:hint="eastAsia"/>
          <w:color w:val="auto"/>
          <w:lang w:val="en-US" w:eastAsia="zh-CN"/>
        </w:rPr>
      </w:pPr>
      <w:r>
        <w:rPr>
          <w:rFonts w:hint="eastAsia"/>
          <w:color w:val="auto"/>
          <w:lang w:val="en-US" w:eastAsia="zh-CN"/>
        </w:rPr>
        <w:t>（七）关于支持中小企业培育孵化的建议。《规划》已有相关企业梯次培育的支持内容，主要在强化创新型企业梯次培育章节，同时对于中小企业创业落地的金融支持、空间支持等创新生态各项服务主要在培育创新创业创造沃土章节。</w:t>
      </w:r>
    </w:p>
    <w:p w14:paraId="3D93FA7C">
      <w:pPr>
        <w:adjustRightInd/>
        <w:snapToGrid/>
        <w:ind w:firstLine="640"/>
        <w:jc w:val="left"/>
        <w:outlineLvl w:val="0"/>
        <w:rPr>
          <w:rFonts w:hint="eastAsia"/>
          <w:color w:val="auto"/>
          <w:lang w:val="en-US" w:eastAsia="zh-CN"/>
        </w:rPr>
      </w:pPr>
      <w:r>
        <w:rPr>
          <w:rFonts w:hint="eastAsia"/>
          <w:color w:val="auto"/>
          <w:lang w:val="en-US" w:eastAsia="zh-CN"/>
        </w:rPr>
        <w:t>（八）关于总规衔接的建议。将在《深圳市光明区国民经济和社会发展第十五个五年规划纲要》印发后做好衔接，保持指标、项目等表述一致。</w:t>
      </w:r>
    </w:p>
    <w:p w14:paraId="013BA7C2">
      <w:pPr>
        <w:adjustRightInd/>
        <w:snapToGrid/>
        <w:ind w:firstLine="640"/>
        <w:jc w:val="left"/>
        <w:outlineLvl w:val="0"/>
        <w:rPr>
          <w:rFonts w:hint="eastAsia" w:ascii="仿宋_GB2312" w:hAnsi="仿宋_GB2312" w:cs="仿宋_GB2312"/>
          <w:color w:val="auto"/>
        </w:rPr>
      </w:pPr>
      <w:r>
        <w:rPr>
          <w:rFonts w:hint="eastAsia" w:ascii="黑体" w:hAnsi="黑体" w:eastAsia="黑体"/>
          <w:bCs/>
          <w:color w:val="auto"/>
          <w:szCs w:val="48"/>
          <w:lang w:val="en-US" w:eastAsia="zh-CN"/>
        </w:rPr>
        <w:t>六</w:t>
      </w:r>
      <w:r>
        <w:rPr>
          <w:rFonts w:ascii="黑体" w:hAnsi="黑体" w:eastAsia="黑体"/>
          <w:bCs/>
          <w:color w:val="auto"/>
          <w:szCs w:val="48"/>
        </w:rPr>
        <w:t>、</w:t>
      </w:r>
      <w:r>
        <w:rPr>
          <w:rFonts w:hint="eastAsia" w:ascii="黑体" w:hAnsi="黑体" w:eastAsia="黑体"/>
          <w:bCs/>
          <w:color w:val="auto"/>
          <w:szCs w:val="48"/>
        </w:rPr>
        <w:t>其他需要说明的情况</w:t>
      </w:r>
    </w:p>
    <w:p w14:paraId="6A94AE7D">
      <w:pPr>
        <w:ind w:firstLine="640"/>
        <w:rPr>
          <w:rFonts w:hint="eastAsia" w:ascii="仿宋_GB2312" w:hAnsi="仿宋_GB2312" w:cs="仿宋_GB2312"/>
          <w:color w:val="auto"/>
        </w:rPr>
      </w:pPr>
      <w:r>
        <w:rPr>
          <w:rFonts w:hint="eastAsia" w:ascii="仿宋_GB2312" w:hAnsi="仿宋_GB2312" w:cs="仿宋_GB2312"/>
          <w:color w:val="auto"/>
        </w:rPr>
        <w:t>本次听证会全程专人记录并完整归档听证笔录，会议组织规范有序、现场秩序良好，无突发异常情况；参会代表均确认笔录内容真实、完整并签字确认。后续区</w:t>
      </w:r>
      <w:r>
        <w:rPr>
          <w:rFonts w:hint="eastAsia" w:ascii="仿宋_GB2312" w:hAnsi="仿宋_GB2312" w:cs="仿宋_GB2312"/>
          <w:color w:val="auto"/>
          <w:lang w:val="en-US" w:eastAsia="zh-CN"/>
        </w:rPr>
        <w:t>科技创新</w:t>
      </w:r>
      <w:r>
        <w:rPr>
          <w:rFonts w:hint="eastAsia" w:ascii="仿宋_GB2312" w:hAnsi="仿宋_GB2312" w:cs="仿宋_GB2312"/>
          <w:color w:val="auto"/>
        </w:rPr>
        <w:t>局将依据重大行政决策工作要求，结合听证意见持续优化完善《规划》，依规推进后续报审印发工作。</w:t>
      </w:r>
    </w:p>
    <w:p w14:paraId="3084A446">
      <w:pPr>
        <w:ind w:firstLine="640"/>
        <w:rPr>
          <w:rFonts w:hint="eastAsia" w:ascii="仿宋_GB2312" w:hAnsi="仿宋_GB2312" w:cs="仿宋_GB2312"/>
          <w:color w:val="auto"/>
        </w:rPr>
      </w:pPr>
    </w:p>
    <w:p w14:paraId="01AA1CE5">
      <w:pPr>
        <w:ind w:firstLine="640"/>
        <w:rPr>
          <w:rFonts w:hint="eastAsia" w:ascii="仿宋_GB2312" w:hAnsi="仿宋_GB2312" w:cs="仿宋_GB2312"/>
          <w:color w:val="auto"/>
        </w:rPr>
      </w:pPr>
      <w:r>
        <w:rPr>
          <w:rFonts w:hint="eastAsia" w:ascii="仿宋_GB2312" w:hAnsi="仿宋_GB2312" w:cs="仿宋_GB2312"/>
          <w:color w:val="auto"/>
        </w:rPr>
        <w:t>附件：1.听证笔录</w:t>
      </w:r>
    </w:p>
    <w:p w14:paraId="52F9006C">
      <w:pPr>
        <w:ind w:firstLine="1600" w:firstLineChars="500"/>
        <w:rPr>
          <w:rFonts w:hint="eastAsia" w:ascii="仿宋_GB2312" w:hAnsi="仿宋_GB2312" w:cs="仿宋_GB2312"/>
          <w:color w:val="auto"/>
        </w:rPr>
      </w:pPr>
      <w:r>
        <w:rPr>
          <w:rFonts w:hint="eastAsia" w:ascii="仿宋_GB2312" w:hAnsi="仿宋_GB2312" w:cs="仿宋_GB2312"/>
          <w:color w:val="auto"/>
        </w:rPr>
        <w:t>2.听证意见汇总表</w:t>
      </w:r>
    </w:p>
    <w:p w14:paraId="389479FD">
      <w:pPr>
        <w:ind w:firstLine="640"/>
        <w:rPr>
          <w:rFonts w:hint="eastAsia" w:ascii="仿宋_GB2312" w:hAnsi="仿宋_GB2312" w:cs="仿宋_GB2312"/>
          <w:color w:val="auto"/>
        </w:rPr>
      </w:pPr>
    </w:p>
    <w:p w14:paraId="1164A3DE">
      <w:pPr>
        <w:ind w:firstLine="640"/>
        <w:rPr>
          <w:rFonts w:hint="eastAsia" w:ascii="仿宋_GB2312" w:hAnsi="仿宋_GB2312" w:cs="仿宋_GB2312"/>
          <w:color w:val="auto"/>
        </w:rPr>
      </w:pPr>
    </w:p>
    <w:p w14:paraId="484903CD">
      <w:pPr>
        <w:ind w:firstLine="640"/>
        <w:jc w:val="right"/>
        <w:rPr>
          <w:rFonts w:hint="eastAsia" w:ascii="仿宋_GB2312" w:hAnsi="仿宋_GB2312" w:cs="仿宋_GB2312"/>
          <w:color w:val="auto"/>
        </w:rPr>
      </w:pPr>
      <w:r>
        <w:rPr>
          <w:rFonts w:hint="eastAsia" w:ascii="仿宋_GB2312" w:hAnsi="仿宋_GB2312" w:cs="仿宋_GB2312"/>
          <w:color w:val="auto"/>
        </w:rPr>
        <w:t>深圳市光明区科技创新局</w:t>
      </w:r>
    </w:p>
    <w:p w14:paraId="3423A8B7">
      <w:pPr>
        <w:ind w:firstLine="640"/>
        <w:jc w:val="right"/>
        <w:rPr>
          <w:rFonts w:hint="eastAsia" w:ascii="仿宋_GB2312" w:hAnsi="仿宋_GB2312" w:cs="仿宋_GB2312"/>
          <w:color w:val="auto"/>
        </w:rPr>
      </w:pPr>
      <w:r>
        <w:rPr>
          <w:rFonts w:hint="eastAsia" w:ascii="仿宋_GB2312" w:hAnsi="仿宋_GB2312" w:cs="仿宋_GB2312"/>
          <w:color w:val="auto"/>
        </w:rPr>
        <w:t>2026年7月</w:t>
      </w:r>
      <w:r>
        <w:rPr>
          <w:rFonts w:hint="eastAsia" w:ascii="仿宋_GB2312" w:hAnsi="仿宋_GB2312" w:cs="仿宋_GB2312"/>
          <w:color w:val="auto"/>
          <w:lang w:val="en-US" w:eastAsia="zh-CN"/>
        </w:rPr>
        <w:t>23</w:t>
      </w:r>
      <w:r>
        <w:rPr>
          <w:rFonts w:hint="eastAsia" w:ascii="仿宋_GB2312" w:hAnsi="仿宋_GB2312" w:cs="仿宋_GB2312"/>
          <w:color w:val="auto"/>
        </w:rPr>
        <w:t>日</w:t>
      </w:r>
    </w:p>
    <w:p w14:paraId="5D7CC07F">
      <w:pPr>
        <w:ind w:firstLine="640"/>
        <w:jc w:val="right"/>
        <w:rPr>
          <w:rFonts w:hint="eastAsia" w:ascii="仿宋_GB2312" w:hAnsi="仿宋_GB2312" w:cs="仿宋_GB2312"/>
          <w:color w:val="auto"/>
        </w:rPr>
      </w:pPr>
    </w:p>
    <w:sectPr>
      <w:footerReference r:id="rId5" w:type="default"/>
      <w:pgSz w:w="11906" w:h="16838"/>
      <w:pgMar w:top="2098" w:right="1474" w:bottom="1984" w:left="1587" w:header="851" w:footer="992" w:gutter="0"/>
      <w:pgNumType w:fmt="decimal"/>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Kingsoft UE"/>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等线 Light">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B9B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4A04CC">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4A04CC">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trackRevisions w:val="1"/>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33E"/>
    <w:rsid w:val="00053BFC"/>
    <w:rsid w:val="000F0822"/>
    <w:rsid w:val="0016342C"/>
    <w:rsid w:val="001C285D"/>
    <w:rsid w:val="00213B04"/>
    <w:rsid w:val="00324B6E"/>
    <w:rsid w:val="005E0589"/>
    <w:rsid w:val="00813E30"/>
    <w:rsid w:val="00900B80"/>
    <w:rsid w:val="00AC3C7B"/>
    <w:rsid w:val="00B769DD"/>
    <w:rsid w:val="00CA433E"/>
    <w:rsid w:val="00DD46AF"/>
    <w:rsid w:val="00E35A46"/>
    <w:rsid w:val="00E64622"/>
    <w:rsid w:val="084F136C"/>
    <w:rsid w:val="0CD56BF0"/>
    <w:rsid w:val="10E2302E"/>
    <w:rsid w:val="1C27223D"/>
    <w:rsid w:val="266454A4"/>
    <w:rsid w:val="2ED003D0"/>
    <w:rsid w:val="33E81E5A"/>
    <w:rsid w:val="395D0BF4"/>
    <w:rsid w:val="3AD47A22"/>
    <w:rsid w:val="3C5C285E"/>
    <w:rsid w:val="4E2C6F51"/>
    <w:rsid w:val="4F72018B"/>
    <w:rsid w:val="55FB02E9"/>
    <w:rsid w:val="5D5FCE6B"/>
    <w:rsid w:val="5DA14CA4"/>
    <w:rsid w:val="655612AF"/>
    <w:rsid w:val="68511D03"/>
    <w:rsid w:val="68C77CB4"/>
    <w:rsid w:val="69FB573C"/>
    <w:rsid w:val="6D147240"/>
    <w:rsid w:val="6F7DADAD"/>
    <w:rsid w:val="760065B4"/>
    <w:rsid w:val="7B913B8F"/>
    <w:rsid w:val="B76EC8C0"/>
    <w:rsid w:val="DFBB69DD"/>
    <w:rsid w:val="E7DEB9DC"/>
    <w:rsid w:val="FED32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0" w:line="560" w:lineRule="exact"/>
      <w:ind w:firstLine="200" w:firstLineChars="200"/>
      <w:jc w:val="both"/>
    </w:pPr>
    <w:rPr>
      <w:rFonts w:ascii="Times New Roman" w:hAnsi="Times New Roman" w:eastAsia="仿宋_GB2312" w:cs="Times New Roman"/>
      <w:kern w:val="2"/>
      <w:sz w:val="32"/>
      <w:szCs w:val="24"/>
      <w:lang w:val="en-US" w:eastAsia="zh-CN" w:bidi="ar-SA"/>
      <w14:ligatures w14:val="none"/>
    </w:rPr>
  </w:style>
  <w:style w:type="paragraph" w:styleId="2">
    <w:name w:val="heading 1"/>
    <w:basedOn w:val="1"/>
    <w:next w:val="1"/>
    <w:link w:val="18"/>
    <w:qFormat/>
    <w:uiPriority w:val="0"/>
    <w:pPr>
      <w:keepNext/>
      <w:keepLines/>
      <w:outlineLvl w:val="0"/>
    </w:pPr>
    <w:rPr>
      <w:rFonts w:eastAsia="黑体"/>
      <w:bCs/>
      <w:kern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eastAsia="楷体_GB2312" w:asciiTheme="majorHAnsi" w:hAnsiTheme="majorHAnsi" w:cstheme="majorBidi"/>
      <w:bCs/>
      <w:szCs w:val="32"/>
    </w:rPr>
  </w:style>
  <w:style w:type="paragraph" w:styleId="4">
    <w:name w:val="heading 3"/>
    <w:basedOn w:val="1"/>
    <w:next w:val="1"/>
    <w:link w:val="20"/>
    <w:unhideWhenUsed/>
    <w:qFormat/>
    <w:uiPriority w:val="9"/>
    <w:pPr>
      <w:keepNext/>
      <w:keepLines/>
      <w:spacing w:before="260" w:after="260" w:line="416" w:lineRule="auto"/>
      <w:outlineLvl w:val="2"/>
    </w:pPr>
    <w:rPr>
      <w:bCs/>
      <w:szCs w:val="32"/>
    </w:rPr>
  </w:style>
  <w:style w:type="paragraph" w:styleId="5">
    <w:name w:val="heading 4"/>
    <w:basedOn w:val="1"/>
    <w:next w:val="1"/>
    <w:link w:val="27"/>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8"/>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9"/>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30"/>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semiHidden/>
    <w:unhideWhenUsed/>
    <w:qFormat/>
    <w:uiPriority w:val="99"/>
    <w:pPr>
      <w:tabs>
        <w:tab w:val="center" w:pos="4153"/>
        <w:tab w:val="right" w:pos="8306"/>
      </w:tabs>
      <w:snapToGrid w:val="0"/>
      <w:jc w:val="left"/>
    </w:pPr>
    <w:rPr>
      <w:sz w:val="18"/>
    </w:rPr>
  </w:style>
  <w:style w:type="paragraph" w:styleId="1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3"/>
    <w:next w:val="1"/>
    <w:link w:val="22"/>
    <w:qFormat/>
    <w:uiPriority w:val="0"/>
    <w:pPr>
      <w:spacing w:before="0" w:after="0" w:line="560" w:lineRule="exact"/>
    </w:pPr>
    <w:rPr>
      <w:rFonts w:asciiTheme="minorHAnsi" w:hAnsiTheme="minorHAnsi" w:cstheme="minorBidi"/>
      <w:bCs w:val="0"/>
      <w:kern w:val="28"/>
    </w:rPr>
  </w:style>
  <w:style w:type="paragraph" w:styleId="1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Title"/>
    <w:basedOn w:val="1"/>
    <w:next w:val="1"/>
    <w:link w:val="21"/>
    <w:qFormat/>
    <w:uiPriority w:val="0"/>
    <w:pPr>
      <w:jc w:val="center"/>
      <w:outlineLvl w:val="0"/>
    </w:pPr>
    <w:rPr>
      <w:rFonts w:eastAsia="方正小标宋简体"/>
      <w:bCs/>
      <w:sz w:val="44"/>
      <w:szCs w:val="32"/>
    </w:rPr>
  </w:style>
  <w:style w:type="character" w:customStyle="1" w:styleId="18">
    <w:name w:val="标题 1 字符"/>
    <w:link w:val="2"/>
    <w:qFormat/>
    <w:uiPriority w:val="0"/>
    <w:rPr>
      <w:rFonts w:eastAsia="黑体"/>
      <w:bCs/>
      <w:kern w:val="44"/>
      <w:sz w:val="32"/>
      <w:szCs w:val="44"/>
    </w:rPr>
  </w:style>
  <w:style w:type="character" w:customStyle="1" w:styleId="19">
    <w:name w:val="标题 2 字符"/>
    <w:basedOn w:val="17"/>
    <w:link w:val="3"/>
    <w:qFormat/>
    <w:uiPriority w:val="9"/>
    <w:rPr>
      <w:rFonts w:eastAsia="楷体_GB2312" w:asciiTheme="majorHAnsi" w:hAnsiTheme="majorHAnsi" w:cstheme="majorBidi"/>
      <w:bCs/>
      <w:sz w:val="32"/>
      <w:szCs w:val="32"/>
    </w:rPr>
  </w:style>
  <w:style w:type="character" w:customStyle="1" w:styleId="20">
    <w:name w:val="标题 3 字符"/>
    <w:basedOn w:val="17"/>
    <w:link w:val="4"/>
    <w:qFormat/>
    <w:uiPriority w:val="9"/>
    <w:rPr>
      <w:rFonts w:eastAsia="仿宋_GB2312"/>
      <w:bCs/>
      <w:sz w:val="32"/>
      <w:szCs w:val="32"/>
    </w:rPr>
  </w:style>
  <w:style w:type="character" w:customStyle="1" w:styleId="21">
    <w:name w:val="标题 字符"/>
    <w:link w:val="15"/>
    <w:qFormat/>
    <w:uiPriority w:val="0"/>
    <w:rPr>
      <w:rFonts w:eastAsia="方正小标宋简体"/>
      <w:bCs/>
      <w:sz w:val="44"/>
      <w:szCs w:val="32"/>
    </w:rPr>
  </w:style>
  <w:style w:type="character" w:customStyle="1" w:styleId="22">
    <w:name w:val="副标题 字符"/>
    <w:link w:val="13"/>
    <w:qFormat/>
    <w:uiPriority w:val="0"/>
    <w:rPr>
      <w:rFonts w:eastAsia="楷体_GB2312"/>
      <w:kern w:val="28"/>
      <w:sz w:val="32"/>
      <w:szCs w:val="32"/>
    </w:rPr>
  </w:style>
  <w:style w:type="paragraph" w:customStyle="1" w:styleId="23">
    <w:name w:val="标题3"/>
    <w:basedOn w:val="4"/>
    <w:next w:val="1"/>
    <w:link w:val="24"/>
    <w:qFormat/>
    <w:uiPriority w:val="0"/>
    <w:pPr>
      <w:spacing w:before="0" w:after="0" w:line="560" w:lineRule="exact"/>
    </w:pPr>
  </w:style>
  <w:style w:type="character" w:customStyle="1" w:styleId="24">
    <w:name w:val="标题3 字符"/>
    <w:link w:val="23"/>
    <w:qFormat/>
    <w:uiPriority w:val="0"/>
    <w:rPr>
      <w:rFonts w:eastAsia="仿宋_GB2312"/>
      <w:bCs/>
      <w:sz w:val="32"/>
      <w:szCs w:val="32"/>
    </w:rPr>
  </w:style>
  <w:style w:type="paragraph" w:customStyle="1" w:styleId="25">
    <w:name w:val="专栏"/>
    <w:basedOn w:val="1"/>
    <w:link w:val="26"/>
    <w:qFormat/>
    <w:uiPriority w:val="0"/>
    <w:rPr>
      <w:rFonts w:eastAsia="楷体_GB2312" w:cs="仿宋_GB2312" w:asciiTheme="minorHAnsi" w:hAnsiTheme="minorHAnsi"/>
      <w:spacing w:val="-1"/>
      <w:sz w:val="28"/>
      <w:szCs w:val="28"/>
      <w14:ligatures w14:val="standardContextual"/>
    </w:rPr>
  </w:style>
  <w:style w:type="character" w:customStyle="1" w:styleId="26">
    <w:name w:val="专栏 字符"/>
    <w:link w:val="25"/>
    <w:qFormat/>
    <w:uiPriority w:val="0"/>
    <w:rPr>
      <w:rFonts w:eastAsia="楷体_GB2312" w:cs="仿宋_GB2312"/>
      <w:spacing w:val="-1"/>
      <w:sz w:val="28"/>
      <w:szCs w:val="28"/>
    </w:rPr>
  </w:style>
  <w:style w:type="character" w:customStyle="1" w:styleId="27">
    <w:name w:val="标题 4 字符"/>
    <w:basedOn w:val="17"/>
    <w:link w:val="5"/>
    <w:semiHidden/>
    <w:qFormat/>
    <w:uiPriority w:val="9"/>
    <w:rPr>
      <w:rFonts w:cstheme="majorBidi"/>
      <w:color w:val="104862" w:themeColor="accent1" w:themeShade="BF"/>
      <w:sz w:val="28"/>
      <w:szCs w:val="28"/>
      <w14:ligatures w14:val="none"/>
    </w:rPr>
  </w:style>
  <w:style w:type="character" w:customStyle="1" w:styleId="28">
    <w:name w:val="标题 5 字符"/>
    <w:basedOn w:val="17"/>
    <w:link w:val="6"/>
    <w:semiHidden/>
    <w:qFormat/>
    <w:uiPriority w:val="9"/>
    <w:rPr>
      <w:rFonts w:cstheme="majorBidi"/>
      <w:color w:val="104862" w:themeColor="accent1" w:themeShade="BF"/>
      <w:sz w:val="24"/>
      <w14:ligatures w14:val="none"/>
    </w:rPr>
  </w:style>
  <w:style w:type="character" w:customStyle="1" w:styleId="29">
    <w:name w:val="标题 6 字符"/>
    <w:basedOn w:val="17"/>
    <w:link w:val="7"/>
    <w:semiHidden/>
    <w:qFormat/>
    <w:uiPriority w:val="9"/>
    <w:rPr>
      <w:rFonts w:cstheme="majorBidi"/>
      <w:b/>
      <w:bCs/>
      <w:color w:val="104862" w:themeColor="accent1" w:themeShade="BF"/>
      <w:sz w:val="32"/>
      <w14:ligatures w14:val="none"/>
    </w:rPr>
  </w:style>
  <w:style w:type="character" w:customStyle="1" w:styleId="30">
    <w:name w:val="标题 7 字符"/>
    <w:basedOn w:val="17"/>
    <w:link w:val="8"/>
    <w:semiHidden/>
    <w:qFormat/>
    <w:uiPriority w:val="9"/>
    <w:rPr>
      <w:rFonts w:cstheme="majorBidi"/>
      <w:b/>
      <w:bCs/>
      <w:color w:val="595959" w:themeColor="text1" w:themeTint="A6"/>
      <w:sz w:val="32"/>
      <w14:textFill>
        <w14:solidFill>
          <w14:schemeClr w14:val="tx1">
            <w14:lumMod w14:val="65000"/>
            <w14:lumOff w14:val="35000"/>
          </w14:schemeClr>
        </w14:solidFill>
      </w14:textFill>
      <w14:ligatures w14:val="none"/>
    </w:rPr>
  </w:style>
  <w:style w:type="character" w:customStyle="1" w:styleId="31">
    <w:name w:val="标题 8 字符"/>
    <w:basedOn w:val="17"/>
    <w:link w:val="9"/>
    <w:semiHidden/>
    <w:qFormat/>
    <w:uiPriority w:val="9"/>
    <w:rPr>
      <w:rFonts w:cstheme="majorBidi"/>
      <w:color w:val="595959" w:themeColor="text1" w:themeTint="A6"/>
      <w:sz w:val="32"/>
      <w14:textFill>
        <w14:solidFill>
          <w14:schemeClr w14:val="tx1">
            <w14:lumMod w14:val="65000"/>
            <w14:lumOff w14:val="35000"/>
          </w14:schemeClr>
        </w14:solidFill>
      </w14:textFill>
      <w14:ligatures w14:val="none"/>
    </w:rPr>
  </w:style>
  <w:style w:type="character" w:customStyle="1" w:styleId="32">
    <w:name w:val="标题 9 字符"/>
    <w:basedOn w:val="17"/>
    <w:link w:val="10"/>
    <w:semiHidden/>
    <w:qFormat/>
    <w:uiPriority w:val="9"/>
    <w:rPr>
      <w:rFonts w:eastAsiaTheme="majorEastAsia" w:cstheme="majorBidi"/>
      <w:color w:val="595959" w:themeColor="text1" w:themeTint="A6"/>
      <w:sz w:val="32"/>
      <w14:textFill>
        <w14:solidFill>
          <w14:schemeClr w14:val="tx1">
            <w14:lumMod w14:val="65000"/>
            <w14:lumOff w14:val="35000"/>
          </w14:schemeClr>
        </w14:solidFill>
      </w14:textFill>
      <w14:ligatures w14:val="none"/>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17"/>
    <w:link w:val="33"/>
    <w:qFormat/>
    <w:uiPriority w:val="29"/>
    <w:rPr>
      <w:rFonts w:ascii="Times New Roman" w:hAnsi="Times New Roman" w:eastAsia="仿宋_GB2312" w:cs="Times New Roman"/>
      <w:i/>
      <w:iCs/>
      <w:color w:val="404040" w:themeColor="text1" w:themeTint="BF"/>
      <w:sz w:val="32"/>
      <w14:textFill>
        <w14:solidFill>
          <w14:schemeClr w14:val="tx1">
            <w14:lumMod w14:val="75000"/>
            <w14:lumOff w14:val="25000"/>
          </w14:schemeClr>
        </w14:solidFill>
      </w14:textFill>
      <w14:ligatures w14:val="none"/>
    </w:rPr>
  </w:style>
  <w:style w:type="paragraph" w:styleId="35">
    <w:name w:val="List Paragraph"/>
    <w:basedOn w:val="1"/>
    <w:qFormat/>
    <w:uiPriority w:val="34"/>
    <w:pPr>
      <w:ind w:left="720"/>
      <w:contextualSpacing/>
    </w:pPr>
  </w:style>
  <w:style w:type="character" w:customStyle="1" w:styleId="36">
    <w:name w:val="Intense Emphasis"/>
    <w:basedOn w:val="17"/>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明显引用 字符"/>
    <w:basedOn w:val="17"/>
    <w:link w:val="37"/>
    <w:qFormat/>
    <w:uiPriority w:val="30"/>
    <w:rPr>
      <w:rFonts w:ascii="Times New Roman" w:hAnsi="Times New Roman" w:eastAsia="仿宋_GB2312" w:cs="Times New Roman"/>
      <w:i/>
      <w:iCs/>
      <w:color w:val="104862" w:themeColor="accent1" w:themeShade="BF"/>
      <w:sz w:val="32"/>
      <w14:ligatures w14:val="none"/>
    </w:rPr>
  </w:style>
  <w:style w:type="character" w:customStyle="1" w:styleId="39">
    <w:name w:val="Intense Reference"/>
    <w:basedOn w:val="17"/>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020e63ee-1f96-403a-aa58-8c57db429fb9</errorID>
      <errorWord xmlns="http://schemas.wps.cn/vas-ai-hub/contract-review">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证会</item>
      </candidateList>
      <explain xmlns="http://schemas.wps.cn/vas-ai-hub/contract-review"/>
      <paraID xmlns="http://schemas.wps.cn/vas-ai-hub/contract-review">2B1068AE</paraID>
      <start xmlns="http://schemas.wps.cn/vas-ai-hub/contract-review">45</start>
      <end xmlns="http://schemas.wps.cn/vas-ai-hub/contract-review">46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672782e6-a748-4b3a-9209-38416013b9e9</errorID>
      <errorWord xmlns="http://schemas.wps.cn/vas-ai-hub/contract-review">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证会</item>
      </candidateList>
      <explain xmlns="http://schemas.wps.cn/vas-ai-hub/contract-review"/>
      <paraID xmlns="http://schemas.wps.cn/vas-ai-hub/contract-review">2B1068AE</paraID>
      <start xmlns="http://schemas.wps.cn/vas-ai-hub/contract-review">51</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7d705003-5778-409d-afbe-e84d4ab19b73</errorID>
      <errorWord xmlns="http://schemas.wps.cn/vas-ai-hub/contract-review">第十五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第十四</item>
      </candidateList>
      <explain xmlns="http://schemas.wps.cn/vas-ai-hub/contract-review"/>
      <paraID xmlns="http://schemas.wps.cn/vas-ai-hub/contract-review">6BA0CAAF</paraID>
      <start xmlns="http://schemas.wps.cn/vas-ai-hub/contract-review">27</start>
      <end xmlns="http://schemas.wps.cn/vas-ai-hub/contract-review">30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021cc862-1c86-4570-a936-b21993b96f65</errorID>
      <errorWord xmlns="http://schemas.wps.cn/vas-ai-hub/contract-review"/>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item>
      </candidateList>
      <explain xmlns="http://schemas.wps.cn/vas-ai-hub/contract-review"/>
      <paraID xmlns="http://schemas.wps.cn/vas-ai-hub/contract-review">6BA0CAAF</paraID>
      <start xmlns="http://schemas.wps.cn/vas-ai-hub/contract-review">51</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ebd527a0-a272-45a3-ac2e-8d7d47b1392f</errorID>
      <errorWord xmlns="http://schemas.wps.cn/vas-ai-hub/contract-review">创新成效</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创新</item>
      </candidateList>
      <explain xmlns="http://schemas.wps.cn/vas-ai-hub/contract-review"/>
      <paraID xmlns="http://schemas.wps.cn/vas-ai-hub/contract-review"> 870DE69</paraID>
      <start xmlns="http://schemas.wps.cn/vas-ai-hub/contract-review">52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7863e85f-57c2-4848-b6a4-339126ba745a</errorID>
      <errorWord xmlns="http://schemas.wps.cn/vas-ai-hub/contract-review"> 深圳</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标点符号问题</abilityName>
      <candidateList xmlns="http://schemas.wps.cn/vas-ai-hub/contract-review">
        <item xmlns="http://schemas.wps.cn/vas-ai-hub/contract-review">（深圳）</item>
      </candidateList>
      <explain xmlns="http://schemas.wps.cn/vas-ai-hub/contract-review"/>
      <paraID xmlns="http://schemas.wps.cn/vas-ai-hub/contract-review">4A07D52E</paraID>
      <start xmlns="http://schemas.wps.cn/vas-ai-hub/contract-review">36</start>
      <end xmlns="http://schemas.wps.cn/vas-ai-hub/contract-review">39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9fc19a1f-b050-4b14-8a8f-f9f1ea1d2efe</errorID>
      <errorWord xmlns="http://schemas.wps.cn/vas-ai-hub/contract-review">算力训力</errorWord>
      <group xmlns="http://schemas.wps.cn/vas-ai-hub/contract-review">L1_Other</group>
      <groupName xmlns="http://schemas.wps.cn/vas-ai-hub/contract-review">其他问题</groupName>
      <ability xmlns="http://schemas.wps.cn/vas-ai-hub/contract-review">L2_Consistency</ability>
      <abilityName xmlns="http://schemas.wps.cn/vas-ai-hub/contract-review">一致性检查</abilityName>
      <candidateList xmlns="http://schemas.wps.cn/vas-ai-hub/contract-review">
        <item xmlns="http://schemas.wps.cn/vas-ai-hub/contract-review">算力</item>
      </candidateList>
      <explain xmlns="http://schemas.wps.cn/vas-ai-hub/contract-review">术语一致性错误，该表述与后文出现的“算力”表述不一致，属于表述不一致问题</explain>
      <paraID xmlns="http://schemas.wps.cn/vas-ai-hub/contract-review">1A31FC5E</paraID>
      <start xmlns="http://schemas.wps.cn/vas-ai-hub/contract-review">57</start>
      <end xmlns="http://schemas.wps.cn/vas-ai-hub/contract-review">61</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8d54af-b465-4a28-a0b0-a70824a8a405}">
  <ds:schemaRefs/>
</ds:datastoreItem>
</file>

<file path=docProps/app.xml><?xml version="1.0" encoding="utf-8"?>
<Properties xmlns="http://schemas.openxmlformats.org/officeDocument/2006/extended-properties" xmlns:vt="http://schemas.openxmlformats.org/officeDocument/2006/docPropsVTypes">
  <Template>Normal</Template>
  <Pages>8</Pages>
  <Words>4925</Words>
  <Characters>5007</Characters>
  <Lines>13</Lines>
  <Paragraphs>3</Paragraphs>
  <TotalTime>6</TotalTime>
  <ScaleCrop>false</ScaleCrop>
  <LinksUpToDate>false</LinksUpToDate>
  <CharactersWithSpaces>5008</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2026-07-17T11:43:00Z</dcterms:created>
  <dc:creator>诗耀 黄</dc:creator>
  <cp:lastModifiedBy>罗熙</cp:lastModifiedBy>
  <dcterms:modified xsi:type="dcterms:W3CDTF">2026-07-24T18:05:08Z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eyJoZGlkIjoiM2RhMGI0ZDJiNDYzMWIwOGYxMGFkOWVhYTU2ZWQyOTkiLCJ1c2VySWQiOiIzMDcxNTg4NzkifQ==</vt:lpwstr>
  </property>
  <property fmtid="{D5CDD505-2E9C-101B-9397-08002B2CF9AE}" pid="3" name="KSOProductBuildVer">
    <vt:lpwstr>2052-12.1.2.22550</vt:lpwstr>
  </property>
  <property fmtid="{D5CDD505-2E9C-101B-9397-08002B2CF9AE}" pid="4" name="ICV">
    <vt:lpwstr>FA3E7D24E8D24D4AA70FD929AAF3D97A_13</vt:lpwstr>
  </property>
</Properties>
</file>