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firstLine="0" w:firstLineChars="0"/>
        <w:contextualSpacing w:val="0"/>
        <w:jc w:val="center"/>
        <w:textAlignment w:val="baseline"/>
        <w:outlineLvl w:val="0"/>
        <w:rPr>
          <w:rFonts w:hint="eastAsia" w:ascii="方正小标宋简体" w:hAnsi="方正小标宋简体" w:eastAsia="方正小标宋简体" w:cs="方正小标宋简体"/>
          <w:bCs/>
          <w:color w:val="auto"/>
          <w:sz w:val="44"/>
          <w:szCs w:val="44"/>
          <w:lang w:eastAsia="zh-CN"/>
        </w:rPr>
      </w:pPr>
      <w:r>
        <w:rPr>
          <w:rFonts w:hint="eastAsia" w:ascii="方正小标宋简体" w:hAnsi="方正小标宋简体" w:eastAsia="方正小标宋简体" w:cs="方正小标宋简体"/>
          <w:bCs/>
          <w:color w:val="auto"/>
          <w:sz w:val="44"/>
          <w:szCs w:val="44"/>
          <w:lang w:eastAsia="zh-CN"/>
        </w:rPr>
        <w:t>《</w:t>
      </w:r>
      <w:r>
        <w:rPr>
          <w:rFonts w:hint="eastAsia" w:ascii="Times New Roman" w:hAnsi="Times New Roman" w:eastAsia="方正小标宋简体" w:cs="Times New Roman"/>
          <w:color w:val="auto"/>
          <w:spacing w:val="-1"/>
          <w:sz w:val="44"/>
          <w:szCs w:val="44"/>
          <w:highlight w:val="none"/>
          <w:lang w:val="en-US" w:eastAsia="zh-CN"/>
        </w:rPr>
        <w:t>光明区关于促进体育产业高质量发展的若干措施</w:t>
      </w:r>
      <w:r>
        <w:rPr>
          <w:rFonts w:hint="eastAsia" w:ascii="Times New Roman" w:hAnsi="Times New Roman" w:eastAsia="方正小标宋简体" w:cs="Times New Roman"/>
          <w:color w:val="auto"/>
          <w:sz w:val="44"/>
          <w:szCs w:val="44"/>
          <w:highlight w:val="none"/>
          <w:lang w:val="en-US" w:eastAsia="zh-CN"/>
        </w:rPr>
        <w:t>（送审稿）</w:t>
      </w:r>
      <w:r>
        <w:rPr>
          <w:rFonts w:hint="eastAsia" w:ascii="方正小标宋简体" w:hAnsi="方正小标宋简体" w:eastAsia="方正小标宋简体" w:cs="方正小标宋简体"/>
          <w:bCs/>
          <w:color w:val="auto"/>
          <w:sz w:val="44"/>
          <w:szCs w:val="44"/>
          <w:lang w:eastAsia="zh-CN"/>
        </w:rPr>
        <w:t>》</w:t>
      </w:r>
      <w:r>
        <w:rPr>
          <w:rFonts w:hint="eastAsia" w:ascii="方正小标宋简体" w:hAnsi="方正小标宋简体" w:eastAsia="方正小标宋简体" w:cs="方正小标宋简体"/>
          <w:bCs/>
          <w:color w:val="auto"/>
          <w:sz w:val="44"/>
          <w:szCs w:val="44"/>
        </w:rPr>
        <w:t>起草说明</w:t>
      </w:r>
    </w:p>
    <w:p>
      <w:pPr>
        <w:keepNext w:val="0"/>
        <w:keepLines w:val="0"/>
        <w:pageBreakBefore w:val="0"/>
        <w:widowControl w:val="0"/>
        <w:kinsoku/>
        <w:wordWrap/>
        <w:overflowPunct/>
        <w:topLinePunct w:val="0"/>
        <w:autoSpaceDE/>
        <w:autoSpaceDN/>
        <w:bidi w:val="0"/>
        <w:spacing w:beforeAutospacing="0" w:afterAutospacing="0" w:line="560" w:lineRule="exact"/>
        <w:ind w:firstLine="640"/>
        <w:textAlignment w:val="auto"/>
        <w:rPr>
          <w:rFonts w:hint="eastAsia" w:ascii="仿宋_GB2312" w:hAnsi="仿宋_GB2312" w:eastAsia="仿宋_GB2312" w:cs="仿宋_GB2312"/>
          <w:color w:val="auto"/>
          <w:sz w:val="32"/>
          <w:szCs w:val="32"/>
          <w:lang w:val="en"/>
        </w:rPr>
      </w:pPr>
    </w:p>
    <w:p>
      <w:pPr>
        <w:bidi w:val="0"/>
        <w:rPr>
          <w:rFonts w:hint="eastAsia" w:ascii="仿宋_GB2312" w:hAnsi="仿宋_GB2312" w:eastAsia="仿宋_GB2312" w:cs="仿宋_GB2312"/>
          <w:color w:val="auto"/>
        </w:rPr>
      </w:pPr>
      <w:r>
        <w:rPr>
          <w:rFonts w:hint="eastAsia" w:ascii="仿宋_GB2312" w:hAnsi="仿宋_GB2312" w:eastAsia="仿宋_GB2312" w:cs="仿宋_GB2312"/>
          <w:color w:val="auto"/>
        </w:rPr>
        <w:t>为更好发挥财政资金对</w:t>
      </w:r>
      <w:r>
        <w:rPr>
          <w:rFonts w:hint="eastAsia" w:cs="仿宋_GB2312"/>
          <w:color w:val="auto"/>
          <w:lang w:eastAsia="zh-CN"/>
        </w:rPr>
        <w:t>体育产业</w:t>
      </w:r>
      <w:r>
        <w:rPr>
          <w:rFonts w:hint="eastAsia" w:ascii="仿宋_GB2312" w:hAnsi="仿宋_GB2312" w:eastAsia="仿宋_GB2312" w:cs="仿宋_GB2312"/>
          <w:color w:val="auto"/>
        </w:rPr>
        <w:t>高质量发展的扶持和促进作用，进一步深入推动</w:t>
      </w:r>
      <w:r>
        <w:rPr>
          <w:rFonts w:hint="eastAsia" w:cs="仿宋_GB2312"/>
          <w:color w:val="auto"/>
          <w:lang w:val="en-US" w:eastAsia="zh-CN"/>
        </w:rPr>
        <w:t>体育</w:t>
      </w:r>
      <w:r>
        <w:rPr>
          <w:rFonts w:hint="eastAsia" w:cs="仿宋_GB2312"/>
          <w:color w:val="auto"/>
          <w:lang w:eastAsia="zh-CN"/>
        </w:rPr>
        <w:t>产业高质量</w:t>
      </w:r>
      <w:r>
        <w:rPr>
          <w:rFonts w:hint="eastAsia" w:ascii="仿宋_GB2312" w:hAnsi="仿宋_GB2312" w:eastAsia="仿宋_GB2312" w:cs="仿宋_GB2312"/>
          <w:color w:val="auto"/>
        </w:rPr>
        <w:t>发展，为全面建设世界一流科学城提供强力支撑。</w:t>
      </w:r>
      <w:r>
        <w:rPr>
          <w:rFonts w:hint="eastAsia" w:ascii="仿宋_GB2312" w:hAnsi="仿宋_GB2312" w:eastAsia="仿宋_GB2312" w:cs="仿宋_GB2312"/>
          <w:sz w:val="32"/>
          <w:szCs w:val="32"/>
        </w:rPr>
        <w:t>区文化广电旅游体育局</w:t>
      </w:r>
      <w:r>
        <w:rPr>
          <w:rFonts w:hint="eastAsia" w:cs="仿宋_GB2312"/>
          <w:sz w:val="32"/>
          <w:szCs w:val="32"/>
          <w:lang w:eastAsia="zh-CN"/>
        </w:rPr>
        <w:t>积极</w:t>
      </w:r>
      <w:r>
        <w:rPr>
          <w:rFonts w:hint="eastAsia" w:ascii="仿宋_GB2312" w:hAnsi="仿宋_GB2312" w:eastAsia="仿宋_GB2312" w:cs="仿宋_GB2312"/>
          <w:color w:val="auto"/>
        </w:rPr>
        <w:t>研判光明区</w:t>
      </w:r>
      <w:r>
        <w:rPr>
          <w:rFonts w:hint="eastAsia" w:cs="仿宋_GB2312"/>
          <w:color w:val="auto"/>
          <w:lang w:eastAsia="zh-CN"/>
        </w:rPr>
        <w:t>体育</w:t>
      </w:r>
      <w:r>
        <w:rPr>
          <w:rFonts w:hint="eastAsia" w:ascii="仿宋_GB2312" w:hAnsi="仿宋_GB2312" w:eastAsia="仿宋_GB2312" w:cs="仿宋_GB2312"/>
          <w:color w:val="auto"/>
        </w:rPr>
        <w:t>产业发展新形势、新目标、新需求，</w:t>
      </w:r>
      <w:r>
        <w:rPr>
          <w:rFonts w:hint="eastAsia" w:cs="仿宋_GB2312"/>
          <w:color w:val="auto"/>
          <w:lang w:eastAsia="zh-CN"/>
        </w:rPr>
        <w:t>起草了</w:t>
      </w:r>
      <w:r>
        <w:rPr>
          <w:rFonts w:hint="eastAsia" w:ascii="仿宋_GB2312" w:hAnsi="仿宋_GB2312" w:eastAsia="仿宋_GB2312" w:cs="仿宋_GB2312"/>
          <w:color w:val="auto"/>
        </w:rPr>
        <w:t>《</w:t>
      </w:r>
      <w:r>
        <w:rPr>
          <w:rFonts w:hint="eastAsia" w:cs="仿宋_GB2312"/>
          <w:color w:val="auto"/>
          <w:lang w:eastAsia="zh-CN"/>
        </w:rPr>
        <w:t>光明区关于促进体育产业高质量发展的若干措施（送审稿）</w:t>
      </w:r>
      <w:r>
        <w:rPr>
          <w:rFonts w:hint="eastAsia" w:ascii="仿宋_GB2312" w:hAnsi="仿宋_GB2312" w:eastAsia="仿宋_GB2312" w:cs="仿宋_GB2312"/>
          <w:color w:val="auto"/>
        </w:rPr>
        <w:t>》</w:t>
      </w:r>
      <w:r>
        <w:rPr>
          <w:rFonts w:hint="eastAsia" w:cs="仿宋_GB2312"/>
          <w:color w:val="auto"/>
          <w:lang w:eastAsia="zh-CN"/>
        </w:rPr>
        <w:t>（以下简称《若干措施》）。</w:t>
      </w:r>
      <w:r>
        <w:rPr>
          <w:rFonts w:hint="eastAsia" w:ascii="仿宋_GB2312" w:hAnsi="仿宋_GB2312" w:eastAsia="仿宋_GB2312" w:cs="仿宋_GB2312"/>
          <w:color w:val="auto"/>
        </w:rPr>
        <w:t>现将有关情况说明如下：</w:t>
      </w:r>
    </w:p>
    <w:p>
      <w:pPr>
        <w:keepNext w:val="0"/>
        <w:keepLines w:val="0"/>
        <w:pageBreakBefore w:val="0"/>
        <w:widowControl w:val="0"/>
        <w:kinsoku/>
        <w:wordWrap/>
        <w:overflowPunct/>
        <w:topLinePunct w:val="0"/>
        <w:autoSpaceDE/>
        <w:autoSpaceDN/>
        <w:bidi w:val="0"/>
        <w:spacing w:beforeAutospacing="0" w:afterAutospacing="0" w:line="560" w:lineRule="exact"/>
        <w:ind w:firstLine="643"/>
        <w:textAlignment w:val="auto"/>
        <w:rPr>
          <w:rFonts w:hint="eastAsia" w:ascii="黑体" w:hAnsi="黑体" w:eastAsia="黑体" w:cs="黑体"/>
          <w:color w:val="auto"/>
        </w:rPr>
      </w:pPr>
      <w:r>
        <w:rPr>
          <w:rFonts w:hint="eastAsia" w:ascii="黑体" w:hAnsi="黑体" w:eastAsia="黑体" w:cs="黑体"/>
          <w:color w:val="auto"/>
        </w:rPr>
        <w:t>一、</w:t>
      </w:r>
      <w:r>
        <w:rPr>
          <w:rFonts w:hint="eastAsia" w:ascii="黑体" w:hAnsi="黑体" w:eastAsia="黑体" w:cs="黑体"/>
          <w:color w:val="auto"/>
          <w:lang w:eastAsia="zh-CN"/>
        </w:rPr>
        <w:t>起草</w:t>
      </w:r>
      <w:r>
        <w:rPr>
          <w:rFonts w:hint="eastAsia" w:ascii="黑体" w:hAnsi="黑体" w:eastAsia="黑体" w:cs="黑体"/>
          <w:color w:val="auto"/>
        </w:rPr>
        <w:t>背景</w:t>
      </w:r>
    </w:p>
    <w:p>
      <w:pPr>
        <w:bidi w:val="0"/>
        <w:rPr>
          <w:rFonts w:hint="eastAsia" w:ascii="仿宋_GB2312" w:hAnsi="仿宋_GB2312" w:eastAsia="仿宋_GB2312" w:cs="仿宋_GB2312"/>
          <w:b/>
          <w:bCs/>
          <w:color w:val="auto"/>
          <w:lang w:val="en" w:eastAsia="zh-CN"/>
        </w:rPr>
      </w:pPr>
      <w:r>
        <w:rPr>
          <w:rFonts w:hint="eastAsia" w:ascii="仿宋_GB2312" w:hAnsi="仿宋_GB2312" w:eastAsia="仿宋_GB2312" w:cs="仿宋_GB2312"/>
          <w:color w:val="auto"/>
          <w:kern w:val="2"/>
          <w:sz w:val="32"/>
          <w:szCs w:val="32"/>
          <w:lang w:val="en-US" w:eastAsia="zh-CN" w:bidi="ar-SA"/>
        </w:rPr>
        <w:t>自《深圳市光明区关于支持体育产业发展的若干措施》（深光府规〔2021〕7号）实施以来，有效激发了各体育企业的积极性，</w:t>
      </w:r>
      <w:r>
        <w:rPr>
          <w:rFonts w:hint="eastAsia" w:cs="仿宋_GB2312"/>
          <w:color w:val="auto"/>
          <w:kern w:val="2"/>
          <w:sz w:val="32"/>
          <w:szCs w:val="32"/>
          <w:lang w:val="en-US" w:eastAsia="zh-CN" w:bidi="ar-SA"/>
        </w:rPr>
        <w:t>从该政策实施到现阶段，</w:t>
      </w:r>
      <w:r>
        <w:rPr>
          <w:rFonts w:hint="eastAsia" w:ascii="仿宋_GB2312" w:hAnsi="仿宋_GB2312" w:eastAsia="仿宋_GB2312" w:cs="仿宋_GB2312"/>
          <w:color w:val="auto"/>
          <w:kern w:val="2"/>
          <w:sz w:val="32"/>
          <w:szCs w:val="32"/>
          <w:lang w:val="en-US" w:eastAsia="zh-CN" w:bidi="ar-SA"/>
        </w:rPr>
        <w:t>国家、省、市</w:t>
      </w:r>
      <w:r>
        <w:rPr>
          <w:rFonts w:hint="eastAsia" w:cs="仿宋_GB2312"/>
          <w:color w:val="auto"/>
          <w:kern w:val="2"/>
          <w:sz w:val="32"/>
          <w:szCs w:val="32"/>
          <w:lang w:val="en-US" w:eastAsia="zh-CN" w:bidi="ar-SA"/>
        </w:rPr>
        <w:t>已</w:t>
      </w:r>
      <w:r>
        <w:rPr>
          <w:rFonts w:hint="eastAsia" w:ascii="仿宋_GB2312" w:hAnsi="仿宋_GB2312" w:eastAsia="仿宋_GB2312" w:cs="仿宋_GB2312"/>
          <w:color w:val="auto"/>
          <w:kern w:val="2"/>
          <w:sz w:val="32"/>
          <w:szCs w:val="32"/>
          <w:lang w:val="en-US" w:eastAsia="zh-CN" w:bidi="ar-SA"/>
        </w:rPr>
        <w:t>出台了多项</w:t>
      </w:r>
      <w:r>
        <w:rPr>
          <w:rFonts w:hint="eastAsia" w:cs="仿宋_GB2312"/>
          <w:color w:val="auto"/>
          <w:kern w:val="2"/>
          <w:sz w:val="32"/>
          <w:szCs w:val="32"/>
          <w:lang w:val="en-US" w:eastAsia="zh-CN" w:bidi="ar-SA"/>
        </w:rPr>
        <w:t>关于促进体育产业发展的</w:t>
      </w:r>
      <w:r>
        <w:rPr>
          <w:rFonts w:hint="eastAsia" w:ascii="仿宋_GB2312" w:hAnsi="仿宋_GB2312" w:eastAsia="仿宋_GB2312" w:cs="仿宋_GB2312"/>
          <w:color w:val="auto"/>
          <w:kern w:val="2"/>
          <w:sz w:val="32"/>
          <w:szCs w:val="32"/>
          <w:lang w:val="en-US" w:eastAsia="zh-CN" w:bidi="ar-SA"/>
        </w:rPr>
        <w:t>政策，对体育产业作出重要决策部署，为推动构建现代化的体育产业体系进一步指明了方向。在粤港澳大湾区建设、中国特色社会主义先行示范区的“双区驱动”建设背景下，深圳肩负着率先示范和打造社会主义现代化文明城市的时代使命，亟须发展更具竞争力的现代体育产业体系。光明区现阶段</w:t>
      </w:r>
      <w:r>
        <w:rPr>
          <w:rFonts w:hint="eastAsia" w:cs="仿宋_GB2312"/>
          <w:color w:val="auto"/>
          <w:kern w:val="2"/>
          <w:sz w:val="32"/>
          <w:szCs w:val="32"/>
          <w:lang w:val="en-US" w:eastAsia="zh-CN" w:bidi="ar-SA"/>
        </w:rPr>
        <w:t>的环境场景、场地设施、赛事平台、产业资源等基础更加扎实，为推进</w:t>
      </w:r>
      <w:r>
        <w:rPr>
          <w:rFonts w:hint="eastAsia" w:ascii="仿宋_GB2312" w:hAnsi="仿宋_GB2312" w:eastAsia="仿宋_GB2312" w:cs="仿宋_GB2312"/>
          <w:color w:val="auto"/>
          <w:kern w:val="2"/>
          <w:sz w:val="32"/>
          <w:szCs w:val="32"/>
          <w:lang w:val="en-US" w:eastAsia="zh-CN" w:bidi="ar-SA"/>
        </w:rPr>
        <w:t>体育事业高质量发展的</w:t>
      </w:r>
      <w:r>
        <w:rPr>
          <w:rFonts w:hint="eastAsia" w:cs="仿宋_GB2312"/>
          <w:color w:val="auto"/>
          <w:kern w:val="2"/>
          <w:sz w:val="32"/>
          <w:szCs w:val="32"/>
          <w:lang w:val="en-US" w:eastAsia="zh-CN" w:bidi="ar-SA"/>
        </w:rPr>
        <w:t>提供了更有力</w:t>
      </w:r>
      <w:r>
        <w:rPr>
          <w:rFonts w:hint="eastAsia" w:ascii="仿宋_GB2312" w:hAnsi="仿宋_GB2312" w:eastAsia="仿宋_GB2312" w:cs="仿宋_GB2312"/>
          <w:color w:val="auto"/>
          <w:kern w:val="2"/>
          <w:sz w:val="32"/>
          <w:szCs w:val="32"/>
          <w:lang w:val="en-US" w:eastAsia="zh-CN" w:bidi="ar-SA"/>
        </w:rPr>
        <w:t>支撑</w:t>
      </w:r>
      <w:r>
        <w:rPr>
          <w:rFonts w:hint="eastAsia" w:cs="仿宋_GB2312"/>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beforeAutospacing="0" w:afterAutospacing="0" w:line="560" w:lineRule="exact"/>
        <w:ind w:firstLine="640"/>
        <w:textAlignment w:val="auto"/>
        <w:rPr>
          <w:rFonts w:hint="default" w:ascii="黑体" w:hAnsi="黑体" w:eastAsia="黑体" w:cs="黑体"/>
          <w:color w:val="auto"/>
        </w:rPr>
      </w:pPr>
      <w:r>
        <w:rPr>
          <w:rFonts w:hint="default" w:ascii="黑体" w:hAnsi="黑体" w:eastAsia="黑体" w:cs="黑体"/>
          <w:color w:val="auto"/>
          <w:lang w:eastAsia="zh-CN"/>
        </w:rPr>
        <w:t>二、</w:t>
      </w:r>
      <w:r>
        <w:rPr>
          <w:rFonts w:hint="default" w:ascii="黑体" w:hAnsi="黑体" w:eastAsia="黑体" w:cs="黑体"/>
          <w:color w:val="auto"/>
        </w:rPr>
        <w:t>必要性、可行性</w:t>
      </w:r>
    </w:p>
    <w:p>
      <w:pPr>
        <w:keepNext w:val="0"/>
        <w:keepLines w:val="0"/>
        <w:pageBreakBefore w:val="0"/>
        <w:widowControl w:val="0"/>
        <w:kinsoku/>
        <w:wordWrap/>
        <w:overflowPunct/>
        <w:topLinePunct w:val="0"/>
        <w:autoSpaceDE/>
        <w:autoSpaceDN/>
        <w:bidi w:val="0"/>
        <w:spacing w:beforeAutospacing="0" w:afterAutospacing="0" w:line="560" w:lineRule="exact"/>
        <w:ind w:firstLine="640"/>
        <w:textAlignment w:val="auto"/>
        <w:rPr>
          <w:rFonts w:hint="eastAsia"/>
          <w:color w:val="auto"/>
          <w:lang w:val="en"/>
        </w:rPr>
      </w:pPr>
      <w:r>
        <w:rPr>
          <w:rFonts w:hint="eastAsia" w:ascii="仿宋_GB2312" w:hAnsi="仿宋_GB2312" w:eastAsia="仿宋_GB2312" w:cs="仿宋_GB2312"/>
          <w:color w:val="auto"/>
          <w:kern w:val="2"/>
          <w:sz w:val="32"/>
          <w:szCs w:val="32"/>
          <w:lang w:val="en-US" w:eastAsia="zh-CN" w:bidi="ar-SA"/>
        </w:rPr>
        <w:t>2024年5月，《深圳市光明区关于支持体育产业发展的若干措施》已到期失效，且存在部分条款缺乏落地性、前瞻性，以及表述不严谨，存在违反公平竞争规定、与上级文件精神不符等问题，难以适应新的产业发展需要。</w:t>
      </w:r>
      <w:bookmarkStart w:id="0" w:name="_GoBack"/>
      <w:bookmarkEnd w:id="0"/>
      <w:r>
        <w:rPr>
          <w:rFonts w:hint="eastAsia" w:ascii="仿宋_GB2312" w:hAnsi="仿宋_GB2312" w:eastAsia="仿宋_GB2312" w:cs="仿宋_GB2312"/>
          <w:color w:val="auto"/>
          <w:kern w:val="2"/>
          <w:sz w:val="32"/>
          <w:szCs w:val="32"/>
          <w:lang w:val="en-US" w:eastAsia="zh-CN" w:bidi="ar-SA"/>
        </w:rPr>
        <w:t>因此，亟须加快修订推出更贴合光明体育产业发展实际、更具科学性和落地性的产业政策，发挥政策引导和财政资金撬动作用，助力体育产业高质量发展</w:t>
      </w:r>
      <w:r>
        <w:rPr>
          <w:rFonts w:hint="eastAsia"/>
          <w:color w:val="auto"/>
          <w:lang w:val="en"/>
        </w:rPr>
        <w:t>。</w:t>
      </w:r>
    </w:p>
    <w:p>
      <w:pPr>
        <w:keepNext w:val="0"/>
        <w:keepLines w:val="0"/>
        <w:pageBreakBefore w:val="0"/>
        <w:widowControl w:val="0"/>
        <w:kinsoku/>
        <w:wordWrap/>
        <w:overflowPunct/>
        <w:topLinePunct w:val="0"/>
        <w:autoSpaceDE/>
        <w:autoSpaceDN/>
        <w:bidi w:val="0"/>
        <w:spacing w:beforeAutospacing="0" w:afterAutospacing="0" w:line="560" w:lineRule="exact"/>
        <w:ind w:firstLine="643"/>
        <w:textAlignment w:val="auto"/>
        <w:rPr>
          <w:rFonts w:hint="eastAsia" w:ascii="黑体" w:hAnsi="黑体" w:eastAsia="黑体" w:cs="黑体"/>
          <w:color w:val="auto"/>
          <w:lang w:eastAsia="zh-CN"/>
        </w:rPr>
      </w:pPr>
      <w:r>
        <w:rPr>
          <w:rFonts w:hint="eastAsia" w:ascii="黑体" w:hAnsi="黑体" w:eastAsia="黑体" w:cs="黑体"/>
          <w:color w:val="auto"/>
          <w:lang w:eastAsia="zh-CN"/>
        </w:rPr>
        <w:t>三、法律法规依据</w:t>
      </w:r>
    </w:p>
    <w:p>
      <w:pPr>
        <w:bidi w:val="0"/>
        <w:rPr>
          <w:rFonts w:hint="eastAsia" w:ascii="仿宋_GB2312" w:hAnsi="仿宋_GB2312" w:eastAsia="仿宋_GB2312" w:cs="仿宋_GB2312"/>
          <w:color w:val="auto"/>
          <w:lang w:val="en"/>
        </w:rPr>
      </w:pPr>
      <w:r>
        <w:rPr>
          <w:rFonts w:hint="eastAsia" w:ascii="仿宋_GB2312" w:hAnsi="仿宋_GB2312" w:eastAsia="仿宋_GB2312" w:cs="仿宋_GB2312"/>
          <w:color w:val="auto"/>
          <w:kern w:val="2"/>
          <w:sz w:val="32"/>
          <w:szCs w:val="32"/>
          <w:lang w:val="en-US" w:eastAsia="zh-CN" w:bidi="ar-SA"/>
        </w:rPr>
        <w:t>《若干措施》起草和修订期间，</w:t>
      </w:r>
      <w:r>
        <w:rPr>
          <w:rFonts w:hint="eastAsia" w:cs="仿宋_GB2312"/>
          <w:color w:val="auto"/>
          <w:kern w:val="2"/>
          <w:sz w:val="32"/>
          <w:szCs w:val="32"/>
          <w:lang w:val="en-US" w:eastAsia="zh-CN" w:bidi="ar-SA"/>
        </w:rPr>
        <w:t>我局收集了</w:t>
      </w:r>
      <w:r>
        <w:rPr>
          <w:rFonts w:hint="eastAsia" w:ascii="仿宋_GB2312" w:hAnsi="仿宋_GB2312" w:eastAsia="仿宋_GB2312" w:cs="仿宋_GB2312"/>
          <w:color w:val="auto"/>
          <w:kern w:val="2"/>
          <w:sz w:val="32"/>
          <w:szCs w:val="32"/>
          <w:lang w:val="en-US" w:eastAsia="zh-CN" w:bidi="ar-SA"/>
        </w:rPr>
        <w:t>大量政策文件和参考资料，主要依据包括：《国务院办公厅关于释放体育消费潜力进一步推进体育产业高质量发展的意见》、《国家发展改革委、体育总局关于建设高质量户外运动目的地的指导意见》</w:t>
      </w:r>
      <w:r>
        <w:rPr>
          <w:rFonts w:hint="eastAsia" w:cs="仿宋_GB2312"/>
          <w:color w:val="auto"/>
          <w:kern w:val="2"/>
          <w:sz w:val="32"/>
          <w:szCs w:val="32"/>
          <w:lang w:val="en-US" w:eastAsia="zh-CN" w:bidi="ar-SA"/>
        </w:rPr>
        <w:t>《中共广东省委、广东省人民政府关于扎实推动体育高质量发展建设高水平体育强省的意见》</w:t>
      </w:r>
      <w:r>
        <w:rPr>
          <w:rFonts w:hint="eastAsia" w:ascii="仿宋_GB2312" w:hAnsi="仿宋_GB2312" w:eastAsia="仿宋_GB2312" w:cs="仿宋_GB2312"/>
          <w:color w:val="auto"/>
          <w:kern w:val="2"/>
          <w:sz w:val="32"/>
          <w:szCs w:val="32"/>
          <w:lang w:val="en-US" w:eastAsia="zh-CN" w:bidi="ar-SA"/>
        </w:rPr>
        <w:t>《深圳市推动体育产业高质量发展的若干措施》（深文规〔2024〕9号）等</w:t>
      </w:r>
      <w:r>
        <w:rPr>
          <w:rFonts w:hint="eastAsia" w:cs="仿宋_GB2312"/>
          <w:color w:val="auto"/>
          <w:kern w:val="2"/>
          <w:sz w:val="32"/>
          <w:szCs w:val="32"/>
          <w:lang w:val="en-US" w:eastAsia="zh-CN" w:bidi="ar-SA"/>
        </w:rPr>
        <w:t>重要文件</w:t>
      </w:r>
      <w:r>
        <w:rPr>
          <w:rFonts w:hint="eastAsia" w:ascii="仿宋_GB2312" w:hAnsi="仿宋_GB2312" w:eastAsia="仿宋_GB2312" w:cs="仿宋_GB2312"/>
          <w:color w:val="auto"/>
          <w:kern w:val="2"/>
          <w:sz w:val="32"/>
          <w:szCs w:val="32"/>
          <w:lang w:val="en-US" w:eastAsia="zh-CN" w:bidi="ar-SA"/>
        </w:rPr>
        <w:t>，同时也参考了《中国体育产业发展报告（2023～2024）》《</w:t>
      </w:r>
      <w:r>
        <w:rPr>
          <w:rFonts w:hint="eastAsia" w:cs="仿宋_GB2312"/>
          <w:color w:val="auto"/>
          <w:kern w:val="2"/>
          <w:sz w:val="32"/>
          <w:szCs w:val="32"/>
          <w:lang w:val="en-US" w:eastAsia="zh-CN" w:bidi="ar-SA"/>
        </w:rPr>
        <w:t>2</w:t>
      </w:r>
      <w:r>
        <w:rPr>
          <w:rFonts w:hint="eastAsia" w:ascii="仿宋_GB2312" w:hAnsi="仿宋_GB2312" w:eastAsia="仿宋_GB2312" w:cs="仿宋_GB2312"/>
          <w:color w:val="auto"/>
          <w:kern w:val="2"/>
          <w:sz w:val="32"/>
          <w:szCs w:val="32"/>
          <w:lang w:val="en-US" w:eastAsia="zh-CN" w:bidi="ar-SA"/>
        </w:rPr>
        <w:t>024年深圳市体育产业统计调查报告》等重要报告</w:t>
      </w:r>
      <w:r>
        <w:rPr>
          <w:rFonts w:hint="eastAsia" w:cs="仿宋_GB2312"/>
          <w:color w:val="auto"/>
          <w:kern w:val="2"/>
          <w:sz w:val="32"/>
          <w:szCs w:val="32"/>
          <w:lang w:val="en-US" w:eastAsia="zh-CN" w:bidi="ar-SA"/>
        </w:rPr>
        <w:t>文件</w:t>
      </w:r>
      <w:r>
        <w:rPr>
          <w:rFonts w:hint="eastAsia" w:ascii="仿宋_GB2312" w:hAnsi="仿宋_GB2312" w:eastAsia="仿宋_GB2312" w:cs="仿宋_GB2312"/>
          <w:color w:val="auto"/>
          <w:kern w:val="2"/>
          <w:sz w:val="32"/>
          <w:szCs w:val="32"/>
          <w:lang w:val="en-US" w:eastAsia="zh-CN" w:bidi="ar-SA"/>
        </w:rPr>
        <w:t>，</w:t>
      </w:r>
      <w:r>
        <w:rPr>
          <w:rFonts w:hint="eastAsia" w:cs="仿宋_GB2312"/>
          <w:color w:val="auto"/>
          <w:kern w:val="2"/>
          <w:sz w:val="32"/>
          <w:szCs w:val="32"/>
          <w:lang w:val="en-US" w:eastAsia="zh-CN" w:bidi="ar-SA"/>
        </w:rPr>
        <w:t>对标</w:t>
      </w:r>
      <w:r>
        <w:rPr>
          <w:rFonts w:hint="eastAsia" w:ascii="仿宋_GB2312" w:hAnsi="仿宋_GB2312" w:eastAsia="仿宋_GB2312" w:cs="仿宋_GB2312"/>
          <w:color w:val="auto"/>
          <w:kern w:val="2"/>
          <w:sz w:val="32"/>
          <w:szCs w:val="32"/>
          <w:lang w:val="en-US" w:eastAsia="zh-CN" w:bidi="ar-SA"/>
        </w:rPr>
        <w:t>北京、上海、广州、成都等先进城市政策</w:t>
      </w:r>
      <w:r>
        <w:rPr>
          <w:rFonts w:hint="eastAsia" w:cs="仿宋_GB2312"/>
          <w:color w:val="auto"/>
          <w:kern w:val="2"/>
          <w:sz w:val="32"/>
          <w:szCs w:val="32"/>
          <w:lang w:val="en-US" w:eastAsia="zh-CN" w:bidi="ar-SA"/>
        </w:rPr>
        <w:t>文件</w:t>
      </w:r>
      <w:r>
        <w:rPr>
          <w:rFonts w:hint="eastAsia" w:ascii="仿宋_GB2312" w:hAnsi="仿宋_GB2312" w:eastAsia="仿宋_GB2312" w:cs="仿宋_GB2312"/>
          <w:color w:val="auto"/>
          <w:kern w:val="2"/>
          <w:sz w:val="32"/>
          <w:szCs w:val="32"/>
          <w:lang w:val="en-US" w:eastAsia="zh-CN" w:bidi="ar-SA"/>
        </w:rPr>
        <w:t>，以及深圳市其他区有关促进体育产业的发展措施，并结合光明区实际情况开展编制。</w:t>
      </w:r>
    </w:p>
    <w:p>
      <w:pPr>
        <w:autoSpaceDE/>
        <w:bidi w:val="0"/>
        <w:spacing w:line="560" w:lineRule="exact"/>
        <w:ind w:firstLine="643"/>
        <w:rPr>
          <w:rFonts w:hint="default" w:ascii="黑体" w:hAnsi="黑体" w:eastAsia="黑体" w:cs="黑体"/>
          <w:color w:val="auto"/>
          <w:lang w:val="en-US" w:eastAsia="zh-CN"/>
        </w:rPr>
      </w:pPr>
      <w:r>
        <w:rPr>
          <w:rFonts w:hint="eastAsia" w:ascii="黑体" w:hAnsi="黑体" w:eastAsia="黑体" w:cs="黑体"/>
          <w:color w:val="auto"/>
          <w:lang w:val="en-US" w:eastAsia="zh-CN"/>
        </w:rPr>
        <w:t>四</w:t>
      </w:r>
      <w:r>
        <w:rPr>
          <w:rFonts w:hint="default" w:ascii="黑体" w:hAnsi="黑体" w:eastAsia="黑体" w:cs="黑体"/>
          <w:color w:val="auto"/>
          <w:lang w:val="en-US" w:eastAsia="zh-CN"/>
        </w:rPr>
        <w:t>、总体思路</w:t>
      </w:r>
    </w:p>
    <w:p>
      <w:pPr>
        <w:pStyle w:val="2"/>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光明区顺利承接第十五届全运会比赛项目，现阶段体育事业蓬勃发展，体育产业发展势头强劲，政策修订总体思路是聚焦推动赛事经济发展、体育健身休闲消费提质扩容，制定助力体育产业实现规模与质量双提升的政策支撑文件。本次文件起草原则：</w:t>
      </w:r>
    </w:p>
    <w:p>
      <w:pPr>
        <w:pStyle w:val="2"/>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（一）坚持战略导向原则。</w:t>
      </w:r>
      <w:r>
        <w:rPr>
          <w:rFonts w:hint="eastAsia" w:ascii="仿宋_GB2312" w:hAnsi="仿宋_GB2312" w:eastAsia="仿宋_GB2312" w:cs="仿宋_GB2312"/>
          <w:color w:val="auto"/>
          <w:kern w:val="2"/>
          <w:sz w:val="32"/>
          <w:szCs w:val="32"/>
          <w:lang w:val="en-US" w:eastAsia="zh-CN" w:bidi="ar-SA"/>
        </w:rPr>
        <w:t>立足光明科学城的发展需求，全力建设具有光明科学城特色的体育产业，推动体育产业转型升级、提质增效。</w:t>
      </w:r>
    </w:p>
    <w:p>
      <w:pPr>
        <w:pStyle w:val="2"/>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（二）坚持发展导向原则，</w:t>
      </w:r>
      <w:r>
        <w:rPr>
          <w:rFonts w:hint="eastAsia" w:ascii="仿宋_GB2312" w:hAnsi="仿宋_GB2312" w:eastAsia="仿宋_GB2312" w:cs="仿宋_GB2312"/>
          <w:color w:val="auto"/>
          <w:kern w:val="2"/>
          <w:sz w:val="32"/>
          <w:szCs w:val="32"/>
          <w:lang w:val="en-US" w:eastAsia="zh-CN" w:bidi="ar-SA"/>
        </w:rPr>
        <w:t>起草过程中，组织系统学习上级系列政策文件精神，认真学习各地先进政策经验，广泛了解区内企业、协会等主体发展需求，重点针对市场主体、赛事活动、促进消费等制定相关扶持措施，着力打造影响力卓著、凸显光明特色的现代体育产业政策体系。</w:t>
      </w:r>
    </w:p>
    <w:p>
      <w:pPr>
        <w:pStyle w:val="2"/>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cs="仿宋_GB2312"/>
          <w:color w:val="auto"/>
          <w:lang w:val="en"/>
        </w:rPr>
      </w:pPr>
      <w:r>
        <w:rPr>
          <w:rFonts w:hint="eastAsia" w:ascii="楷体_GB2312" w:hAnsi="楷体_GB2312" w:eastAsia="楷体_GB2312" w:cs="楷体_GB2312"/>
          <w:color w:val="auto"/>
          <w:kern w:val="2"/>
          <w:sz w:val="32"/>
          <w:szCs w:val="32"/>
          <w:lang w:val="en-US" w:eastAsia="zh-CN" w:bidi="ar-SA"/>
        </w:rPr>
        <w:t>（三）坚持问题导向原则。</w:t>
      </w:r>
      <w:r>
        <w:rPr>
          <w:rFonts w:hint="eastAsia" w:ascii="仿宋_GB2312" w:hAnsi="仿宋_GB2312" w:eastAsia="仿宋_GB2312" w:cs="仿宋_GB2312"/>
          <w:color w:val="auto"/>
          <w:kern w:val="2"/>
          <w:sz w:val="32"/>
          <w:szCs w:val="32"/>
          <w:lang w:val="en-US" w:eastAsia="zh-CN" w:bidi="ar-SA"/>
        </w:rPr>
        <w:t>深入分析旧政策存在部分条款缺乏落地性、前瞻性，与上级文件精神不符等问题，仔细研究政策重点支持方向，结合光明区体育产业发展实际，确保新修订政策即符合法律、法规、规章等上位法的规定，又贴合文化企业产业发展的实际需求，对旧政策进行优化调整。</w:t>
      </w:r>
    </w:p>
    <w:p>
      <w:pPr>
        <w:keepNext w:val="0"/>
        <w:keepLines w:val="0"/>
        <w:pageBreakBefore w:val="0"/>
        <w:widowControl w:val="0"/>
        <w:kinsoku/>
        <w:wordWrap/>
        <w:overflowPunct/>
        <w:topLinePunct w:val="0"/>
        <w:autoSpaceDE/>
        <w:autoSpaceDN/>
        <w:bidi w:val="0"/>
        <w:spacing w:beforeAutospacing="0" w:afterAutospacing="0" w:line="560" w:lineRule="exact"/>
        <w:ind w:firstLine="643"/>
        <w:textAlignment w:val="auto"/>
        <w:rPr>
          <w:rFonts w:hint="eastAsia" w:ascii="黑体" w:hAnsi="黑体" w:eastAsia="黑体" w:cs="黑体"/>
          <w:color w:val="auto"/>
        </w:rPr>
      </w:pPr>
      <w:r>
        <w:rPr>
          <w:rFonts w:hint="eastAsia" w:ascii="黑体" w:hAnsi="黑体" w:eastAsia="黑体" w:cs="黑体"/>
          <w:color w:val="auto"/>
          <w:lang w:val="en-US" w:eastAsia="zh-CN"/>
        </w:rPr>
        <w:t>五</w:t>
      </w:r>
      <w:r>
        <w:rPr>
          <w:rFonts w:hint="eastAsia" w:ascii="黑体" w:hAnsi="黑体" w:eastAsia="黑体" w:cs="黑体"/>
          <w:color w:val="auto"/>
        </w:rPr>
        <w:t>、主要内容</w:t>
      </w:r>
    </w:p>
    <w:p>
      <w:pPr>
        <w:rPr>
          <w:rFonts w:hint="eastAsia" w:ascii="仿宋_GB2312" w:hAnsi="仿宋_GB2312" w:cs="仿宋_GB2312"/>
          <w:b w:val="0"/>
          <w:bCs w:val="0"/>
          <w:color w:val="auto"/>
          <w:szCs w:val="32"/>
        </w:rPr>
      </w:pPr>
      <w:r>
        <w:rPr>
          <w:rFonts w:hint="eastAsia" w:ascii="仿宋_GB2312" w:hAnsi="仿宋_GB2312" w:cs="仿宋_GB2312"/>
          <w:b w:val="0"/>
          <w:bCs w:val="0"/>
          <w:color w:val="auto"/>
          <w:szCs w:val="32"/>
        </w:rPr>
        <w:t>《若干措施》，</w:t>
      </w:r>
      <w:r>
        <w:rPr>
          <w:rFonts w:hint="eastAsia" w:cs="仿宋_GB2312"/>
          <w:b w:val="0"/>
          <w:bCs w:val="0"/>
          <w:color w:val="auto"/>
          <w:szCs w:val="32"/>
          <w:lang w:eastAsia="zh-CN"/>
        </w:rPr>
        <w:t>共</w:t>
      </w:r>
      <w:r>
        <w:rPr>
          <w:rFonts w:hint="eastAsia" w:cs="仿宋_GB2312"/>
          <w:b w:val="0"/>
          <w:bCs w:val="0"/>
          <w:color w:val="auto"/>
          <w:szCs w:val="32"/>
          <w:lang w:val="en-US" w:eastAsia="zh-CN"/>
        </w:rPr>
        <w:t>3部分，涵盖条款6</w:t>
      </w:r>
      <w:r>
        <w:rPr>
          <w:rFonts w:hint="eastAsia" w:ascii="仿宋_GB2312" w:hAnsi="仿宋_GB2312" w:cs="仿宋_GB2312"/>
          <w:b w:val="0"/>
          <w:bCs w:val="0"/>
          <w:color w:val="auto"/>
          <w:szCs w:val="32"/>
        </w:rPr>
        <w:t>条，</w:t>
      </w:r>
      <w:r>
        <w:rPr>
          <w:rFonts w:hint="eastAsia" w:cs="仿宋_GB2312"/>
          <w:b w:val="0"/>
          <w:bCs w:val="0"/>
          <w:color w:val="auto"/>
          <w:szCs w:val="32"/>
          <w:lang w:eastAsia="zh-CN"/>
        </w:rPr>
        <w:t>主要部分内容如下</w:t>
      </w:r>
      <w:r>
        <w:rPr>
          <w:rFonts w:hint="eastAsia" w:ascii="仿宋_GB2312" w:hAnsi="仿宋_GB2312" w:cs="仿宋_GB2312"/>
          <w:b w:val="0"/>
          <w:bCs w:val="0"/>
          <w:color w:val="auto"/>
          <w:szCs w:val="32"/>
        </w:rPr>
        <w:t>：</w:t>
      </w:r>
    </w:p>
    <w:p>
      <w:pPr>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（一）着力发展体育赛事经济</w:t>
      </w:r>
    </w:p>
    <w:p>
      <w:pPr>
        <w:rPr>
          <w:rFonts w:hint="eastAsia" w:ascii="仿宋_GB2312" w:hAnsi="仿宋_GB2312" w:cs="仿宋_GB2312"/>
          <w:b w:val="0"/>
          <w:bCs w:val="0"/>
          <w:color w:val="auto"/>
          <w:szCs w:val="32"/>
        </w:rPr>
      </w:pPr>
      <w:r>
        <w:rPr>
          <w:rFonts w:hint="eastAsia" w:ascii="仿宋_GB2312" w:hAnsi="仿宋_GB2312" w:eastAsia="仿宋_GB2312" w:cs="仿宋_GB2312"/>
          <w:b w:val="0"/>
          <w:bCs w:val="0"/>
          <w:color w:val="auto"/>
          <w:kern w:val="2"/>
          <w:sz w:val="32"/>
          <w:szCs w:val="32"/>
          <w:lang w:val="en-US" w:eastAsia="zh-CN" w:bidi="ar-SA"/>
        </w:rPr>
        <w:t>该部分聚焦依托光明区专业场馆群</w:t>
      </w:r>
      <w:r>
        <w:rPr>
          <w:rFonts w:hint="eastAsia" w:cs="仿宋_GB2312"/>
          <w:b w:val="0"/>
          <w:bCs w:val="0"/>
          <w:color w:val="auto"/>
          <w:kern w:val="2"/>
          <w:sz w:val="32"/>
          <w:szCs w:val="32"/>
          <w:lang w:val="en-US" w:eastAsia="zh-CN" w:bidi="ar-SA"/>
        </w:rPr>
        <w:t>和户外运动设施</w:t>
      </w:r>
      <w:r>
        <w:rPr>
          <w:rFonts w:hint="eastAsia" w:ascii="仿宋_GB2312" w:hAnsi="仿宋_GB2312" w:eastAsia="仿宋_GB2312" w:cs="仿宋_GB2312"/>
          <w:b w:val="0"/>
          <w:bCs w:val="0"/>
          <w:color w:val="auto"/>
          <w:kern w:val="2"/>
          <w:sz w:val="32"/>
          <w:szCs w:val="32"/>
          <w:lang w:val="en-US" w:eastAsia="zh-CN" w:bidi="ar-SA"/>
        </w:rPr>
        <w:t>等优质</w:t>
      </w:r>
      <w:r>
        <w:rPr>
          <w:rFonts w:hint="eastAsia" w:cs="仿宋_GB2312"/>
          <w:b w:val="0"/>
          <w:bCs w:val="0"/>
          <w:color w:val="auto"/>
          <w:kern w:val="2"/>
          <w:sz w:val="32"/>
          <w:szCs w:val="32"/>
          <w:lang w:val="en-US" w:eastAsia="zh-CN" w:bidi="ar-SA"/>
        </w:rPr>
        <w:t>场景条件</w:t>
      </w:r>
      <w:r>
        <w:rPr>
          <w:rFonts w:hint="eastAsia" w:ascii="仿宋_GB2312" w:hAnsi="仿宋_GB2312" w:eastAsia="仿宋_GB2312" w:cs="仿宋_GB2312"/>
          <w:b w:val="0"/>
          <w:bCs w:val="0"/>
          <w:color w:val="auto"/>
          <w:kern w:val="2"/>
          <w:sz w:val="32"/>
          <w:szCs w:val="32"/>
          <w:lang w:val="en-US" w:eastAsia="zh-CN" w:bidi="ar-SA"/>
        </w:rPr>
        <w:t>，放大体育赛事对文旅消费的带动效应，弥补区域高水平赛事规模与影响力不足等短板，</w:t>
      </w:r>
      <w:r>
        <w:rPr>
          <w:rFonts w:hint="eastAsia" w:ascii="仿宋_GB2312" w:hAnsi="仿宋_GB2312" w:cs="仿宋_GB2312"/>
          <w:b w:val="0"/>
          <w:bCs w:val="0"/>
          <w:color w:val="auto"/>
          <w:szCs w:val="32"/>
          <w:lang w:val="en-US" w:eastAsia="zh-CN"/>
        </w:rPr>
        <w:t>共</w:t>
      </w:r>
      <w:r>
        <w:rPr>
          <w:rFonts w:hint="eastAsia" w:cs="仿宋_GB2312"/>
          <w:b w:val="0"/>
          <w:bCs w:val="0"/>
          <w:color w:val="auto"/>
          <w:szCs w:val="32"/>
          <w:lang w:val="en-US" w:eastAsia="zh-CN"/>
        </w:rPr>
        <w:t>4</w:t>
      </w:r>
      <w:r>
        <w:rPr>
          <w:rFonts w:hint="eastAsia" w:ascii="仿宋_GB2312" w:hAnsi="仿宋_GB2312" w:cs="仿宋_GB2312"/>
          <w:b w:val="0"/>
          <w:bCs w:val="0"/>
          <w:color w:val="auto"/>
          <w:szCs w:val="32"/>
          <w:lang w:val="en-US" w:eastAsia="zh-CN"/>
        </w:rPr>
        <w:t>条，</w:t>
      </w:r>
      <w:r>
        <w:rPr>
          <w:rFonts w:hint="eastAsia" w:ascii="仿宋_GB2312" w:hAnsi="仿宋_GB2312" w:eastAsia="仿宋_GB2312" w:cs="仿宋_GB2312"/>
          <w:b w:val="0"/>
          <w:bCs w:val="0"/>
          <w:color w:val="auto"/>
          <w:kern w:val="2"/>
          <w:sz w:val="32"/>
          <w:szCs w:val="32"/>
          <w:lang w:val="en-US" w:eastAsia="zh-CN" w:bidi="ar-SA"/>
        </w:rPr>
        <w:t>主要包含：</w:t>
      </w:r>
      <w:r>
        <w:rPr>
          <w:rFonts w:hint="default" w:ascii="Times New Roman" w:hAnsi="Times New Roman" w:cs="Times New Roman"/>
          <w:color w:val="auto"/>
          <w:lang w:val="en-US" w:eastAsia="zh-CN"/>
        </w:rPr>
        <w:t>支持举办重大体育赛事</w:t>
      </w:r>
      <w:r>
        <w:rPr>
          <w:rFonts w:hint="eastAsia" w:cs="仿宋_GB2312"/>
          <w:b w:val="0"/>
          <w:bCs w:val="0"/>
          <w:color w:val="auto"/>
          <w:szCs w:val="32"/>
          <w:lang w:val="en-US" w:eastAsia="zh-CN"/>
        </w:rPr>
        <w:t>，</w:t>
      </w:r>
      <w:r>
        <w:rPr>
          <w:rFonts w:hint="default" w:ascii="Times New Roman" w:hAnsi="Times New Roman" w:cs="Times New Roman"/>
          <w:color w:val="auto"/>
          <w:lang w:val="en-US" w:eastAsia="zh-CN"/>
        </w:rPr>
        <w:t>支持举办</w:t>
      </w:r>
      <w:r>
        <w:rPr>
          <w:rFonts w:hint="eastAsia" w:cs="Times New Roman"/>
          <w:color w:val="auto"/>
          <w:lang w:val="en-US" w:eastAsia="zh-CN"/>
        </w:rPr>
        <w:t>规模以上</w:t>
      </w:r>
      <w:r>
        <w:rPr>
          <w:rFonts w:hint="default" w:ascii="Times New Roman" w:hAnsi="Times New Roman" w:cs="Times New Roman"/>
          <w:color w:val="auto"/>
          <w:lang w:val="en-US" w:eastAsia="zh-CN"/>
        </w:rPr>
        <w:t>体育赛事</w:t>
      </w:r>
      <w:r>
        <w:rPr>
          <w:rFonts w:hint="eastAsia" w:cs="Times New Roman"/>
          <w:color w:val="auto"/>
          <w:lang w:val="en-US" w:eastAsia="zh-CN"/>
        </w:rPr>
        <w:t>活动</w:t>
      </w:r>
      <w:r>
        <w:rPr>
          <w:rFonts w:hint="eastAsia" w:cs="仿宋_GB2312"/>
          <w:b w:val="0"/>
          <w:bCs w:val="0"/>
          <w:color w:val="auto"/>
          <w:szCs w:val="32"/>
          <w:lang w:val="en-US" w:eastAsia="zh-CN"/>
        </w:rPr>
        <w:t>，</w:t>
      </w:r>
      <w:r>
        <w:rPr>
          <w:rFonts w:hint="eastAsia" w:ascii="仿宋_GB2312" w:hAnsi="仿宋_GB2312" w:cs="仿宋_GB2312"/>
          <w:color w:val="auto"/>
          <w:highlight w:val="none"/>
          <w:lang w:val="en-US" w:eastAsia="zh-CN"/>
        </w:rPr>
        <w:t>支持高端体育赛事冠名合作</w:t>
      </w:r>
      <w:r>
        <w:rPr>
          <w:rFonts w:hint="eastAsia" w:cs="仿宋_GB2312"/>
          <w:color w:val="auto"/>
          <w:kern w:val="2"/>
          <w:sz w:val="32"/>
          <w:szCs w:val="32"/>
          <w:lang w:val="en-US" w:eastAsia="zh-CN" w:bidi="ar-SA"/>
        </w:rPr>
        <w:t>，</w:t>
      </w:r>
      <w:r>
        <w:rPr>
          <w:rFonts w:hint="eastAsia" w:cs="Times New Roman"/>
          <w:color w:val="auto"/>
          <w:lang w:val="en-US" w:eastAsia="zh-CN"/>
        </w:rPr>
        <w:t>支持开展国家队运动训练基地项目</w:t>
      </w:r>
      <w:r>
        <w:rPr>
          <w:rFonts w:hint="eastAsia" w:ascii="仿宋_GB2312" w:hAnsi="仿宋_GB2312" w:cs="仿宋_GB2312"/>
          <w:b w:val="0"/>
          <w:bCs w:val="0"/>
          <w:color w:val="auto"/>
          <w:szCs w:val="32"/>
        </w:rPr>
        <w:t>。</w:t>
      </w:r>
    </w:p>
    <w:p>
      <w:pPr>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（二）促进和扩大体育消费</w:t>
      </w:r>
    </w:p>
    <w:p>
      <w:pPr>
        <w:rPr>
          <w:rFonts w:hint="eastAsia" w:ascii="仿宋_GB2312" w:hAnsi="仿宋_GB2312" w:cs="仿宋_GB2312"/>
          <w:b w:val="0"/>
          <w:bCs w:val="0"/>
          <w:color w:val="auto"/>
          <w:szCs w:val="32"/>
        </w:rPr>
      </w:pPr>
      <w:r>
        <w:rPr>
          <w:rFonts w:hint="eastAsia" w:ascii="仿宋_GB2312" w:hAnsi="仿宋_GB2312" w:eastAsia="仿宋_GB2312" w:cs="仿宋_GB2312"/>
          <w:b w:val="0"/>
          <w:bCs w:val="0"/>
          <w:color w:val="auto"/>
          <w:kern w:val="2"/>
          <w:sz w:val="32"/>
          <w:szCs w:val="32"/>
          <w:lang w:val="en-US" w:eastAsia="zh-CN" w:bidi="ar-SA"/>
        </w:rPr>
        <w:t>该部分聚焦回应市民群众多样化健身需求，破解体育场地设施供给缺口、体育消费场景单一、新业态项目规模偏小等问题，以“场地扩容+业态创新”双轮驱动促进体育消费提质扩容，</w:t>
      </w:r>
      <w:r>
        <w:rPr>
          <w:rFonts w:hint="eastAsia" w:ascii="仿宋_GB2312" w:hAnsi="仿宋_GB2312" w:cs="仿宋_GB2312"/>
          <w:b w:val="0"/>
          <w:bCs w:val="0"/>
          <w:color w:val="auto"/>
          <w:szCs w:val="32"/>
          <w:lang w:val="en-US" w:eastAsia="zh-CN"/>
        </w:rPr>
        <w:t>共</w:t>
      </w:r>
      <w:r>
        <w:rPr>
          <w:rFonts w:hint="eastAsia" w:cs="仿宋_GB2312"/>
          <w:b w:val="0"/>
          <w:bCs w:val="0"/>
          <w:color w:val="auto"/>
          <w:szCs w:val="32"/>
          <w:lang w:val="en-US" w:eastAsia="zh-CN"/>
        </w:rPr>
        <w:t>2</w:t>
      </w:r>
      <w:r>
        <w:rPr>
          <w:rFonts w:hint="eastAsia" w:ascii="仿宋_GB2312" w:hAnsi="仿宋_GB2312" w:cs="仿宋_GB2312"/>
          <w:b w:val="0"/>
          <w:bCs w:val="0"/>
          <w:color w:val="auto"/>
          <w:szCs w:val="32"/>
          <w:lang w:val="en-US" w:eastAsia="zh-CN"/>
        </w:rPr>
        <w:t>条</w:t>
      </w:r>
      <w:r>
        <w:rPr>
          <w:rFonts w:hint="eastAsia"/>
          <w:b w:val="0"/>
          <w:bCs w:val="0"/>
          <w:color w:val="auto"/>
          <w:szCs w:val="32"/>
        </w:rPr>
        <w:t>，</w:t>
      </w:r>
      <w:r>
        <w:rPr>
          <w:rFonts w:hint="eastAsia" w:ascii="仿宋_GB2312" w:hAnsi="仿宋_GB2312" w:eastAsia="仿宋_GB2312" w:cs="仿宋_GB2312"/>
          <w:b w:val="0"/>
          <w:bCs w:val="0"/>
          <w:color w:val="auto"/>
          <w:kern w:val="2"/>
          <w:sz w:val="32"/>
          <w:szCs w:val="32"/>
          <w:lang w:val="en-US" w:eastAsia="zh-CN" w:bidi="ar-SA"/>
        </w:rPr>
        <w:t>主要包含：</w:t>
      </w:r>
      <w:r>
        <w:rPr>
          <w:rFonts w:hint="eastAsia" w:ascii="仿宋_GB2312" w:hAnsi="仿宋_GB2312" w:eastAsia="仿宋_GB2312" w:cs="仿宋_GB2312"/>
          <w:i w:val="0"/>
          <w:iCs w:val="0"/>
          <w:caps w:val="0"/>
          <w:color w:val="040404"/>
          <w:spacing w:val="0"/>
          <w:sz w:val="32"/>
          <w:szCs w:val="32"/>
          <w:shd w:val="clear" w:color="auto" w:fill="FFFFFF"/>
        </w:rPr>
        <w:t>大力发展体验经济</w:t>
      </w:r>
      <w:r>
        <w:rPr>
          <w:rFonts w:hint="eastAsia" w:cs="仿宋_GB2312"/>
          <w:color w:val="auto"/>
          <w:kern w:val="2"/>
          <w:sz w:val="32"/>
          <w:szCs w:val="32"/>
          <w:lang w:val="en-US" w:eastAsia="zh-CN" w:bidi="ar-SA"/>
        </w:rPr>
        <w:t>，</w:t>
      </w:r>
      <w:r>
        <w:rPr>
          <w:rFonts w:hint="eastAsia" w:ascii="Times New Roman" w:hAnsi="Times New Roman" w:eastAsia="仿宋_GB2312"/>
          <w:b w:val="0"/>
          <w:bCs w:val="0"/>
          <w:color w:val="auto"/>
          <w:lang w:val="en-US" w:eastAsia="zh-CN"/>
        </w:rPr>
        <w:t>鼓励社会力量参与体育场地设施建设</w:t>
      </w:r>
      <w:r>
        <w:rPr>
          <w:rFonts w:hint="eastAsia" w:cs="仿宋_GB2312"/>
          <w:color w:val="auto"/>
          <w:kern w:val="2"/>
          <w:sz w:val="32"/>
          <w:szCs w:val="32"/>
          <w:lang w:val="en-US" w:eastAsia="zh-CN" w:bidi="ar-SA"/>
        </w:rPr>
        <w:t>。</w:t>
      </w:r>
    </w:p>
    <w:p>
      <w:pPr>
        <w:numPr>
          <w:ilvl w:val="0"/>
          <w:numId w:val="0"/>
        </w:numPr>
        <w:ind w:firstLine="640" w:firstLineChars="200"/>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（三）附则</w:t>
      </w:r>
    </w:p>
    <w:p>
      <w:pPr>
        <w:numPr>
          <w:ilvl w:val="0"/>
          <w:numId w:val="0"/>
        </w:numPr>
        <w:ind w:firstLine="640" w:firstLineChars="200"/>
        <w:rPr>
          <w:b w:val="0"/>
          <w:bCs w:val="0"/>
        </w:rPr>
      </w:pPr>
      <w:r>
        <w:rPr>
          <w:rFonts w:hint="eastAsia" w:ascii="仿宋_GB2312" w:hAnsi="仿宋_GB2312" w:eastAsia="仿宋_GB2312" w:cs="仿宋_GB2312"/>
          <w:sz w:val="32"/>
          <w:szCs w:val="32"/>
        </w:rPr>
        <w:t>共</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条，明确政策叠加原则、就高不就低原则、资金来源及总额控制、解释部门和有效期限等事宜。</w:t>
      </w:r>
    </w:p>
    <w:sectPr>
      <w:footerReference r:id="rId5" w:type="default"/>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0" w:usb3="00000000" w:csb0="2000019F" w:csb1="00000000"/>
  </w:font>
  <w:font w:name="楷体_GB2312">
    <w:panose1 w:val="02010609030101010101"/>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posOffset>4882515</wp:posOffset>
              </wp:positionH>
              <wp:positionV relativeFrom="paragraph">
                <wp:posOffset>-194310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ascii="Times New Roman" w:hAnsi="Times New Roman" w:cs="Times New Roman"/>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84.45pt;margin-top:-15.3pt;height:144pt;width:144pt;mso-position-horizontal-relative:margin;mso-wrap-style:none;z-index:251659264;mso-width-relative:page;mso-height-relative:page;" filled="f" stroked="f" coordsize="21600,21600" o:gfxdata="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BSc61Y2QAAAAwBAAAPAAAAAAAAAAEA&#10;IAAAADgAAABkcnMvZG93bnJldi54bWxQSwECFAAUAAAACACHTuJAa4X5+zECAABhBAAADgAAAAAA&#10;AAABACAAAAA+AQAAZHJzL2Uyb0RvYy54bWxQSwUGAAAAAAYABgBZAQAA4QUAAAAA&#10;">
              <v:fill on="f" focussize="0,0"/>
              <v:stroke on="f" weight="0.5pt"/>
              <v:imagedata o:title=""/>
              <o:lock v:ext="edit" aspectratio="f"/>
              <v:textbox inset="0mm,0mm,0mm,0mm" style="mso-fit-shape-to-text:t;">
                <w:txbxContent>
                  <w:p>
                    <w:pPr>
                      <w:pStyle w:val="9"/>
                      <w:rPr>
                        <w:rFonts w:hint="default" w:ascii="Times New Roman" w:hAnsi="Times New Roman" w:cs="Times New Roman"/>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B84F80"/>
    <w:rsid w:val="00656641"/>
    <w:rsid w:val="011E1AE4"/>
    <w:rsid w:val="01277748"/>
    <w:rsid w:val="0173585E"/>
    <w:rsid w:val="02A91DA6"/>
    <w:rsid w:val="030D4AC8"/>
    <w:rsid w:val="0321400D"/>
    <w:rsid w:val="03496B61"/>
    <w:rsid w:val="03B65F25"/>
    <w:rsid w:val="05C1367C"/>
    <w:rsid w:val="05CE4396"/>
    <w:rsid w:val="064E126A"/>
    <w:rsid w:val="06506E5A"/>
    <w:rsid w:val="07B832B0"/>
    <w:rsid w:val="0CBF6838"/>
    <w:rsid w:val="0D3835BD"/>
    <w:rsid w:val="0E847876"/>
    <w:rsid w:val="11A64E43"/>
    <w:rsid w:val="14883E57"/>
    <w:rsid w:val="14A20267"/>
    <w:rsid w:val="15D63EB2"/>
    <w:rsid w:val="15F335E7"/>
    <w:rsid w:val="17F23A82"/>
    <w:rsid w:val="187410C9"/>
    <w:rsid w:val="194C4CA0"/>
    <w:rsid w:val="19CD1E14"/>
    <w:rsid w:val="1C0F3C96"/>
    <w:rsid w:val="1D185750"/>
    <w:rsid w:val="1E7C4D29"/>
    <w:rsid w:val="1EC37822"/>
    <w:rsid w:val="1F951D22"/>
    <w:rsid w:val="1FAB46F7"/>
    <w:rsid w:val="20837D28"/>
    <w:rsid w:val="20990887"/>
    <w:rsid w:val="22311C64"/>
    <w:rsid w:val="22CA041E"/>
    <w:rsid w:val="237138FF"/>
    <w:rsid w:val="2387656E"/>
    <w:rsid w:val="23B86930"/>
    <w:rsid w:val="24406D79"/>
    <w:rsid w:val="2445710C"/>
    <w:rsid w:val="25827825"/>
    <w:rsid w:val="26375820"/>
    <w:rsid w:val="26852BE0"/>
    <w:rsid w:val="27155FD0"/>
    <w:rsid w:val="2A5E108E"/>
    <w:rsid w:val="2BEC169E"/>
    <w:rsid w:val="2C336597"/>
    <w:rsid w:val="2CAF6831"/>
    <w:rsid w:val="2CEE4744"/>
    <w:rsid w:val="2D6F7091"/>
    <w:rsid w:val="2E052A7B"/>
    <w:rsid w:val="2E7D86AA"/>
    <w:rsid w:val="2E9F8FEA"/>
    <w:rsid w:val="2EA77FA9"/>
    <w:rsid w:val="2FD34873"/>
    <w:rsid w:val="30501746"/>
    <w:rsid w:val="34C2713A"/>
    <w:rsid w:val="35941175"/>
    <w:rsid w:val="35E5279B"/>
    <w:rsid w:val="383430E5"/>
    <w:rsid w:val="3AA7B96F"/>
    <w:rsid w:val="3AFB7D0E"/>
    <w:rsid w:val="3B840CB4"/>
    <w:rsid w:val="3C7D481B"/>
    <w:rsid w:val="3E4F44C1"/>
    <w:rsid w:val="3F4A7F61"/>
    <w:rsid w:val="3F797476"/>
    <w:rsid w:val="3F9E2286"/>
    <w:rsid w:val="410276BA"/>
    <w:rsid w:val="41100816"/>
    <w:rsid w:val="41B95348"/>
    <w:rsid w:val="429F2AFF"/>
    <w:rsid w:val="433E38EC"/>
    <w:rsid w:val="464E0A98"/>
    <w:rsid w:val="46E46CF4"/>
    <w:rsid w:val="470B61DD"/>
    <w:rsid w:val="478979FD"/>
    <w:rsid w:val="48044ABC"/>
    <w:rsid w:val="4A1277A3"/>
    <w:rsid w:val="4BB943B0"/>
    <w:rsid w:val="4BBD2AC7"/>
    <w:rsid w:val="504B1ED2"/>
    <w:rsid w:val="506D0A15"/>
    <w:rsid w:val="525955B1"/>
    <w:rsid w:val="557D7DDB"/>
    <w:rsid w:val="562341D8"/>
    <w:rsid w:val="57A411D6"/>
    <w:rsid w:val="57F4DECE"/>
    <w:rsid w:val="58D048D2"/>
    <w:rsid w:val="59792AEC"/>
    <w:rsid w:val="5AD05E8B"/>
    <w:rsid w:val="5B5904D9"/>
    <w:rsid w:val="5C463A16"/>
    <w:rsid w:val="5CAF05F7"/>
    <w:rsid w:val="5DDF06BF"/>
    <w:rsid w:val="5DFFAA5C"/>
    <w:rsid w:val="62F435E7"/>
    <w:rsid w:val="63961BE0"/>
    <w:rsid w:val="63B84F80"/>
    <w:rsid w:val="63BA4B07"/>
    <w:rsid w:val="64E27EC7"/>
    <w:rsid w:val="658A2F16"/>
    <w:rsid w:val="65A17F37"/>
    <w:rsid w:val="65B02146"/>
    <w:rsid w:val="65CC5D02"/>
    <w:rsid w:val="6777E249"/>
    <w:rsid w:val="67BE1FEE"/>
    <w:rsid w:val="699D5836"/>
    <w:rsid w:val="69F632C8"/>
    <w:rsid w:val="6A2636F0"/>
    <w:rsid w:val="6CF05300"/>
    <w:rsid w:val="6DEF1593"/>
    <w:rsid w:val="6EF370DC"/>
    <w:rsid w:val="6FE98EB8"/>
    <w:rsid w:val="747F2966"/>
    <w:rsid w:val="75625BED"/>
    <w:rsid w:val="75778D98"/>
    <w:rsid w:val="771C067A"/>
    <w:rsid w:val="7DA0505C"/>
    <w:rsid w:val="7DFDD165"/>
    <w:rsid w:val="7ECF76F9"/>
    <w:rsid w:val="7FD54E08"/>
    <w:rsid w:val="89FB51EB"/>
    <w:rsid w:val="9D25B3CA"/>
    <w:rsid w:val="BD083D5F"/>
    <w:rsid w:val="CDD98FEC"/>
    <w:rsid w:val="F7F6340E"/>
    <w:rsid w:val="F7FEC692"/>
    <w:rsid w:val="FB32BD90"/>
    <w:rsid w:val="FDBB70E2"/>
    <w:rsid w:val="FFAC4B7B"/>
    <w:rsid w:val="FFB71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仿宋_GB2312" w:hAnsi="仿宋_GB2312" w:eastAsia="仿宋_GB2312" w:cs="Times New Roman"/>
      <w:kern w:val="2"/>
      <w:sz w:val="32"/>
      <w:szCs w:val="24"/>
      <w:lang w:val="en-US" w:eastAsia="zh-CN" w:bidi="ar-SA"/>
    </w:rPr>
  </w:style>
  <w:style w:type="paragraph" w:styleId="3">
    <w:name w:val="heading 1"/>
    <w:basedOn w:val="1"/>
    <w:next w:val="1"/>
    <w:link w:val="17"/>
    <w:qFormat/>
    <w:uiPriority w:val="0"/>
    <w:pPr>
      <w:keepNext/>
      <w:keepLines/>
      <w:spacing w:before="340" w:after="330" w:line="579" w:lineRule="auto"/>
      <w:ind w:firstLine="600" w:firstLineChars="200"/>
      <w:outlineLvl w:val="0"/>
    </w:pPr>
    <w:rPr>
      <w:rFonts w:ascii="Times New Roman" w:hAnsi="Times New Roman" w:eastAsia="宋体" w:cs="Times New Roman"/>
      <w:b/>
      <w:bCs/>
      <w:kern w:val="44"/>
      <w:sz w:val="44"/>
      <w:szCs w:val="44"/>
    </w:rPr>
  </w:style>
  <w:style w:type="paragraph" w:styleId="4">
    <w:name w:val="heading 2"/>
    <w:basedOn w:val="1"/>
    <w:next w:val="1"/>
    <w:link w:val="18"/>
    <w:semiHidden/>
    <w:unhideWhenUsed/>
    <w:qFormat/>
    <w:uiPriority w:val="0"/>
    <w:pPr>
      <w:keepNext/>
      <w:keepLines/>
      <w:spacing w:line="560" w:lineRule="exact"/>
      <w:outlineLvl w:val="1"/>
    </w:pPr>
    <w:rPr>
      <w:rFonts w:eastAsia="楷体_GB2312" w:asciiTheme="majorAscii" w:hAnsiTheme="majorAscii" w:cstheme="majorBidi"/>
      <w:bCs/>
      <w:snapToGrid w:val="0"/>
      <w:color w:val="000000"/>
      <w:kern w:val="0"/>
      <w:szCs w:val="32"/>
    </w:rPr>
  </w:style>
  <w:style w:type="paragraph" w:styleId="5">
    <w:name w:val="heading 3"/>
    <w:basedOn w:val="1"/>
    <w:next w:val="1"/>
    <w:link w:val="19"/>
    <w:semiHidden/>
    <w:unhideWhenUsed/>
    <w:qFormat/>
    <w:uiPriority w:val="0"/>
    <w:pPr>
      <w:spacing w:before="0" w:beforeAutospacing="0" w:after="0" w:afterAutospacing="0"/>
      <w:jc w:val="both"/>
      <w:outlineLvl w:val="2"/>
    </w:pPr>
    <w:rPr>
      <w:rFonts w:hint="eastAsia" w:ascii="宋体" w:hAnsi="宋体" w:cs="宋体"/>
      <w:b/>
      <w:bCs/>
      <w:kern w:val="0"/>
      <w:sz w:val="32"/>
      <w:szCs w:val="27"/>
      <w:lang w:eastAsia="zh-CN" w:bidi="ar"/>
    </w:rPr>
  </w:style>
  <w:style w:type="paragraph" w:styleId="6">
    <w:name w:val="heading 4"/>
    <w:basedOn w:val="1"/>
    <w:next w:val="1"/>
    <w:semiHidden/>
    <w:unhideWhenUsed/>
    <w:qFormat/>
    <w:uiPriority w:val="0"/>
    <w:pPr>
      <w:keepNext/>
      <w:keepLines/>
      <w:spacing w:beforeLines="0" w:beforeAutospacing="0" w:afterLines="0" w:afterAutospacing="0" w:line="560" w:lineRule="exact"/>
      <w:outlineLvl w:val="3"/>
    </w:pPr>
    <w:rPr>
      <w:rFonts w:ascii="Arial" w:hAnsi="Arial" w:eastAsia="方正仿宋_GB2312"/>
      <w:b/>
    </w:rPr>
  </w:style>
  <w:style w:type="character" w:default="1" w:styleId="15">
    <w:name w:val="Default Paragraph Font"/>
    <w:semiHidden/>
    <w:unhideWhenUsed/>
    <w:qFormat/>
    <w:uiPriority w:val="1"/>
  </w:style>
  <w:style w:type="table" w:default="1" w:styleId="14">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Times New Roman" w:hAnsi="Times New Roman" w:eastAsia="宋体" w:cs="Times New Roman"/>
    </w:rPr>
  </w:style>
  <w:style w:type="paragraph" w:styleId="7">
    <w:name w:val="Body Text"/>
    <w:basedOn w:val="1"/>
    <w:next w:val="1"/>
    <w:qFormat/>
    <w:uiPriority w:val="0"/>
    <w:pPr>
      <w:spacing w:afterLines="0" w:afterAutospacing="0"/>
    </w:pPr>
  </w:style>
  <w:style w:type="paragraph" w:styleId="8">
    <w:name w:val="Body Text Indent"/>
    <w:basedOn w:val="1"/>
    <w:qFormat/>
    <w:uiPriority w:val="0"/>
    <w:pPr>
      <w:spacing w:after="120" w:afterLines="0" w:afterAutospacing="0"/>
      <w:ind w:left="420" w:leftChars="2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pPr>
      <w:adjustRightInd w:val="0"/>
      <w:snapToGrid w:val="0"/>
      <w:spacing w:line="360" w:lineRule="auto"/>
      <w:ind w:firstLine="480" w:firstLineChars="200"/>
    </w:pPr>
    <w:rPr>
      <w:rFonts w:ascii="黑体" w:hAnsi="黑体" w:eastAsia="黑体" w:cs="黑体"/>
      <w:sz w:val="24"/>
      <w:szCs w:val="24"/>
    </w:rPr>
  </w:style>
  <w:style w:type="paragraph" w:styleId="12">
    <w:name w:val="footnote text"/>
    <w:basedOn w:val="1"/>
    <w:link w:val="16"/>
    <w:qFormat/>
    <w:uiPriority w:val="0"/>
    <w:pPr>
      <w:keepNext w:val="0"/>
      <w:keepLines w:val="0"/>
      <w:widowControl w:val="0"/>
      <w:suppressLineNumbers w:val="0"/>
      <w:snapToGrid w:val="0"/>
      <w:spacing w:before="0" w:beforeAutospacing="0" w:after="0" w:afterAutospacing="0" w:line="360" w:lineRule="exact"/>
      <w:ind w:left="0" w:right="0" w:firstLine="420" w:firstLineChars="200"/>
      <w:jc w:val="left"/>
    </w:pPr>
    <w:rPr>
      <w:rFonts w:ascii="Times New Roman" w:hAnsi="Times New Roman" w:eastAsia="仿宋_GB2312" w:cs="Times New Roman"/>
      <w:sz w:val="18"/>
      <w:szCs w:val="18"/>
      <w:lang w:bidi="ar"/>
    </w:rPr>
  </w:style>
  <w:style w:type="paragraph" w:styleId="13">
    <w:name w:val="Body Text First Indent 2"/>
    <w:basedOn w:val="8"/>
    <w:qFormat/>
    <w:uiPriority w:val="0"/>
    <w:pPr>
      <w:ind w:left="0" w:leftChars="0" w:firstLine="420" w:firstLineChars="200"/>
    </w:pPr>
  </w:style>
  <w:style w:type="character" w:customStyle="1" w:styleId="16">
    <w:name w:val="脚注文本 字符"/>
    <w:basedOn w:val="15"/>
    <w:link w:val="12"/>
    <w:qFormat/>
    <w:uiPriority w:val="0"/>
    <w:rPr>
      <w:rFonts w:hint="default" w:ascii="Times New Roman" w:hAnsi="Times New Roman" w:eastAsia="仿宋_GB2312" w:cs="Times New Roman"/>
      <w:sz w:val="18"/>
      <w:szCs w:val="18"/>
    </w:rPr>
  </w:style>
  <w:style w:type="character" w:customStyle="1" w:styleId="17">
    <w:name w:val="标题 1 字符"/>
    <w:link w:val="3"/>
    <w:qFormat/>
    <w:uiPriority w:val="0"/>
    <w:rPr>
      <w:rFonts w:ascii="Times New Roman" w:hAnsi="Times New Roman" w:eastAsia="宋体" w:cs="Times New Roman"/>
      <w:b/>
      <w:bCs/>
      <w:kern w:val="44"/>
      <w:sz w:val="44"/>
      <w:szCs w:val="44"/>
    </w:rPr>
  </w:style>
  <w:style w:type="character" w:customStyle="1" w:styleId="18">
    <w:name w:val="标题 2 字符"/>
    <w:basedOn w:val="15"/>
    <w:link w:val="4"/>
    <w:qFormat/>
    <w:uiPriority w:val="0"/>
    <w:rPr>
      <w:rFonts w:eastAsia="楷体_GB2312" w:asciiTheme="majorAscii" w:hAnsiTheme="majorAscii" w:cstheme="majorBidi"/>
      <w:bCs/>
      <w:snapToGrid w:val="0"/>
      <w:color w:val="000000"/>
      <w:kern w:val="0"/>
      <w:sz w:val="32"/>
      <w:szCs w:val="32"/>
    </w:rPr>
  </w:style>
  <w:style w:type="character" w:customStyle="1" w:styleId="19">
    <w:name w:val="标题 3 Char"/>
    <w:link w:val="5"/>
    <w:qFormat/>
    <w:uiPriority w:val="0"/>
    <w:rPr>
      <w:rFonts w:ascii="宋体" w:hAnsi="宋体" w:eastAsia="宋体" w:cs="宋体"/>
      <w:b/>
      <w:lang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2172</Words>
  <Characters>2199</Characters>
  <Lines>0</Lines>
  <Paragraphs>0</Paragraphs>
  <TotalTime>1</TotalTime>
  <ScaleCrop>false</ScaleCrop>
  <LinksUpToDate>false</LinksUpToDate>
  <CharactersWithSpaces>2200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2025-05-03T11:27:00Z</dcterms:created>
  <dc:creator>李海娟</dc:creator>
  <cp:lastModifiedBy>gmwt-01</cp:lastModifiedBy>
  <cp:lastPrinted>2025-05-04T07:00:00Z</cp:lastPrinted>
  <dcterms:modified xsi:type="dcterms:W3CDTF">2026-07-24T18:09:08Z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B2BEE96BA3214E4DB16CA0E9C878CDA7_11</vt:lpwstr>
  </property>
  <property fmtid="{D5CDD505-2E9C-101B-9397-08002B2CF9AE}" pid="4" name="KSOTemplateDocerSaveRecord">
    <vt:lpwstr>eyJoZGlkIjoiMWJlYWZjZGQyNjQyYWJmYThkMjM1YmI1NmVhZTk2ZWIiLCJ1c2VySWQiOiIyNjczNzAyNDUifQ==</vt:lpwstr>
  </property>
</Properties>
</file>