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277611">
      <w:pPr>
        <w:overflowPunct w:val="0"/>
        <w:spacing w:line="560" w:lineRule="exact"/>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深圳市光明区摊贩经营场所划定和管理办法（试行）</w:t>
      </w:r>
    </w:p>
    <w:p w14:paraId="60981E55">
      <w:pPr>
        <w:keepNext w:val="0"/>
        <w:keepLines w:val="0"/>
        <w:pageBreakBefore w:val="0"/>
        <w:widowControl/>
        <w:suppressLineNumbers w:val="0"/>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sz w:val="32"/>
          <w:szCs w:val="32"/>
          <w:lang w:val="en-US" w:eastAsia="zh-CN"/>
        </w:rPr>
      </w:pPr>
    </w:p>
    <w:p w14:paraId="578FE66F">
      <w:pPr>
        <w:keepNext w:val="0"/>
        <w:keepLines w:val="0"/>
        <w:pageBreakBefore w:val="0"/>
        <w:widowControl/>
        <w:suppressLineNumbers w:val="0"/>
        <w:kinsoku/>
        <w:wordWrap/>
        <w:overflowPunct/>
        <w:topLinePunct w:val="0"/>
        <w:autoSpaceDE/>
        <w:autoSpaceDN/>
        <w:bidi w:val="0"/>
        <w:adjustRightInd/>
        <w:snapToGrid/>
        <w:spacing w:line="560" w:lineRule="exact"/>
        <w:ind w:firstLine="0" w:firstLineChars="0"/>
        <w:jc w:val="center"/>
        <w:textAlignment w:val="auto"/>
        <w:rPr>
          <w:rFonts w:hint="eastAsia" w:ascii="CESI黑体-GB2312" w:hAnsi="CESI黑体-GB2312" w:eastAsia="CESI黑体-GB2312" w:cs="CESI黑体-GB2312"/>
          <w:sz w:val="32"/>
          <w:szCs w:val="32"/>
          <w:lang w:val="en-US" w:eastAsia="zh-CN"/>
        </w:rPr>
      </w:pPr>
      <w:r>
        <w:rPr>
          <w:rFonts w:hint="eastAsia" w:ascii="CESI黑体-GB2312" w:hAnsi="CESI黑体-GB2312" w:eastAsia="CESI黑体-GB2312" w:cs="CESI黑体-GB2312"/>
          <w:sz w:val="32"/>
          <w:szCs w:val="32"/>
          <w:lang w:val="en-US" w:eastAsia="zh-CN"/>
        </w:rPr>
        <w:t>第一章 总则</w:t>
      </w:r>
    </w:p>
    <w:p w14:paraId="531EE826">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第一条【目的和依据】  为规范光明区摊贩经营场所划定和管理，根据《广东省食品生产加工小作坊和食品摊贩管理条例》《深圳经济特区市容和环境卫生管理条例》等有关规定，结合光明区实际，制定本办法。</w:t>
      </w:r>
    </w:p>
    <w:p w14:paraId="1867E3F5">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第二条【基本原则】  坚持疏与堵，有序与活力相结合的原则，规范实施摊贩经营场所划定和管理工作，充分发挥基层治理优势，探索建立市容秩序管理融入基层社区治理的新机制、新模式。</w:t>
      </w:r>
    </w:p>
    <w:p w14:paraId="4C9903D0">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第三条【适用范围】  本办法所称的摊贩经营场所是指街道办事处根据方便群众、布局合理、监管有序原则，统一划定和管理的集中区域。</w:t>
      </w:r>
    </w:p>
    <w:p w14:paraId="238474AE">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第四条【公益原则】 摊贩经营场所的划定和管理应当体现公益性，可根据场所用地权属，引导相关市容和环境卫生作业服务企业或用地权属单位等作为运维主体开展日常运维工作。</w:t>
      </w:r>
    </w:p>
    <w:p w14:paraId="02962412">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第五条【部门职责】  街道办事处和各相关部门按照各自职责，依法履行对摊贩经营场所的行政监督检查职责。</w:t>
      </w:r>
    </w:p>
    <w:p w14:paraId="2E9261B2">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highlight w:val="none"/>
          <w:lang w:val="en-US" w:eastAsia="zh-CN"/>
        </w:rPr>
        <w:t>街道办事处负责统筹管理摊贩经营场所，负责食品摊贩登记工作，并将登记的食品摊贩信息告知市场监督管理部门，负责具体实施摊</w:t>
      </w:r>
      <w:r>
        <w:rPr>
          <w:rFonts w:hint="eastAsia" w:ascii="仿宋_GB2312" w:hAnsi="仿宋_GB2312" w:eastAsia="仿宋_GB2312" w:cs="仿宋_GB2312"/>
          <w:sz w:val="32"/>
          <w:szCs w:val="32"/>
          <w:lang w:val="en-US" w:eastAsia="zh-CN"/>
        </w:rPr>
        <w:t>贩经营场所划定工作和管理工作，配合相关部门对摊贩经营场所内食品安全、消防安全等进行监督检查；</w:t>
      </w:r>
    </w:p>
    <w:p w14:paraId="46F62301">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区城管和综合执法局负责摊贩经营场所划定和管理工作的日常指导、协调和监督，强化部门联动，根据工作需要召开专题会议，并负责市容管理、绿化环卫监管工作；</w:t>
      </w:r>
    </w:p>
    <w:p w14:paraId="1B47B082">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光明公安分局负责治安秩序监管工作；</w:t>
      </w:r>
    </w:p>
    <w:p w14:paraId="4AA3CE58">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市公安局交通管理支队光明大队负责周边道路交通违法行为的查处及道路交通安全秩序的维护工作；</w:t>
      </w:r>
    </w:p>
    <w:p w14:paraId="3B861C34">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光明消防救援大队负责消防安全监管工作；</w:t>
      </w:r>
    </w:p>
    <w:p w14:paraId="62FAB1EE">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市市场监督管理局光明监管局负责食品安全、广告宣传、知识产权的监管等工作；</w:t>
      </w:r>
    </w:p>
    <w:p w14:paraId="669C73B2">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区卫生健康局、区住房建设局、区应急管理局、区商务局、区文化广电旅游体育局、市生态环境局光明管理局等其他部门依职责开展相关监管、指导工作。</w:t>
      </w:r>
    </w:p>
    <w:p w14:paraId="30BD0F65">
      <w:pPr>
        <w:keepNext w:val="0"/>
        <w:keepLines w:val="0"/>
        <w:pageBreakBefore w:val="0"/>
        <w:widowControl/>
        <w:suppressLineNumbers w:val="0"/>
        <w:kinsoku/>
        <w:wordWrap/>
        <w:overflowPunct/>
        <w:topLinePunct w:val="0"/>
        <w:autoSpaceDE/>
        <w:autoSpaceDN/>
        <w:bidi w:val="0"/>
        <w:adjustRightInd/>
        <w:snapToGrid/>
        <w:spacing w:line="560" w:lineRule="exact"/>
        <w:ind w:firstLine="0" w:firstLineChars="0"/>
        <w:jc w:val="center"/>
        <w:textAlignment w:val="auto"/>
        <w:rPr>
          <w:rFonts w:hint="eastAsia" w:ascii="CESI黑体-GB2312" w:hAnsi="CESI黑体-GB2312" w:eastAsia="CESI黑体-GB2312" w:cs="CESI黑体-GB2312"/>
          <w:sz w:val="32"/>
          <w:szCs w:val="32"/>
          <w:lang w:val="en-US" w:eastAsia="zh-CN"/>
        </w:rPr>
      </w:pPr>
      <w:r>
        <w:rPr>
          <w:rFonts w:hint="eastAsia" w:ascii="CESI黑体-GB2312" w:hAnsi="CESI黑体-GB2312" w:eastAsia="CESI黑体-GB2312" w:cs="CESI黑体-GB2312"/>
          <w:sz w:val="32"/>
          <w:szCs w:val="32"/>
          <w:lang w:val="en-US" w:eastAsia="zh-CN"/>
        </w:rPr>
        <w:t>第二章</w:t>
      </w:r>
      <w:r>
        <w:rPr>
          <w:rFonts w:hint="default" w:ascii="CESI黑体-GB2312" w:hAnsi="CESI黑体-GB2312" w:eastAsia="CESI黑体-GB2312" w:cs="CESI黑体-GB2312"/>
          <w:sz w:val="32"/>
          <w:szCs w:val="32"/>
          <w:lang w:val="en-US" w:eastAsia="zh-CN"/>
        </w:rPr>
        <w:t xml:space="preserve"> </w:t>
      </w:r>
      <w:r>
        <w:rPr>
          <w:rFonts w:hint="eastAsia" w:ascii="CESI黑体-GB2312" w:hAnsi="CESI黑体-GB2312" w:eastAsia="CESI黑体-GB2312" w:cs="CESI黑体-GB2312"/>
          <w:sz w:val="32"/>
          <w:szCs w:val="32"/>
          <w:lang w:val="en-US" w:eastAsia="zh-CN"/>
        </w:rPr>
        <w:t>场所划定</w:t>
      </w:r>
    </w:p>
    <w:p w14:paraId="5E4E834F">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第六条</w:t>
      </w:r>
      <w:r>
        <w:rPr>
          <w:rFonts w:hint="eastAsia" w:ascii="黑体" w:hAnsi="黑体" w:eastAsia="黑体" w:cs="黑体"/>
          <w:color w:val="auto"/>
          <w:sz w:val="32"/>
          <w:szCs w:val="32"/>
          <w:highlight w:val="none"/>
          <w:lang w:val="en-US" w:eastAsia="zh-CN"/>
        </w:rPr>
        <w:t>【划定程序】</w:t>
      </w:r>
      <w:r>
        <w:rPr>
          <w:rFonts w:hint="eastAsia" w:ascii="仿宋_GB2312" w:hAnsi="仿宋_GB2312" w:eastAsia="仿宋_GB2312" w:cs="仿宋_GB2312"/>
          <w:sz w:val="32"/>
          <w:szCs w:val="32"/>
          <w:lang w:val="en-US" w:eastAsia="zh-CN"/>
        </w:rPr>
        <w:t xml:space="preserve"> </w:t>
      </w:r>
      <w:r>
        <w:rPr>
          <w:rFonts w:hint="default"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val="en-US" w:eastAsia="zh-CN"/>
        </w:rPr>
        <w:t>由街道办事处指导社区居委会提出划定意向，经过现场调研、征求意见、综合评估后形成初步方案，提交社区居民议事会充分议事协商后确定正式方案，经公示无异议后报街道办事处审定，并由街道办事处对外发布，同时抄送区城管和综合执法局、市市场监督管理局光明管理局、区住房建设局。</w:t>
      </w:r>
    </w:p>
    <w:p w14:paraId="2B5E4E98">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第七条</w:t>
      </w:r>
      <w:r>
        <w:rPr>
          <w:rFonts w:hint="eastAsia" w:ascii="黑体" w:hAnsi="黑体" w:eastAsia="黑体" w:cs="黑体"/>
          <w:color w:val="auto"/>
          <w:sz w:val="32"/>
          <w:szCs w:val="32"/>
          <w:highlight w:val="none"/>
          <w:lang w:val="en-US" w:eastAsia="zh-CN"/>
        </w:rPr>
        <w:t>【划定意向】</w:t>
      </w:r>
      <w:r>
        <w:rPr>
          <w:rFonts w:hint="default"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val="en-US" w:eastAsia="zh-CN"/>
        </w:rPr>
        <w:t>社区居委会结合辖区占道摆卖和区域生活商业配套情况，对辖区内摊贩经营现状进行摸底调查，了解摊贩数量、经营种类、分布区域、经营时间等信息，有划定意向的，报街道办事处。</w:t>
      </w:r>
    </w:p>
    <w:p w14:paraId="4C1AA180">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第八条</w:t>
      </w:r>
      <w:r>
        <w:rPr>
          <w:rFonts w:hint="eastAsia" w:ascii="黑体" w:hAnsi="黑体" w:eastAsia="黑体" w:cs="黑体"/>
          <w:color w:val="auto"/>
          <w:sz w:val="32"/>
          <w:szCs w:val="32"/>
          <w:highlight w:val="none"/>
          <w:lang w:val="en-US" w:eastAsia="zh-CN"/>
        </w:rPr>
        <w:t>【现场调研】</w:t>
      </w:r>
      <w:r>
        <w:rPr>
          <w:rFonts w:hint="eastAsia" w:ascii="仿宋_GB2312" w:hAnsi="仿宋_GB2312" w:eastAsia="仿宋_GB2312" w:cs="仿宋_GB2312"/>
          <w:sz w:val="32"/>
          <w:szCs w:val="32"/>
          <w:lang w:val="en-US" w:eastAsia="zh-CN"/>
        </w:rPr>
        <w:t xml:space="preserve"> 社区居委会组织拟划定摊贩经营场所的产权单位、周边的业委会和物业管理处等利益相关方，以及城市管理、市场监管等相关部门代表，对拟选址划定摊贩经营场所的点位开展现场调研，分析研究科学性和合理性。</w:t>
      </w:r>
    </w:p>
    <w:p w14:paraId="54553C62">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第九条</w:t>
      </w:r>
      <w:r>
        <w:rPr>
          <w:rFonts w:hint="eastAsia" w:ascii="黑体" w:hAnsi="黑体" w:eastAsia="黑体" w:cs="黑体"/>
          <w:color w:val="auto"/>
          <w:sz w:val="32"/>
          <w:szCs w:val="32"/>
          <w:highlight w:val="none"/>
          <w:lang w:val="en-US" w:eastAsia="zh-CN"/>
        </w:rPr>
        <w:t>【征求意见】</w:t>
      </w:r>
      <w:r>
        <w:rPr>
          <w:rFonts w:hint="eastAsia" w:ascii="仿宋_GB2312" w:hAnsi="仿宋_GB2312" w:eastAsia="仿宋_GB2312" w:cs="仿宋_GB2312"/>
          <w:sz w:val="32"/>
          <w:szCs w:val="32"/>
          <w:lang w:val="en-US" w:eastAsia="zh-CN"/>
        </w:rPr>
        <w:t xml:space="preserve"> 社区居委会采取征求意见表、业主微信群等“线上+线下”多种方式，对拟划定的摊贩经营场所广泛征求周边商户、居民的意见建议。对提出的反对意见，做好解释说明；对可行性意见建议，予以研究采纳。</w:t>
      </w:r>
    </w:p>
    <w:p w14:paraId="3813686B">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第十条</w:t>
      </w:r>
      <w:r>
        <w:rPr>
          <w:rFonts w:hint="eastAsia" w:ascii="黑体" w:hAnsi="黑体" w:eastAsia="黑体" w:cs="黑体"/>
          <w:color w:val="auto"/>
          <w:sz w:val="32"/>
          <w:szCs w:val="32"/>
          <w:highlight w:val="none"/>
          <w:lang w:val="en-US" w:eastAsia="zh-CN"/>
        </w:rPr>
        <w:t>【综合评估】</w:t>
      </w:r>
      <w:r>
        <w:rPr>
          <w:rFonts w:hint="eastAsia" w:ascii="仿宋_GB2312" w:hAnsi="仿宋_GB2312" w:eastAsia="仿宋_GB2312" w:cs="仿宋_GB2312"/>
          <w:sz w:val="32"/>
          <w:szCs w:val="32"/>
          <w:lang w:val="en-US" w:eastAsia="zh-CN"/>
        </w:rPr>
        <w:t xml:space="preserve"> 社区居委会结合现场调研和征求意见情况，综合评估划定摊贩经营场所的必要性和可行性，对</w:t>
      </w:r>
      <w:r>
        <w:rPr>
          <w:rFonts w:hint="eastAsia" w:ascii="仿宋_GB2312" w:hAnsi="仿宋_GB2312" w:eastAsia="仿宋_GB2312" w:cs="仿宋_GB2312"/>
          <w:sz w:val="32"/>
          <w:szCs w:val="32"/>
          <w:highlight w:val="none"/>
          <w:lang w:val="en-US" w:eastAsia="zh-CN"/>
        </w:rPr>
        <w:t>拟</w:t>
      </w:r>
      <w:r>
        <w:rPr>
          <w:rFonts w:hint="eastAsia" w:ascii="仿宋_GB2312" w:hAnsi="仿宋_GB2312" w:eastAsia="仿宋_GB2312" w:cs="仿宋_GB2312"/>
          <w:sz w:val="32"/>
          <w:szCs w:val="32"/>
          <w:lang w:val="en-US" w:eastAsia="zh-CN"/>
        </w:rPr>
        <w:t>划定的，制定摊贩经营场所划定和管理初步方案。</w:t>
      </w:r>
    </w:p>
    <w:p w14:paraId="6AE348CB">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第十一条</w:t>
      </w:r>
      <w:r>
        <w:rPr>
          <w:rFonts w:hint="eastAsia" w:ascii="黑体" w:hAnsi="黑体" w:eastAsia="黑体" w:cs="黑体"/>
          <w:color w:val="auto"/>
          <w:sz w:val="32"/>
          <w:szCs w:val="32"/>
          <w:highlight w:val="none"/>
          <w:lang w:val="en-US" w:eastAsia="zh-CN"/>
        </w:rPr>
        <w:t>【初步方案】</w:t>
      </w:r>
      <w:r>
        <w:rPr>
          <w:rFonts w:hint="eastAsia" w:ascii="仿宋_GB2312" w:hAnsi="仿宋_GB2312" w:eastAsia="仿宋_GB2312" w:cs="仿宋_GB2312"/>
          <w:sz w:val="32"/>
          <w:szCs w:val="32"/>
          <w:lang w:val="en-US" w:eastAsia="zh-CN"/>
        </w:rPr>
        <w:t xml:space="preserve"> 初步方案应包括：</w:t>
      </w:r>
    </w:p>
    <w:p w14:paraId="79B02FD2">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（一）区域范围、场地面积、摊位数量；</w:t>
      </w:r>
    </w:p>
    <w:p w14:paraId="3D12C137">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（二）场所设置具体安排和效果图；</w:t>
      </w:r>
    </w:p>
    <w:p w14:paraId="0BBE7F96">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（三）经营业态、经营时间；</w:t>
      </w:r>
    </w:p>
    <w:p w14:paraId="624F73C2">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（四）摊贩入场、轮候和退出机制；</w:t>
      </w:r>
    </w:p>
    <w:p w14:paraId="2EE7F9DB">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（五）拟定运维主体；</w:t>
      </w:r>
    </w:p>
    <w:p w14:paraId="3885BD51">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（六）运维管理要求；</w:t>
      </w:r>
    </w:p>
    <w:p w14:paraId="0E78135F">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（七）涉及费用说明；</w:t>
      </w:r>
    </w:p>
    <w:p w14:paraId="6A190CD7">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（八）其他需要明确的事项。</w:t>
      </w:r>
    </w:p>
    <w:p w14:paraId="72C46539">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第十二条【划定规范】 摊贩经营场所选址划定应当符合以下要求：</w:t>
      </w:r>
    </w:p>
    <w:p w14:paraId="1F8345A2">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（一）不得选址于规划确定的高速公路、快速路、干线型主干道及两侧、城市主干路及两侧；</w:t>
      </w:r>
    </w:p>
    <w:p w14:paraId="4C59EE91">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（二）不得距离地铁出入口50米范围内，不得距离幼儿园、中小学校和医院200米范围内；</w:t>
      </w:r>
    </w:p>
    <w:p w14:paraId="6498BD5D">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（三）不得选址火车站、高铁站等重要门户和交通枢纽周边；</w:t>
      </w:r>
    </w:p>
    <w:p w14:paraId="378508BB">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（四）不得破坏行道树及其附属设施，不得影响交通设施；</w:t>
      </w:r>
    </w:p>
    <w:p w14:paraId="612A3DC4">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（五）不得埋压、圈占、遮挡消火栓或者占用防火间距，不得占用、堵塞、封闭疏散通道、安全出口、消防车通道、消防车登高操作场地；</w:t>
      </w:r>
    </w:p>
    <w:p w14:paraId="3521996B">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（六）不得搭建永久性、不可拆卸移动的建（构）筑物和乱拉电线或超负荷用电；</w:t>
      </w:r>
    </w:p>
    <w:p w14:paraId="61633327">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（七）不得擅自占用人行道、盲道、绿地、公园、公共停车泊位和非机动车停放区域，不得影响行人正常通行；</w:t>
      </w:r>
    </w:p>
    <w:p w14:paraId="0A544167">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（八）不得违反其他法律法规规章或规范性文件规定的禁止性行为。</w:t>
      </w:r>
    </w:p>
    <w:p w14:paraId="47EB2C2E">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第十三条</w:t>
      </w:r>
      <w:r>
        <w:rPr>
          <w:rFonts w:hint="eastAsia" w:ascii="黑体" w:hAnsi="黑体" w:eastAsia="黑体" w:cs="黑体"/>
          <w:color w:val="auto"/>
          <w:sz w:val="32"/>
          <w:szCs w:val="32"/>
          <w:highlight w:val="none"/>
          <w:lang w:val="en-US" w:eastAsia="zh-CN"/>
        </w:rPr>
        <w:t>【正式方案】</w:t>
      </w:r>
      <w:r>
        <w:rPr>
          <w:rFonts w:hint="default"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val="en-US" w:eastAsia="zh-CN"/>
        </w:rPr>
        <w:t>社区居委会组织召开社区居民议事会协商讨论初步方案，经表决通过后形成正式方案。</w:t>
      </w:r>
    </w:p>
    <w:p w14:paraId="005BCA1B">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社区居委会应在辖区显要位置将正式方案进行公示，公示期不少于5个工作日。公示期间有异议的，社区居委会应组织相关部门进行核实处理，并根据核实处理结果对正式方案进行优化调整。</w:t>
      </w:r>
    </w:p>
    <w:p w14:paraId="5579660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第十四条</w:t>
      </w:r>
      <w:r>
        <w:rPr>
          <w:rFonts w:hint="eastAsia" w:ascii="黑体" w:hAnsi="黑体" w:eastAsia="黑体" w:cs="黑体"/>
          <w:color w:val="auto"/>
          <w:sz w:val="32"/>
          <w:szCs w:val="32"/>
          <w:highlight w:val="none"/>
          <w:lang w:val="en-US" w:eastAsia="zh-CN"/>
        </w:rPr>
        <w:t>【审定发布】</w:t>
      </w:r>
      <w:r>
        <w:rPr>
          <w:rFonts w:hint="eastAsia" w:ascii="仿宋_GB2312" w:hAnsi="仿宋_GB2312" w:eastAsia="仿宋_GB2312" w:cs="仿宋_GB2312"/>
          <w:sz w:val="32"/>
          <w:szCs w:val="32"/>
          <w:lang w:val="en-US" w:eastAsia="zh-CN"/>
        </w:rPr>
        <w:t>公示期满无异议的，社区居委会将正式方案报街道办事处审定后，由街道办事处对外发布，同时抄送区城管和综合执法局、市市场监督管理局光明管理局、区住房建设局。</w:t>
      </w:r>
    </w:p>
    <w:p w14:paraId="44B4DA97">
      <w:pPr>
        <w:keepNext w:val="0"/>
        <w:keepLines w:val="0"/>
        <w:pageBreakBefore w:val="0"/>
        <w:widowControl/>
        <w:suppressLineNumbers w:val="0"/>
        <w:kinsoku/>
        <w:wordWrap/>
        <w:overflowPunct/>
        <w:topLinePunct w:val="0"/>
        <w:autoSpaceDE/>
        <w:autoSpaceDN/>
        <w:bidi w:val="0"/>
        <w:adjustRightInd/>
        <w:snapToGrid/>
        <w:spacing w:line="560" w:lineRule="exact"/>
        <w:ind w:firstLine="0" w:firstLineChars="0"/>
        <w:jc w:val="center"/>
        <w:textAlignment w:val="auto"/>
        <w:rPr>
          <w:rFonts w:hint="eastAsia" w:ascii="CESI黑体-GB2312" w:hAnsi="CESI黑体-GB2312" w:eastAsia="CESI黑体-GB2312" w:cs="CESI黑体-GB2312"/>
          <w:sz w:val="32"/>
          <w:szCs w:val="32"/>
          <w:lang w:val="en-US" w:eastAsia="zh-CN"/>
        </w:rPr>
      </w:pPr>
      <w:r>
        <w:rPr>
          <w:rFonts w:hint="eastAsia" w:ascii="CESI黑体-GB2312" w:hAnsi="CESI黑体-GB2312" w:eastAsia="CESI黑体-GB2312" w:cs="CESI黑体-GB2312"/>
          <w:sz w:val="32"/>
          <w:szCs w:val="32"/>
          <w:lang w:val="en-US" w:eastAsia="zh-CN"/>
        </w:rPr>
        <w:t>第三章</w:t>
      </w:r>
      <w:r>
        <w:rPr>
          <w:rFonts w:hint="default" w:ascii="CESI黑体-GB2312" w:hAnsi="CESI黑体-GB2312" w:eastAsia="CESI黑体-GB2312" w:cs="CESI黑体-GB2312"/>
          <w:sz w:val="32"/>
          <w:szCs w:val="32"/>
          <w:lang w:val="en-US" w:eastAsia="zh-CN"/>
        </w:rPr>
        <w:t xml:space="preserve"> </w:t>
      </w:r>
      <w:r>
        <w:rPr>
          <w:rFonts w:hint="eastAsia" w:ascii="CESI黑体-GB2312" w:hAnsi="CESI黑体-GB2312" w:eastAsia="CESI黑体-GB2312" w:cs="CESI黑体-GB2312"/>
          <w:sz w:val="32"/>
          <w:szCs w:val="32"/>
          <w:lang w:val="en-US" w:eastAsia="zh-CN"/>
        </w:rPr>
        <w:t>场所管理</w:t>
      </w:r>
    </w:p>
    <w:p w14:paraId="126F269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sz w:val="32"/>
          <w:szCs w:val="32"/>
          <w:lang w:val="en-US" w:eastAsia="zh-CN"/>
        </w:rPr>
        <w:t>第十五条</w:t>
      </w:r>
      <w:r>
        <w:rPr>
          <w:rFonts w:hint="eastAsia" w:ascii="黑体" w:hAnsi="黑体" w:eastAsia="黑体" w:cs="黑体"/>
          <w:color w:val="auto"/>
          <w:sz w:val="32"/>
          <w:szCs w:val="32"/>
          <w:highlight w:val="none"/>
          <w:lang w:val="en-US" w:eastAsia="zh-CN"/>
        </w:rPr>
        <w:t>【场所布置】</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color w:val="auto"/>
          <w:sz w:val="32"/>
          <w:szCs w:val="32"/>
          <w:highlight w:val="none"/>
          <w:lang w:val="en-US" w:eastAsia="zh-CN"/>
        </w:rPr>
        <w:t>街道办事处负责按照正式方案，统筹安排摊贩经营场所的布置，</w:t>
      </w:r>
      <w:r>
        <w:rPr>
          <w:rFonts w:hint="eastAsia" w:ascii="仿宋_GB2312" w:hAnsi="仿宋_GB2312" w:eastAsia="仿宋_GB2312" w:cs="仿宋_GB2312"/>
          <w:color w:val="auto"/>
          <w:sz w:val="32"/>
          <w:szCs w:val="32"/>
          <w:highlight w:val="none"/>
          <w:u w:val="none"/>
          <w:lang w:val="en-US" w:eastAsia="zh-CN"/>
        </w:rPr>
        <w:t>按需设置区域围栏、分类分区标识标牌、信息公开栏等，配备消防器材、垃圾桶、遮阳棚等基础设施，并在区域内设置相应便民告示。告示内容包括经营区域范围、运营期限、经营业态、经营时段、运维主体、监督投诉电话等信息。</w:t>
      </w:r>
    </w:p>
    <w:p w14:paraId="5C375D7C">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第十六条</w:t>
      </w:r>
      <w:r>
        <w:rPr>
          <w:rFonts w:hint="eastAsia" w:ascii="黑体" w:hAnsi="黑体" w:eastAsia="黑体" w:cs="黑体"/>
          <w:color w:val="auto"/>
          <w:sz w:val="32"/>
          <w:szCs w:val="32"/>
          <w:highlight w:val="none"/>
          <w:lang w:val="en-US" w:eastAsia="zh-CN"/>
        </w:rPr>
        <w:t>【摊位申请】</w:t>
      </w:r>
      <w:r>
        <w:rPr>
          <w:rFonts w:hint="default"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val="en-US" w:eastAsia="zh-CN"/>
        </w:rPr>
        <w:t>根据正式方案中的摊贩入场机制，确定可入场摊贩。运维主体可与入场摊贩签订责任书，以方便后期管理。</w:t>
      </w:r>
    </w:p>
    <w:p w14:paraId="576053B8">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第十七条</w:t>
      </w:r>
      <w:r>
        <w:rPr>
          <w:rFonts w:hint="eastAsia" w:ascii="黑体" w:hAnsi="黑体" w:eastAsia="黑体" w:cs="黑体"/>
          <w:color w:val="auto"/>
          <w:sz w:val="32"/>
          <w:szCs w:val="32"/>
          <w:highlight w:val="none"/>
          <w:lang w:val="en-US" w:eastAsia="zh-CN"/>
        </w:rPr>
        <w:t>【主体责任】</w:t>
      </w:r>
      <w:r>
        <w:rPr>
          <w:rFonts w:hint="default"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val="en-US" w:eastAsia="zh-CN"/>
        </w:rPr>
        <w:t>运维主体应与街道办事处、社区居委会签订三方责任书，建立日常管理制度，按照街道办事处和相关部门要求，落实场所环境卫生、消防安全、食品安全等日常检查和管理。</w:t>
      </w:r>
    </w:p>
    <w:p w14:paraId="22699793">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lang w:val="en-US" w:eastAsia="zh-CN"/>
        </w:rPr>
        <w:t>第十八条</w:t>
      </w:r>
      <w:r>
        <w:rPr>
          <w:rFonts w:hint="eastAsia" w:ascii="黑体" w:hAnsi="黑体" w:eastAsia="黑体" w:cs="黑体"/>
          <w:color w:val="auto"/>
          <w:kern w:val="0"/>
          <w:sz w:val="32"/>
          <w:szCs w:val="32"/>
          <w:highlight w:val="none"/>
          <w:shd w:val="clear" w:color="auto" w:fill="FFFFFF"/>
          <w:lang w:val="en-US" w:eastAsia="zh-CN" w:bidi="ar-SA"/>
        </w:rPr>
        <w:t>【摊贩自律】</w:t>
      </w:r>
      <w:r>
        <w:rPr>
          <w:rFonts w:hint="eastAsia" w:ascii="仿宋_GB2312" w:hAnsi="仿宋_GB2312" w:eastAsia="仿宋_GB2312" w:cs="仿宋_GB2312"/>
          <w:sz w:val="32"/>
          <w:szCs w:val="32"/>
          <w:highlight w:val="none"/>
          <w:lang w:val="en-US" w:eastAsia="zh-CN"/>
        </w:rPr>
        <w:t xml:space="preserve"> 确定入场摊贩后，街道办事处应充分发挥社区居民自治优势，倡导摊贩经营自我管理、自我服务、自我教育、自我监督。</w:t>
      </w:r>
    </w:p>
    <w:p w14:paraId="3F928D2A">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第十九条</w:t>
      </w:r>
      <w:r>
        <w:rPr>
          <w:rFonts w:hint="eastAsia" w:ascii="黑体" w:hAnsi="黑体" w:eastAsia="黑体" w:cs="黑体"/>
          <w:color w:val="auto"/>
          <w:kern w:val="0"/>
          <w:sz w:val="32"/>
          <w:szCs w:val="32"/>
          <w:highlight w:val="none"/>
          <w:shd w:val="clear" w:color="auto" w:fill="FFFFFF"/>
          <w:lang w:val="en-US" w:eastAsia="zh-CN" w:bidi="ar-SA"/>
        </w:rPr>
        <w:t>【社会监督】</w:t>
      </w:r>
      <w:r>
        <w:rPr>
          <w:rFonts w:hint="eastAsia" w:ascii="仿宋_GB2312" w:hAnsi="仿宋_GB2312" w:eastAsia="仿宋_GB2312" w:cs="仿宋_GB2312"/>
          <w:sz w:val="32"/>
          <w:szCs w:val="32"/>
          <w:lang w:val="en-US" w:eastAsia="zh-CN"/>
        </w:rPr>
        <w:t xml:space="preserve"> 摊贩经营场所划定和管理应坚持公开透明原则，自觉接受社会监督，畅通监督渠道，广泛听取“两代表一委员”、市民群众和新闻媒体的意见建议。</w:t>
      </w:r>
    </w:p>
    <w:p w14:paraId="2801A303">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第二十条</w:t>
      </w:r>
      <w:r>
        <w:rPr>
          <w:rFonts w:hint="eastAsia" w:ascii="黑体" w:hAnsi="黑体" w:eastAsia="黑体" w:cs="黑体"/>
          <w:color w:val="auto"/>
          <w:sz w:val="32"/>
          <w:szCs w:val="32"/>
          <w:highlight w:val="none"/>
          <w:lang w:val="en-US" w:eastAsia="zh-CN"/>
        </w:rPr>
        <w:t>【定期评估】</w:t>
      </w:r>
      <w:r>
        <w:rPr>
          <w:rFonts w:hint="default"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val="en-US" w:eastAsia="zh-CN"/>
        </w:rPr>
        <w:t>街道办事处应当每年对摊贩经营场所的经营秩序、环境卫生、城市规划、居民满意度等方面进行评估，评估结果应当予以公示，评估未达标且整改不到位的，应予以取消。</w:t>
      </w:r>
    </w:p>
    <w:p w14:paraId="49723B74">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第二十一条</w:t>
      </w:r>
      <w:r>
        <w:rPr>
          <w:rFonts w:hint="eastAsia" w:ascii="黑体" w:hAnsi="黑体" w:eastAsia="黑体" w:cs="黑体"/>
          <w:color w:val="auto"/>
          <w:kern w:val="0"/>
          <w:sz w:val="32"/>
          <w:szCs w:val="32"/>
          <w:highlight w:val="none"/>
          <w:shd w:val="clear" w:color="auto" w:fill="FFFFFF"/>
          <w:lang w:val="en-US" w:eastAsia="zh-CN" w:bidi="ar-SA"/>
        </w:rPr>
        <w:t>【经营规范】</w:t>
      </w:r>
      <w:r>
        <w:rPr>
          <w:rFonts w:hint="eastAsia" w:ascii="仿宋_GB2312" w:hAnsi="仿宋_GB2312" w:eastAsia="仿宋_GB2312" w:cs="仿宋_GB2312"/>
          <w:sz w:val="32"/>
          <w:szCs w:val="32"/>
          <w:lang w:val="en-US" w:eastAsia="zh-CN"/>
        </w:rPr>
        <w:t xml:space="preserve"> 入场经营摊贩应当遵守以下规范：</w:t>
      </w:r>
    </w:p>
    <w:p w14:paraId="7B613827">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（一）须遵守相关法律法规及场所管理制度，服从管理、合法经营、安全有序、文明和谐；</w:t>
      </w:r>
    </w:p>
    <w:p w14:paraId="39C40256">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（二）应由本人经营，不得转让、出租、出借摊位；</w:t>
      </w:r>
    </w:p>
    <w:p w14:paraId="66D7A270">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（三）在场所内从事生产经营活动、销售产品、食品，应按照法律法规相关规定实施，保证生产经营活动合法有序，销售的产品、食品应安全、卫生、无毒、无害；</w:t>
      </w:r>
    </w:p>
    <w:p w14:paraId="4183BA8E">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（四）在规定摊位、规定时间内挂牌经营，不得随意更换经营地点，不得超出经营范围；</w:t>
      </w:r>
    </w:p>
    <w:p w14:paraId="5E76FC50">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保持市容环境卫生整洁，提倡使用清洁环保安全能源，产生油烟的须降低或者消除对周边环境的影响。严禁使用存在较大风险的生产工具，严禁高音宣传，不得产生异味、光污染以及固体废弃物等污染源影响周围环境及干扰他人正常生活；</w:t>
      </w:r>
    </w:p>
    <w:p w14:paraId="442855AA">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（六）因城市规划调整、城市管理、交通管理、重大活动安全保障等需要对划定摊贩经营区域进行调整的，应当及时清理占用现场并恢复原状。</w:t>
      </w:r>
    </w:p>
    <w:p w14:paraId="2FB5F12C">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第二十二条</w:t>
      </w:r>
      <w:r>
        <w:rPr>
          <w:rFonts w:hint="eastAsia" w:ascii="黑体" w:hAnsi="黑体" w:eastAsia="黑体" w:cs="黑体"/>
          <w:color w:val="auto"/>
          <w:kern w:val="0"/>
          <w:sz w:val="32"/>
          <w:szCs w:val="32"/>
          <w:highlight w:val="none"/>
          <w:shd w:val="clear" w:color="auto" w:fill="FFFFFF"/>
          <w:lang w:val="en-US" w:eastAsia="zh-CN" w:bidi="ar-SA"/>
        </w:rPr>
        <w:t>【责任追究】</w:t>
      </w:r>
      <w:r>
        <w:rPr>
          <w:rFonts w:hint="eastAsia" w:ascii="仿宋_GB2312" w:hAnsi="仿宋_GB2312" w:eastAsia="仿宋_GB2312" w:cs="仿宋_GB2312"/>
          <w:sz w:val="32"/>
          <w:szCs w:val="32"/>
          <w:lang w:val="en-US" w:eastAsia="zh-CN"/>
        </w:rPr>
        <w:t xml:space="preserve"> 摊贩经营场所内不得出现以下行为：</w:t>
      </w:r>
    </w:p>
    <w:p w14:paraId="5DC358A7">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（一）违反食品卫生、消防安全、市容管理等规定；</w:t>
      </w:r>
    </w:p>
    <w:p w14:paraId="0961EA48">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（二）超出划定经营区域、时间或业态范围经营；</w:t>
      </w:r>
    </w:p>
    <w:p w14:paraId="714DC043">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（三）破坏市政、交通设施，占用消防通道；</w:t>
      </w:r>
    </w:p>
    <w:p w14:paraId="4BA6E44C">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（四）其他违反法律法规或划定和管理规范的行为。</w:t>
      </w:r>
    </w:p>
    <w:p w14:paraId="304703CB">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各部门应当依法履行对摊贩经营场所的行政监督检查职责。违反前款规定的，属于入场经营摊贩行为的，由运维主体报社区居委会，社区居委会将线索及时报相关行政执法部门处置；属于运维主体责任的，由街道办事处或相关部门处置。</w:t>
      </w:r>
    </w:p>
    <w:p w14:paraId="1EDC014D">
      <w:pPr>
        <w:keepNext w:val="0"/>
        <w:keepLines w:val="0"/>
        <w:pageBreakBefore w:val="0"/>
        <w:widowControl/>
        <w:suppressLineNumbers w:val="0"/>
        <w:kinsoku/>
        <w:wordWrap/>
        <w:overflowPunct/>
        <w:topLinePunct w:val="0"/>
        <w:autoSpaceDE/>
        <w:autoSpaceDN/>
        <w:bidi w:val="0"/>
        <w:adjustRightInd/>
        <w:snapToGrid/>
        <w:spacing w:line="560" w:lineRule="exact"/>
        <w:ind w:firstLine="0" w:firstLineChars="0"/>
        <w:jc w:val="center"/>
        <w:textAlignment w:val="auto"/>
        <w:rPr>
          <w:rFonts w:hint="eastAsia" w:ascii="CESI黑体-GB2312" w:hAnsi="CESI黑体-GB2312" w:eastAsia="CESI黑体-GB2312" w:cs="CESI黑体-GB2312"/>
          <w:sz w:val="32"/>
          <w:szCs w:val="32"/>
          <w:lang w:val="en-US" w:eastAsia="zh-CN"/>
        </w:rPr>
      </w:pPr>
      <w:r>
        <w:rPr>
          <w:rFonts w:hint="eastAsia" w:ascii="CESI黑体-GB2312" w:hAnsi="CESI黑体-GB2312" w:eastAsia="CESI黑体-GB2312" w:cs="CESI黑体-GB2312"/>
          <w:sz w:val="32"/>
          <w:szCs w:val="32"/>
          <w:lang w:val="en-US" w:eastAsia="zh-CN"/>
        </w:rPr>
        <w:t>第四章</w:t>
      </w:r>
      <w:r>
        <w:rPr>
          <w:rFonts w:hint="default" w:ascii="CESI黑体-GB2312" w:hAnsi="CESI黑体-GB2312" w:eastAsia="CESI黑体-GB2312" w:cs="CESI黑体-GB2312"/>
          <w:sz w:val="32"/>
          <w:szCs w:val="32"/>
          <w:lang w:val="en-US" w:eastAsia="zh-CN"/>
        </w:rPr>
        <w:t xml:space="preserve"> </w:t>
      </w:r>
      <w:r>
        <w:rPr>
          <w:rFonts w:hint="eastAsia" w:ascii="CESI黑体-GB2312" w:hAnsi="CESI黑体-GB2312" w:eastAsia="CESI黑体-GB2312" w:cs="CESI黑体-GB2312"/>
          <w:sz w:val="32"/>
          <w:szCs w:val="32"/>
          <w:lang w:val="en-US" w:eastAsia="zh-CN"/>
        </w:rPr>
        <w:t>附则</w:t>
      </w:r>
    </w:p>
    <w:p w14:paraId="081FA5D0">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第二十三条【解释权】</w:t>
      </w:r>
      <w:r>
        <w:rPr>
          <w:rFonts w:hint="default"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val="en-US" w:eastAsia="zh-CN"/>
        </w:rPr>
        <w:t>本办法由区城管和综合执法局负责解释。</w:t>
      </w:r>
    </w:p>
    <w:p w14:paraId="768FF856">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第二十四条 【有效期】 本办法自202</w:t>
      </w:r>
      <w:r>
        <w:rPr>
          <w:rFonts w:hint="default"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val="en-US" w:eastAsia="zh-CN"/>
        </w:rPr>
        <w:t>年10月1</w:t>
      </w:r>
      <w:bookmarkStart w:id="0" w:name="_GoBack"/>
      <w:bookmarkEnd w:id="0"/>
      <w:r>
        <w:rPr>
          <w:rFonts w:hint="eastAsia" w:ascii="仿宋_GB2312" w:hAnsi="仿宋_GB2312" w:eastAsia="仿宋_GB2312" w:cs="仿宋_GB2312"/>
          <w:sz w:val="32"/>
          <w:szCs w:val="32"/>
          <w:lang w:val="en-US" w:eastAsia="zh-CN"/>
        </w:rPr>
        <w:t>日起实施，有效期3年。</w:t>
      </w:r>
    </w:p>
    <w:sectPr>
      <w:footerReference r:id="rId3" w:type="default"/>
      <w:pgSz w:w="11906" w:h="16838"/>
      <w:pgMar w:top="2041" w:right="1531" w:bottom="2041" w:left="1531" w:header="851" w:footer="992" w:gutter="0"/>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altName w:val="长城大标宋体"/>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长城大标宋体"/>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0F3C52" w:usb2="00000016" w:usb3="00000000" w:csb0="0004001F" w:csb1="00000000"/>
  </w:font>
  <w:font w:name="等线 Light">
    <w:altName w:val="宋体"/>
    <w:panose1 w:val="02010600030101010101"/>
    <w:charset w:val="86"/>
    <w:family w:val="auto"/>
    <w:pitch w:val="default"/>
    <w:sig w:usb0="00000000" w:usb1="00000000" w:usb2="00000016" w:usb3="00000000" w:csb0="0004000F" w:csb1="00000000"/>
  </w:font>
  <w:font w:name="DejaVu Sans">
    <w:panose1 w:val="020B0603030804020204"/>
    <w:charset w:val="00"/>
    <w:family w:val="auto"/>
    <w:pitch w:val="default"/>
    <w:sig w:usb0="E7006EFF" w:usb1="D200FDFF" w:usb2="0A246029" w:usb3="0400200C" w:csb0="600001FF" w:csb1="DFFF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仿宋_GB2312">
    <w:panose1 w:val="02010609030101010101"/>
    <w:charset w:val="86"/>
    <w:family w:val="auto"/>
    <w:pitch w:val="default"/>
    <w:sig w:usb0="00000001" w:usb1="080E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汉仪仿宋简">
    <w:panose1 w:val="02010600000101010101"/>
    <w:charset w:val="86"/>
    <w:family w:val="auto"/>
    <w:pitch w:val="default"/>
    <w:sig w:usb0="00000001" w:usb1="080E0800" w:usb2="00000002" w:usb3="00000000" w:csb0="00040000" w:csb1="00000000"/>
  </w:font>
  <w:font w:name="方正小标宋简体">
    <w:panose1 w:val="02000000000000000000"/>
    <w:charset w:val="86"/>
    <w:family w:val="auto"/>
    <w:pitch w:val="default"/>
    <w:sig w:usb0="A00002BF" w:usb1="184F6CFA" w:usb2="00000012" w:usb3="00000000" w:csb0="00040001" w:csb1="00000000"/>
  </w:font>
  <w:font w:name="CESI黑体-GB2312">
    <w:panose1 w:val="02000500000000000000"/>
    <w:charset w:val="86"/>
    <w:family w:val="auto"/>
    <w:pitch w:val="default"/>
    <w:sig w:usb0="800002BF" w:usb1="184F6CF8" w:usb2="00000012"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8D3B8E">
    <w:pPr>
      <w:pStyle w:val="7"/>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83" name="文本框 38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CCB2F80">
                          <w:pPr>
                            <w:pStyle w:val="7"/>
                            <w:rPr>
                              <w:rFonts w:ascii="宋体" w:hAnsi="宋体" w:cs="宋体"/>
                              <w:sz w:val="24"/>
                            </w:rPr>
                          </w:pPr>
                          <w:r>
                            <w:rPr>
                              <w:rFonts w:hint="eastAsia" w:ascii="宋体" w:hAnsi="宋体" w:cs="宋体"/>
                              <w:sz w:val="24"/>
                            </w:rPr>
                            <w:t xml:space="preserve">— </w:t>
                          </w:r>
                          <w:r>
                            <w:rPr>
                              <w:rFonts w:hint="eastAsia" w:ascii="宋体" w:hAnsi="宋体" w:cs="宋体"/>
                              <w:sz w:val="24"/>
                            </w:rPr>
                            <w:fldChar w:fldCharType="begin"/>
                          </w:r>
                          <w:r>
                            <w:rPr>
                              <w:rFonts w:hint="eastAsia" w:ascii="宋体" w:hAnsi="宋体" w:cs="宋体"/>
                              <w:sz w:val="24"/>
                            </w:rPr>
                            <w:instrText xml:space="preserve"> PAGE  \* MERGEFORMAT </w:instrText>
                          </w:r>
                          <w:r>
                            <w:rPr>
                              <w:rFonts w:hint="eastAsia" w:ascii="宋体" w:hAnsi="宋体" w:cs="宋体"/>
                              <w:sz w:val="24"/>
                            </w:rPr>
                            <w:fldChar w:fldCharType="separate"/>
                          </w:r>
                          <w:r>
                            <w:rPr>
                              <w:rFonts w:ascii="宋体" w:hAnsi="宋体" w:cs="宋体"/>
                              <w:sz w:val="24"/>
                            </w:rPr>
                            <w:t>68</w:t>
                          </w:r>
                          <w:r>
                            <w:rPr>
                              <w:rFonts w:hint="eastAsia" w:ascii="宋体" w:hAnsi="宋体" w:cs="宋体"/>
                              <w:sz w:val="24"/>
                            </w:rPr>
                            <w:fldChar w:fldCharType="end"/>
                          </w:r>
                          <w:r>
                            <w:rPr>
                              <w:rFonts w:hint="eastAsia" w:ascii="宋体" w:hAnsi="宋体" w:cs="宋体"/>
                              <w:sz w:val="24"/>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juOfI0AgAAZ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o7jnyNAIAAGcEAAAOAAAAAAAAAAEAIAAAAB8BAABkcnMvZTJvRG9jLnhtbFBL&#10;BQYAAAAABgAGAFkBAADFBQAAAAA=&#10;">
              <v:fill on="f" focussize="0,0"/>
              <v:stroke on="f" weight="0.5pt"/>
              <v:imagedata o:title=""/>
              <o:lock v:ext="edit" aspectratio="f"/>
              <v:textbox inset="0mm,0mm,0mm,0mm" style="mso-fit-shape-to-text:t;">
                <w:txbxContent>
                  <w:p w14:paraId="1CCB2F80">
                    <w:pPr>
                      <w:pStyle w:val="7"/>
                      <w:rPr>
                        <w:rFonts w:ascii="宋体" w:hAnsi="宋体" w:cs="宋体"/>
                        <w:sz w:val="24"/>
                      </w:rPr>
                    </w:pPr>
                    <w:r>
                      <w:rPr>
                        <w:rFonts w:hint="eastAsia" w:ascii="宋体" w:hAnsi="宋体" w:cs="宋体"/>
                        <w:sz w:val="24"/>
                      </w:rPr>
                      <w:t xml:space="preserve">— </w:t>
                    </w:r>
                    <w:r>
                      <w:rPr>
                        <w:rFonts w:hint="eastAsia" w:ascii="宋体" w:hAnsi="宋体" w:cs="宋体"/>
                        <w:sz w:val="24"/>
                      </w:rPr>
                      <w:fldChar w:fldCharType="begin"/>
                    </w:r>
                    <w:r>
                      <w:rPr>
                        <w:rFonts w:hint="eastAsia" w:ascii="宋体" w:hAnsi="宋体" w:cs="宋体"/>
                        <w:sz w:val="24"/>
                      </w:rPr>
                      <w:instrText xml:space="preserve"> PAGE  \* MERGEFORMAT </w:instrText>
                    </w:r>
                    <w:r>
                      <w:rPr>
                        <w:rFonts w:hint="eastAsia" w:ascii="宋体" w:hAnsi="宋体" w:cs="宋体"/>
                        <w:sz w:val="24"/>
                      </w:rPr>
                      <w:fldChar w:fldCharType="separate"/>
                    </w:r>
                    <w:r>
                      <w:rPr>
                        <w:rFonts w:ascii="宋体" w:hAnsi="宋体" w:cs="宋体"/>
                        <w:sz w:val="24"/>
                      </w:rPr>
                      <w:t>68</w:t>
                    </w:r>
                    <w:r>
                      <w:rPr>
                        <w:rFonts w:hint="eastAsia" w:ascii="宋体" w:hAnsi="宋体" w:cs="宋体"/>
                        <w:sz w:val="24"/>
                      </w:rPr>
                      <w:fldChar w:fldCharType="end"/>
                    </w:r>
                    <w:r>
                      <w:rPr>
                        <w:rFonts w:hint="eastAsia" w:ascii="宋体" w:hAnsi="宋体" w:cs="宋体"/>
                        <w:sz w:val="24"/>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bordersDoNotSurroundHeader w:val="0"/>
  <w:bordersDoNotSurroundFooter w:val="0"/>
  <w:trackRevisions w:val="1"/>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47F8227"/>
    <w:rsid w:val="397EE07C"/>
    <w:rsid w:val="3BD9EDDD"/>
    <w:rsid w:val="3BFD9807"/>
    <w:rsid w:val="63AF3AEE"/>
    <w:rsid w:val="73F72F0E"/>
    <w:rsid w:val="75FF3305"/>
    <w:rsid w:val="7AB67D2B"/>
    <w:rsid w:val="7BBD343B"/>
    <w:rsid w:val="7C7D89FD"/>
    <w:rsid w:val="7DD4D98D"/>
    <w:rsid w:val="7FF79988"/>
    <w:rsid w:val="A8BFFC5C"/>
    <w:rsid w:val="B3774FB8"/>
    <w:rsid w:val="B9FF2BE6"/>
    <w:rsid w:val="BFFF8CDA"/>
    <w:rsid w:val="D7AF91C1"/>
    <w:rsid w:val="DFFDCFEA"/>
    <w:rsid w:val="E7FF2B81"/>
    <w:rsid w:val="EB7F0F07"/>
    <w:rsid w:val="EFEF3CD3"/>
    <w:rsid w:val="F2FE7896"/>
    <w:rsid w:val="F47F8227"/>
    <w:rsid w:val="F53F4E80"/>
    <w:rsid w:val="FCF73676"/>
    <w:rsid w:val="FEFF6C00"/>
    <w:rsid w:val="FF79EA76"/>
    <w:rsid w:val="FFA72237"/>
    <w:rsid w:val="FFB6ECB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unhideWhenUsed/>
    <w:qFormat/>
    <w:uiPriority w:val="9"/>
    <w:pPr>
      <w:keepNext/>
      <w:keepLines/>
      <w:spacing w:before="260" w:after="260" w:line="416" w:lineRule="auto"/>
      <w:outlineLvl w:val="1"/>
    </w:pPr>
    <w:rPr>
      <w:rFonts w:ascii="等线 Light" w:hAnsi="等线 Light" w:eastAsia="等线 Light"/>
      <w:b/>
      <w:bCs/>
      <w:sz w:val="32"/>
      <w:szCs w:val="32"/>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next w:val="1"/>
    <w:unhideWhenUsed/>
    <w:qFormat/>
    <w:uiPriority w:val="99"/>
    <w:pPr>
      <w:spacing w:after="120" w:afterLines="0" w:afterAutospacing="0"/>
    </w:pPr>
  </w:style>
  <w:style w:type="paragraph" w:styleId="5">
    <w:name w:val="Plain Text"/>
    <w:basedOn w:val="1"/>
    <w:qFormat/>
    <w:uiPriority w:val="0"/>
    <w:rPr>
      <w:rFonts w:ascii="宋体" w:hAnsi="Courier New" w:cs="Courier New"/>
      <w:szCs w:val="21"/>
    </w:rPr>
  </w:style>
  <w:style w:type="paragraph" w:styleId="6">
    <w:name w:val="Date"/>
    <w:basedOn w:val="1"/>
    <w:next w:val="1"/>
    <w:qFormat/>
    <w:uiPriority w:val="0"/>
    <w:pPr>
      <w:ind w:left="100" w:leftChars="2500"/>
    </w:pPr>
    <w:rPr>
      <w:rFonts w:ascii="Times New Roman" w:hAnsi="Times New Roman" w:eastAsia="宋体" w:cs="Times New Roman"/>
    </w:rPr>
  </w:style>
  <w:style w:type="paragraph" w:styleId="7">
    <w:name w:val="footer"/>
    <w:basedOn w:val="1"/>
    <w:unhideWhenUsed/>
    <w:qFormat/>
    <w:uiPriority w:val="99"/>
    <w:pPr>
      <w:tabs>
        <w:tab w:val="center" w:pos="4153"/>
        <w:tab w:val="right" w:pos="8306"/>
      </w:tabs>
      <w:snapToGrid w:val="0"/>
      <w:jc w:val="left"/>
    </w:pPr>
    <w:rPr>
      <w:sz w:val="18"/>
    </w:rPr>
  </w:style>
  <w:style w:type="paragraph" w:styleId="8">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toc 1"/>
    <w:basedOn w:val="1"/>
    <w:next w:val="1"/>
    <w:unhideWhenUsed/>
    <w:qFormat/>
    <w:uiPriority w:val="39"/>
    <w:pPr>
      <w:spacing w:before="120" w:after="120" w:line="360" w:lineRule="auto"/>
      <w:ind w:firstLine="480" w:firstLineChars="200"/>
      <w:jc w:val="left"/>
    </w:pPr>
    <w:rPr>
      <w:rFonts w:ascii="Calibri" w:hAnsi="Calibri" w:eastAsia="宋体" w:cs="Times New Roman"/>
      <w:b/>
      <w:bCs/>
      <w:caps/>
      <w:sz w:val="20"/>
      <w:szCs w:val="20"/>
    </w:rPr>
  </w:style>
  <w:style w:type="paragraph" w:styleId="10">
    <w:name w:val="toc 2"/>
    <w:basedOn w:val="1"/>
    <w:next w:val="1"/>
    <w:unhideWhenUsed/>
    <w:qFormat/>
    <w:uiPriority w:val="39"/>
    <w:pPr>
      <w:tabs>
        <w:tab w:val="right" w:leader="dot" w:pos="8222"/>
      </w:tabs>
      <w:spacing w:line="400" w:lineRule="exact"/>
      <w:ind w:left="210" w:firstLine="480" w:firstLineChars="200"/>
      <w:jc w:val="left"/>
    </w:pPr>
    <w:rPr>
      <w:rFonts w:ascii="Calibri" w:hAnsi="Calibri" w:eastAsia="宋体" w:cs="Times New Roman"/>
      <w:smallCaps/>
      <w:sz w:val="24"/>
      <w:szCs w:val="22"/>
    </w:rPr>
  </w:style>
  <w:style w:type="paragraph" w:styleId="11">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2">
    <w:name w:val="Title"/>
    <w:basedOn w:val="1"/>
    <w:next w:val="1"/>
    <w:qFormat/>
    <w:uiPriority w:val="10"/>
    <w:pPr>
      <w:spacing w:before="240" w:after="60"/>
      <w:jc w:val="center"/>
      <w:outlineLvl w:val="0"/>
    </w:pPr>
    <w:rPr>
      <w:rFonts w:ascii="Cambria" w:hAnsi="Cambria"/>
      <w:b/>
      <w:bCs/>
      <w:sz w:val="32"/>
      <w:szCs w:val="32"/>
    </w:rPr>
  </w:style>
  <w:style w:type="paragraph" w:styleId="13">
    <w:name w:val="Body Text First Indent"/>
    <w:basedOn w:val="4"/>
    <w:unhideWhenUsed/>
    <w:qFormat/>
    <w:uiPriority w:val="99"/>
    <w:pPr>
      <w:widowControl w:val="0"/>
      <w:spacing w:after="120" w:afterLines="0" w:afterAutospacing="0"/>
      <w:ind w:firstLine="664"/>
      <w:jc w:val="both"/>
    </w:pPr>
    <w:rPr>
      <w:rFonts w:ascii="Calibri" w:hAnsi="Calibri" w:eastAsia="宋体" w:cs="Times New Roman"/>
      <w:kern w:val="2"/>
      <w:sz w:val="21"/>
      <w:szCs w:val="20"/>
      <w:lang w:val="en-US" w:eastAsia="zh-CN" w:bidi="ar-SA"/>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paragraph" w:customStyle="1" w:styleId="18">
    <w:name w:val="4.正文"/>
    <w:basedOn w:val="1"/>
    <w:link w:val="19"/>
    <w:qFormat/>
    <w:uiPriority w:val="0"/>
    <w:pPr>
      <w:spacing w:line="560" w:lineRule="exact"/>
      <w:ind w:firstLine="640" w:firstLineChars="200"/>
    </w:pPr>
    <w:rPr>
      <w:rFonts w:hint="eastAsia" w:ascii="仿宋_GB2312" w:hAnsi="仿宋_GB2312" w:eastAsia="仿宋_GB2312" w:cs="Times New Roman"/>
      <w:sz w:val="32"/>
      <w:szCs w:val="32"/>
    </w:rPr>
  </w:style>
  <w:style w:type="character" w:customStyle="1" w:styleId="19">
    <w:name w:val="4.正文 Char"/>
    <w:link w:val="18"/>
    <w:qFormat/>
    <w:uiPriority w:val="0"/>
    <w:rPr>
      <w:rFonts w:hint="eastAsia" w:ascii="仿宋_GB2312" w:hAnsi="仿宋_GB2312" w:eastAsia="仿宋_GB2312" w:cs="Times New Roman"/>
      <w:sz w:val="32"/>
      <w:szCs w:val="32"/>
    </w:rPr>
  </w:style>
  <w:style w:type="paragraph" w:customStyle="1" w:styleId="20">
    <w:name w:val="1.标题"/>
    <w:basedOn w:val="1"/>
    <w:qFormat/>
    <w:uiPriority w:val="0"/>
    <w:pPr>
      <w:spacing w:line="560" w:lineRule="exact"/>
      <w:jc w:val="center"/>
      <w:outlineLvl w:val="0"/>
    </w:pPr>
    <w:rPr>
      <w:rFonts w:ascii="方正小标宋_GBK" w:hAnsi="方正小标宋_GBK" w:eastAsia="方正小标宋_GBK" w:cs="方正小标宋_GBK"/>
      <w:sz w:val="44"/>
      <w:szCs w:val="44"/>
    </w:rPr>
  </w:style>
  <w:style w:type="paragraph" w:customStyle="1" w:styleId="21">
    <w:name w:val="3.二级标题"/>
    <w:basedOn w:val="1"/>
    <w:link w:val="22"/>
    <w:qFormat/>
    <w:uiPriority w:val="0"/>
    <w:pPr>
      <w:spacing w:line="560" w:lineRule="exact"/>
      <w:ind w:firstLine="640" w:firstLineChars="200"/>
    </w:pPr>
    <w:rPr>
      <w:rFonts w:hint="eastAsia" w:ascii="楷体_GB2312" w:hAnsi="楷体_GB2312" w:eastAsia="楷体_GB2312" w:cs="楷体_GB2312"/>
      <w:sz w:val="32"/>
      <w:szCs w:val="32"/>
    </w:rPr>
  </w:style>
  <w:style w:type="character" w:customStyle="1" w:styleId="22">
    <w:name w:val="3.二级标题 Char"/>
    <w:link w:val="21"/>
    <w:qFormat/>
    <w:uiPriority w:val="0"/>
    <w:rPr>
      <w:rFonts w:hint="eastAsia" w:ascii="楷体_GB2312" w:hAnsi="楷体_GB2312" w:eastAsia="楷体_GB2312" w:cs="楷体_GB2312"/>
      <w:sz w:val="32"/>
      <w:szCs w:val="32"/>
    </w:rPr>
  </w:style>
  <w:style w:type="paragraph" w:customStyle="1" w:styleId="23">
    <w:name w:val="2.一级标题"/>
    <w:basedOn w:val="1"/>
    <w:link w:val="24"/>
    <w:qFormat/>
    <w:uiPriority w:val="0"/>
    <w:pPr>
      <w:spacing w:line="560" w:lineRule="exact"/>
      <w:ind w:firstLine="640" w:firstLineChars="200"/>
    </w:pPr>
    <w:rPr>
      <w:rFonts w:hint="eastAsia" w:ascii="黑体" w:hAnsi="黑体" w:eastAsia="黑体" w:cs="黑体"/>
      <w:sz w:val="32"/>
      <w:szCs w:val="32"/>
    </w:rPr>
  </w:style>
  <w:style w:type="character" w:customStyle="1" w:styleId="24">
    <w:name w:val="2.一级标题 Char"/>
    <w:link w:val="23"/>
    <w:qFormat/>
    <w:uiPriority w:val="0"/>
    <w:rPr>
      <w:rFonts w:hint="eastAsia" w:ascii="黑体" w:hAnsi="黑体" w:eastAsia="黑体" w:cs="黑体"/>
      <w:sz w:val="32"/>
      <w:szCs w:val="32"/>
    </w:rPr>
  </w:style>
  <w:style w:type="paragraph" w:customStyle="1" w:styleId="25">
    <w:name w:val="5.图片样式"/>
    <w:basedOn w:val="1"/>
    <w:qFormat/>
    <w:uiPriority w:val="0"/>
    <w:pPr>
      <w:spacing w:before="100" w:beforeLines="100" w:after="50" w:afterLines="50"/>
      <w:jc w:val="center"/>
    </w:pPr>
    <w:rPr>
      <w:rFonts w:ascii="汉仪仿宋简" w:hAnsi="汉仪仿宋简" w:eastAsia="汉仪仿宋简" w:cs="Times New Roman"/>
      <w:sz w:val="24"/>
    </w:rPr>
  </w:style>
  <w:style w:type="paragraph" w:customStyle="1" w:styleId="26">
    <w:name w:val="6.图注"/>
    <w:basedOn w:val="1"/>
    <w:qFormat/>
    <w:uiPriority w:val="0"/>
    <w:pPr>
      <w:spacing w:after="50" w:afterLines="50" w:line="360" w:lineRule="exact"/>
      <w:jc w:val="center"/>
    </w:pPr>
    <w:rPr>
      <w:rFonts w:ascii="宋体" w:hAnsi="宋体" w:eastAsia="宋体" w:cs="宋体"/>
      <w:sz w:val="24"/>
    </w:rPr>
  </w:style>
  <w:style w:type="character" w:customStyle="1" w:styleId="27">
    <w:name w:val="默认段落字体1"/>
    <w:semiHidden/>
    <w:qFormat/>
    <w:uiPriority w:val="0"/>
    <w:rPr>
      <w:rFonts w:ascii="Calibri" w:hAnsi="Calibri" w:eastAsia="宋体" w:cs="Times New Roman"/>
      <w:kern w:val="2"/>
      <w:sz w:val="21"/>
      <w:szCs w:val="24"/>
      <w:lang w:val="en-US" w:eastAsia="zh-CN" w:bidi="ar-SA"/>
    </w:rPr>
  </w:style>
  <w:style w:type="paragraph" w:customStyle="1" w:styleId="28">
    <w:name w:val="7.一级标题居中"/>
    <w:basedOn w:val="1"/>
    <w:qFormat/>
    <w:uiPriority w:val="0"/>
    <w:pPr>
      <w:spacing w:before="100" w:beforeLines="100" w:after="100" w:afterLines="100" w:line="560" w:lineRule="exact"/>
      <w:jc w:val="center"/>
    </w:pPr>
    <w:rPr>
      <w:rFonts w:hint="eastAsia" w:ascii="黑体" w:hAnsi="黑体" w:eastAsia="黑体" w:cs="Times New Roman"/>
      <w:bCs/>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1</TotalTime>
  <ScaleCrop>false</ScaleCrop>
  <LinksUpToDate>false</LinksUpToDate>
  <CharactersWithSpaces>0</CharactersWithSpaces>
  <Application>WPS Office_12.1.2.22550_F1E327BC-269C-435d-A152-05C5408002CA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2025-11-17T19:42:00Z</dcterms:created>
  <dc:creator>付小勇</dc:creator>
  <cp:lastModifiedBy>廖慧莉</cp:lastModifiedBy>
  <cp:lastPrinted>2025-11-17T19:42:00Z</cp:lastPrinted>
  <dcterms:modified xsi:type="dcterms:W3CDTF">2026-09-17T09:30:45Z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2052-12.1.2.22550</vt:lpwstr>
  </property>
  <property fmtid="{D5CDD505-2E9C-101B-9397-08002B2CF9AE}" pid="3" name="ICV">
    <vt:lpwstr>ED21F5CE417D4D0B86E12AE837CD3BC5</vt:lpwstr>
  </property>
</Properties>
</file>