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line="560" w:lineRule="exact"/>
        <w:jc w:val="center"/>
        <w:rPr>
          <w:rFonts w:ascii="仿宋_GB2312" w:hAnsi="宋体" w:eastAsia="仿宋_GB2312"/>
          <w:sz w:val="32"/>
          <w:szCs w:val="32"/>
        </w:rPr>
      </w:pPr>
    </w:p>
    <w:p>
      <w:pPr>
        <w:spacing w:beforeLines="0" w:line="560" w:lineRule="exact"/>
        <w:jc w:val="center"/>
        <w:rPr>
          <w:rFonts w:hint="eastAsia" w:ascii="仿宋_GB2312" w:hAnsi="宋体" w:eastAsia="仿宋_GB2312"/>
          <w:sz w:val="32"/>
          <w:szCs w:val="32"/>
        </w:rPr>
      </w:pPr>
    </w:p>
    <w:p>
      <w:pPr>
        <w:spacing w:beforeLines="0" w:line="560" w:lineRule="exact"/>
        <w:jc w:val="center"/>
        <w:rPr>
          <w:rFonts w:hint="eastAsia" w:ascii="仿宋_GB2312" w:hAnsi="宋体" w:eastAsia="仿宋_GB2312"/>
          <w:sz w:val="32"/>
          <w:szCs w:val="32"/>
        </w:rPr>
      </w:pPr>
    </w:p>
    <w:p>
      <w:pPr>
        <w:spacing w:beforeLines="0" w:line="560" w:lineRule="exact"/>
        <w:jc w:val="center"/>
        <w:rPr>
          <w:rFonts w:hint="eastAsia" w:ascii="仿宋_GB2312" w:hAnsi="宋体" w:eastAsia="仿宋_GB2312"/>
          <w:sz w:val="32"/>
          <w:szCs w:val="32"/>
        </w:rPr>
      </w:pPr>
    </w:p>
    <w:p>
      <w:pPr>
        <w:spacing w:beforeLines="0" w:line="560" w:lineRule="exact"/>
        <w:jc w:val="center"/>
        <w:rPr>
          <w:rFonts w:hint="eastAsia" w:ascii="仿宋_GB2312" w:hAnsi="宋体" w:eastAsia="仿宋_GB2312"/>
          <w:sz w:val="32"/>
          <w:szCs w:val="32"/>
        </w:rPr>
      </w:pPr>
    </w:p>
    <w:p>
      <w:pPr>
        <w:spacing w:beforeLines="0" w:line="560" w:lineRule="exact"/>
        <w:jc w:val="center"/>
        <w:rPr>
          <w:rFonts w:hint="eastAsia" w:ascii="仿宋_GB2312" w:hAnsi="宋体" w:eastAsia="仿宋_GB2312"/>
          <w:sz w:val="32"/>
          <w:szCs w:val="32"/>
        </w:rPr>
      </w:pPr>
    </w:p>
    <w:p>
      <w:pPr>
        <w:spacing w:beforeLines="0" w:line="560" w:lineRule="exact"/>
        <w:jc w:val="center"/>
        <w:rPr>
          <w:rFonts w:hint="eastAsia" w:ascii="仿宋_GB2312" w:eastAsia="仿宋_GB2312"/>
          <w:sz w:val="32"/>
          <w:szCs w:val="32"/>
        </w:rPr>
      </w:pPr>
    </w:p>
    <w:p>
      <w:pPr>
        <w:pageBreakBefore w:val="0"/>
        <w:kinsoku/>
        <w:wordWrap/>
        <w:overflowPunct/>
        <w:topLinePunct w:val="0"/>
        <w:autoSpaceDE/>
        <w:autoSpaceDN/>
        <w:bidi w:val="0"/>
        <w:spacing w:line="560" w:lineRule="exact"/>
        <w:ind w:firstLine="0"/>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w:t>
      </w:r>
      <w:r>
        <w:rPr>
          <w:rFonts w:hint="eastAsia" w:ascii="方正小标宋_GBK" w:hAnsi="方正小标宋_GBK" w:eastAsia="方正小标宋_GBK" w:cs="方正小标宋_GBK"/>
          <w:sz w:val="44"/>
          <w:szCs w:val="44"/>
          <w:lang w:val="en-US" w:eastAsia="zh-CN"/>
        </w:rPr>
        <w:t>5</w:t>
      </w:r>
      <w:r>
        <w:rPr>
          <w:rFonts w:hint="eastAsia" w:ascii="方正小标宋_GBK" w:hAnsi="方正小标宋_GBK" w:eastAsia="方正小标宋_GBK" w:cs="方正小标宋_GBK"/>
          <w:sz w:val="44"/>
          <w:szCs w:val="44"/>
        </w:rPr>
        <w:t>年度查违综合防控购买服务项目经费</w:t>
      </w:r>
    </w:p>
    <w:p>
      <w:pPr>
        <w:pageBreakBefore w:val="0"/>
        <w:kinsoku/>
        <w:wordWrap/>
        <w:overflowPunct/>
        <w:topLinePunct w:val="0"/>
        <w:autoSpaceDE/>
        <w:autoSpaceDN/>
        <w:bidi w:val="0"/>
        <w:spacing w:line="560" w:lineRule="exact"/>
        <w:ind w:firstLine="0"/>
        <w:jc w:val="center"/>
        <w:textAlignment w:val="auto"/>
        <w:outlineLvl w:val="9"/>
        <w:rPr>
          <w:rFonts w:hint="eastAsia" w:ascii="方正小标宋_GBK" w:hAnsi="方正小标宋_GBK" w:eastAsia="方正小标宋_GBK" w:cs="方正小标宋_GBK"/>
          <w:sz w:val="44"/>
          <w:szCs w:val="44"/>
        </w:rPr>
      </w:pPr>
      <w:bookmarkStart w:id="0" w:name="_Toc13107"/>
      <w:bookmarkStart w:id="1" w:name="_Toc27983"/>
      <w:bookmarkStart w:id="2" w:name="_Toc8146"/>
      <w:r>
        <w:rPr>
          <w:rFonts w:hint="eastAsia" w:ascii="方正小标宋_GBK" w:hAnsi="方正小标宋_GBK" w:eastAsia="方正小标宋_GBK" w:cs="方正小标宋_GBK"/>
          <w:sz w:val="44"/>
          <w:szCs w:val="44"/>
        </w:rPr>
        <w:t>项目支出绩效自评报告</w:t>
      </w:r>
      <w:bookmarkEnd w:id="0"/>
      <w:bookmarkEnd w:id="1"/>
      <w:bookmarkEnd w:id="2"/>
    </w:p>
    <w:p>
      <w:pPr>
        <w:spacing w:beforeLines="0" w:line="560" w:lineRule="exact"/>
        <w:jc w:val="center"/>
        <w:rPr>
          <w:rFonts w:hint="eastAsia" w:ascii="仿宋_GB2312" w:hAnsi="宋体" w:eastAsia="仿宋_GB2312"/>
          <w:sz w:val="32"/>
          <w:szCs w:val="32"/>
        </w:rPr>
      </w:pPr>
    </w:p>
    <w:p>
      <w:pPr>
        <w:spacing w:beforeLines="0" w:line="560" w:lineRule="exact"/>
        <w:jc w:val="center"/>
        <w:rPr>
          <w:rFonts w:hint="eastAsia" w:ascii="仿宋_GB2312" w:hAnsi="宋体" w:eastAsia="仿宋_GB2312"/>
          <w:sz w:val="32"/>
          <w:szCs w:val="32"/>
        </w:rPr>
      </w:pPr>
    </w:p>
    <w:p>
      <w:pPr>
        <w:spacing w:beforeLines="0" w:line="560" w:lineRule="exact"/>
        <w:jc w:val="center"/>
        <w:rPr>
          <w:rFonts w:hint="eastAsia" w:ascii="仿宋_GB2312" w:hAnsi="宋体" w:eastAsia="仿宋_GB2312"/>
          <w:sz w:val="32"/>
          <w:szCs w:val="32"/>
        </w:rPr>
      </w:pPr>
    </w:p>
    <w:p>
      <w:pPr>
        <w:spacing w:beforeLines="0" w:line="560" w:lineRule="exact"/>
        <w:jc w:val="center"/>
        <w:rPr>
          <w:rFonts w:hint="eastAsia" w:ascii="仿宋_GB2312" w:hAnsi="宋体" w:eastAsia="仿宋_GB2312"/>
          <w:sz w:val="32"/>
          <w:szCs w:val="32"/>
        </w:rPr>
      </w:pPr>
    </w:p>
    <w:p>
      <w:pPr>
        <w:spacing w:beforeLines="0" w:line="560" w:lineRule="exact"/>
        <w:jc w:val="center"/>
        <w:rPr>
          <w:rFonts w:hint="eastAsia" w:ascii="仿宋_GB2312" w:hAnsi="宋体" w:eastAsia="仿宋_GB2312"/>
          <w:sz w:val="32"/>
          <w:szCs w:val="32"/>
        </w:rPr>
      </w:pPr>
    </w:p>
    <w:p>
      <w:pPr>
        <w:spacing w:beforeLines="0" w:line="560" w:lineRule="exact"/>
        <w:jc w:val="center"/>
        <w:rPr>
          <w:rFonts w:hint="eastAsia" w:ascii="仿宋_GB2312" w:hAnsi="宋体" w:eastAsia="仿宋_GB2312"/>
          <w:sz w:val="32"/>
          <w:szCs w:val="32"/>
        </w:rPr>
      </w:pPr>
    </w:p>
    <w:p>
      <w:pPr>
        <w:spacing w:beforeLines="0" w:line="560" w:lineRule="exact"/>
        <w:jc w:val="center"/>
        <w:rPr>
          <w:rFonts w:ascii="仿宋_GB2312" w:eastAsia="仿宋_GB2312" w:cs="仿宋_GB2312"/>
          <w:sz w:val="32"/>
          <w:szCs w:val="32"/>
        </w:rPr>
      </w:pPr>
    </w:p>
    <w:p>
      <w:pPr>
        <w:pStyle w:val="36"/>
        <w:spacing w:beforeLines="0" w:line="560" w:lineRule="exact"/>
        <w:rPr>
          <w:rFonts w:hint="eastAsia"/>
        </w:rPr>
      </w:pPr>
    </w:p>
    <w:p>
      <w:pPr>
        <w:adjustRightInd w:val="0"/>
        <w:snapToGrid w:val="0"/>
        <w:spacing w:beforeLines="0" w:line="560" w:lineRule="exact"/>
        <w:ind w:firstLine="640" w:firstLineChars="200"/>
        <w:jc w:val="center"/>
        <w:rPr>
          <w:rFonts w:ascii="黑体" w:hAnsi="黑体" w:eastAsia="黑体" w:cs="仿宋_GB2312"/>
          <w:sz w:val="32"/>
          <w:szCs w:val="44"/>
        </w:rPr>
      </w:pPr>
    </w:p>
    <w:p>
      <w:pPr>
        <w:adjustRightInd w:val="0"/>
        <w:snapToGrid w:val="0"/>
        <w:spacing w:beforeLines="0" w:line="560" w:lineRule="exact"/>
        <w:jc w:val="center"/>
        <w:rPr>
          <w:rFonts w:hint="default" w:ascii="黑体" w:hAnsi="黑体" w:eastAsia="黑体" w:cs="仿宋_GB2312"/>
          <w:sz w:val="32"/>
          <w:szCs w:val="44"/>
          <w:lang w:val="en-US" w:eastAsia="zh-CN"/>
        </w:rPr>
      </w:pPr>
    </w:p>
    <w:p>
      <w:pPr>
        <w:adjustRightInd w:val="0"/>
        <w:snapToGrid w:val="0"/>
        <w:spacing w:beforeLines="0" w:line="560" w:lineRule="exact"/>
        <w:jc w:val="center"/>
        <w:rPr>
          <w:rFonts w:ascii="黑体" w:hAnsi="黑体" w:eastAsia="黑体" w:cs="仿宋_GB2312"/>
          <w:sz w:val="32"/>
          <w:szCs w:val="44"/>
        </w:rPr>
      </w:pPr>
    </w:p>
    <w:p>
      <w:pPr>
        <w:spacing w:beforeLines="0" w:line="560" w:lineRule="exact"/>
      </w:pPr>
    </w:p>
    <w:p>
      <w:pPr>
        <w:spacing w:beforeLines="0" w:line="560" w:lineRule="exact"/>
        <w:rPr>
          <w:rFonts w:hint="eastAsia" w:ascii="仿宋_GB2312" w:hAnsi="宋体" w:eastAsia="仿宋_GB2312"/>
          <w:sz w:val="32"/>
          <w:szCs w:val="32"/>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pPr>
        <w:spacing w:before="0" w:beforeLines="0" w:after="0" w:afterLines="0" w:line="240" w:lineRule="auto"/>
        <w:ind w:left="0" w:leftChars="0" w:right="0" w:rightChars="0" w:firstLine="0" w:firstLineChars="0"/>
        <w:jc w:val="center"/>
        <w:rPr>
          <w:rFonts w:hint="eastAsia" w:ascii="黑体" w:hAnsi="黑体" w:eastAsia="黑体" w:cs="黑体"/>
          <w:b/>
          <w:bCs/>
          <w:sz w:val="36"/>
          <w:szCs w:val="36"/>
        </w:rPr>
      </w:pPr>
      <w:bookmarkStart w:id="3" w:name="_Toc8861"/>
      <w:bookmarkStart w:id="4" w:name="_Toc5334"/>
      <w:bookmarkStart w:id="5" w:name="_Toc31542_WPSOffice_Level1"/>
      <w:bookmarkStart w:id="6" w:name="_Toc17190"/>
      <w:bookmarkStart w:id="7" w:name="_Toc8020"/>
      <w:bookmarkStart w:id="8" w:name="_Toc26227"/>
      <w:bookmarkStart w:id="9" w:name="_Toc19146_WPSOffice_Level1"/>
      <w:bookmarkStart w:id="10" w:name="_Toc1322_WPSOffice_Level1"/>
      <w:r>
        <w:rPr>
          <w:rFonts w:hint="eastAsia" w:ascii="黑体" w:hAnsi="黑体" w:eastAsia="黑体" w:cs="黑体"/>
          <w:b/>
          <w:bCs/>
          <w:sz w:val="36"/>
          <w:szCs w:val="36"/>
        </w:rPr>
        <w:t>目录</w:t>
      </w:r>
    </w:p>
    <w:p>
      <w:pPr>
        <w:pStyle w:val="13"/>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sz w:val="28"/>
          <w:szCs w:val="28"/>
        </w:rPr>
      </w:pPr>
      <w:r>
        <w:rPr>
          <w:rFonts w:hint="default"/>
          <w:b/>
          <w:sz w:val="28"/>
          <w:szCs w:val="28"/>
        </w:rPr>
        <w:fldChar w:fldCharType="begin"/>
      </w:r>
      <w:r>
        <w:rPr>
          <w:rFonts w:hint="default"/>
          <w:b/>
          <w:sz w:val="28"/>
          <w:szCs w:val="28"/>
        </w:rPr>
        <w:instrText xml:space="preserve"> TOC \o "1-2" \h \u </w:instrText>
      </w:r>
      <w:r>
        <w:rPr>
          <w:rFonts w:hint="default"/>
          <w:b/>
          <w:sz w:val="28"/>
          <w:szCs w:val="28"/>
        </w:rPr>
        <w:fldChar w:fldCharType="separate"/>
      </w:r>
      <w:r>
        <w:rPr>
          <w:rFonts w:hint="default"/>
          <w:sz w:val="28"/>
          <w:szCs w:val="28"/>
        </w:rPr>
        <w:fldChar w:fldCharType="begin"/>
      </w:r>
      <w:r>
        <w:rPr>
          <w:rFonts w:hint="default"/>
          <w:sz w:val="28"/>
          <w:szCs w:val="28"/>
        </w:rPr>
        <w:instrText xml:space="preserve"> HYPERLINK \l _Toc16032 </w:instrText>
      </w:r>
      <w:r>
        <w:rPr>
          <w:rFonts w:hint="default"/>
          <w:sz w:val="28"/>
          <w:szCs w:val="28"/>
        </w:rPr>
        <w:fldChar w:fldCharType="separate"/>
      </w:r>
      <w:r>
        <w:rPr>
          <w:rFonts w:hint="eastAsia" w:ascii="Calibri" w:hAnsi="Calibri" w:eastAsia="黑体"/>
          <w:sz w:val="28"/>
          <w:szCs w:val="28"/>
        </w:rPr>
        <w:t>一、项目基本情况</w:t>
      </w:r>
      <w:r>
        <w:rPr>
          <w:sz w:val="28"/>
          <w:szCs w:val="28"/>
        </w:rPr>
        <w:tab/>
      </w:r>
      <w:r>
        <w:rPr>
          <w:sz w:val="28"/>
          <w:szCs w:val="28"/>
        </w:rPr>
        <w:fldChar w:fldCharType="begin"/>
      </w:r>
      <w:r>
        <w:rPr>
          <w:sz w:val="28"/>
          <w:szCs w:val="28"/>
        </w:rPr>
        <w:instrText xml:space="preserve"> PAGEREF _Toc16032 \h </w:instrText>
      </w:r>
      <w:r>
        <w:rPr>
          <w:sz w:val="28"/>
          <w:szCs w:val="28"/>
        </w:rPr>
        <w:fldChar w:fldCharType="separate"/>
      </w:r>
      <w:r>
        <w:rPr>
          <w:sz w:val="28"/>
          <w:szCs w:val="28"/>
        </w:rPr>
        <w:t>1</w:t>
      </w:r>
      <w:r>
        <w:rPr>
          <w:sz w:val="28"/>
          <w:szCs w:val="28"/>
        </w:rPr>
        <w:fldChar w:fldCharType="end"/>
      </w:r>
      <w:r>
        <w:rPr>
          <w:rFonts w:hint="default"/>
          <w:sz w:val="28"/>
          <w:szCs w:val="28"/>
        </w:rPr>
        <w:fldChar w:fldCharType="end"/>
      </w:r>
    </w:p>
    <w:p>
      <w:pPr>
        <w:pStyle w:val="13"/>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sz w:val="28"/>
          <w:szCs w:val="28"/>
        </w:rPr>
      </w:pPr>
      <w:r>
        <w:rPr>
          <w:rFonts w:hint="default"/>
          <w:sz w:val="28"/>
          <w:szCs w:val="28"/>
        </w:rPr>
        <w:fldChar w:fldCharType="begin"/>
      </w:r>
      <w:r>
        <w:rPr>
          <w:rFonts w:hint="default"/>
          <w:sz w:val="28"/>
          <w:szCs w:val="28"/>
        </w:rPr>
        <w:instrText xml:space="preserve"> HYPERLINK \l _Toc16722 </w:instrText>
      </w:r>
      <w:r>
        <w:rPr>
          <w:rFonts w:hint="default"/>
          <w:sz w:val="28"/>
          <w:szCs w:val="28"/>
        </w:rPr>
        <w:fldChar w:fldCharType="separate"/>
      </w:r>
      <w:r>
        <w:rPr>
          <w:rFonts w:ascii="Times New Roman" w:hAnsi="Times New Roman" w:eastAsia="楷体_GB2312"/>
          <w:bCs/>
          <w:kern w:val="2"/>
          <w:sz w:val="28"/>
          <w:szCs w:val="28"/>
        </w:rPr>
        <w:t>（一）项目概况</w:t>
      </w:r>
      <w:r>
        <w:rPr>
          <w:sz w:val="28"/>
          <w:szCs w:val="28"/>
        </w:rPr>
        <w:tab/>
      </w:r>
      <w:r>
        <w:rPr>
          <w:sz w:val="28"/>
          <w:szCs w:val="28"/>
        </w:rPr>
        <w:fldChar w:fldCharType="begin"/>
      </w:r>
      <w:r>
        <w:rPr>
          <w:sz w:val="28"/>
          <w:szCs w:val="28"/>
        </w:rPr>
        <w:instrText xml:space="preserve"> PAGEREF _Toc16722 \h </w:instrText>
      </w:r>
      <w:r>
        <w:rPr>
          <w:sz w:val="28"/>
          <w:szCs w:val="28"/>
        </w:rPr>
        <w:fldChar w:fldCharType="separate"/>
      </w:r>
      <w:r>
        <w:rPr>
          <w:sz w:val="28"/>
          <w:szCs w:val="28"/>
        </w:rPr>
        <w:t>1</w:t>
      </w:r>
      <w:r>
        <w:rPr>
          <w:sz w:val="28"/>
          <w:szCs w:val="28"/>
        </w:rPr>
        <w:fldChar w:fldCharType="end"/>
      </w:r>
      <w:r>
        <w:rPr>
          <w:rFonts w:hint="default"/>
          <w:sz w:val="28"/>
          <w:szCs w:val="28"/>
        </w:rPr>
        <w:fldChar w:fldCharType="end"/>
      </w:r>
    </w:p>
    <w:p>
      <w:pPr>
        <w:pStyle w:val="13"/>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sz w:val="28"/>
          <w:szCs w:val="28"/>
        </w:rPr>
      </w:pPr>
      <w:r>
        <w:rPr>
          <w:rFonts w:hint="default"/>
          <w:sz w:val="28"/>
          <w:szCs w:val="28"/>
        </w:rPr>
        <w:fldChar w:fldCharType="begin"/>
      </w:r>
      <w:r>
        <w:rPr>
          <w:rFonts w:hint="default"/>
          <w:sz w:val="28"/>
          <w:szCs w:val="28"/>
        </w:rPr>
        <w:instrText xml:space="preserve"> HYPERLINK \l _Toc27029 </w:instrText>
      </w:r>
      <w:r>
        <w:rPr>
          <w:rFonts w:hint="default"/>
          <w:sz w:val="28"/>
          <w:szCs w:val="28"/>
        </w:rPr>
        <w:fldChar w:fldCharType="separate"/>
      </w:r>
      <w:r>
        <w:rPr>
          <w:rFonts w:ascii="Times New Roman" w:hAnsi="Times New Roman" w:eastAsia="楷体_GB2312"/>
          <w:bCs/>
          <w:kern w:val="2"/>
          <w:sz w:val="28"/>
          <w:szCs w:val="28"/>
        </w:rPr>
        <w:t>（</w:t>
      </w:r>
      <w:r>
        <w:rPr>
          <w:rFonts w:hint="eastAsia" w:ascii="Times New Roman" w:hAnsi="Times New Roman" w:eastAsia="楷体_GB2312"/>
          <w:bCs/>
          <w:kern w:val="2"/>
          <w:sz w:val="28"/>
          <w:szCs w:val="28"/>
          <w:lang w:val="en-US" w:eastAsia="zh-CN"/>
        </w:rPr>
        <w:t>二</w:t>
      </w:r>
      <w:r>
        <w:rPr>
          <w:rFonts w:ascii="Times New Roman" w:hAnsi="Times New Roman" w:eastAsia="楷体_GB2312"/>
          <w:bCs/>
          <w:kern w:val="2"/>
          <w:sz w:val="28"/>
          <w:szCs w:val="28"/>
        </w:rPr>
        <w:t>）项目绩效目标</w:t>
      </w:r>
      <w:r>
        <w:rPr>
          <w:sz w:val="28"/>
          <w:szCs w:val="28"/>
        </w:rPr>
        <w:tab/>
      </w:r>
      <w:r>
        <w:rPr>
          <w:sz w:val="28"/>
          <w:szCs w:val="28"/>
        </w:rPr>
        <w:fldChar w:fldCharType="begin"/>
      </w:r>
      <w:r>
        <w:rPr>
          <w:sz w:val="28"/>
          <w:szCs w:val="28"/>
        </w:rPr>
        <w:instrText xml:space="preserve"> PAGEREF _Toc27029 \h </w:instrText>
      </w:r>
      <w:r>
        <w:rPr>
          <w:sz w:val="28"/>
          <w:szCs w:val="28"/>
        </w:rPr>
        <w:fldChar w:fldCharType="separate"/>
      </w:r>
      <w:r>
        <w:rPr>
          <w:sz w:val="28"/>
          <w:szCs w:val="28"/>
        </w:rPr>
        <w:t>3</w:t>
      </w:r>
      <w:r>
        <w:rPr>
          <w:sz w:val="28"/>
          <w:szCs w:val="28"/>
        </w:rPr>
        <w:fldChar w:fldCharType="end"/>
      </w:r>
      <w:r>
        <w:rPr>
          <w:rFonts w:hint="default"/>
          <w:sz w:val="28"/>
          <w:szCs w:val="28"/>
        </w:rPr>
        <w:fldChar w:fldCharType="end"/>
      </w:r>
    </w:p>
    <w:p>
      <w:pPr>
        <w:pStyle w:val="13"/>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sz w:val="28"/>
          <w:szCs w:val="28"/>
        </w:rPr>
      </w:pPr>
      <w:r>
        <w:rPr>
          <w:rFonts w:hint="default"/>
          <w:sz w:val="28"/>
          <w:szCs w:val="28"/>
        </w:rPr>
        <w:fldChar w:fldCharType="begin"/>
      </w:r>
      <w:r>
        <w:rPr>
          <w:rFonts w:hint="default"/>
          <w:sz w:val="28"/>
          <w:szCs w:val="28"/>
        </w:rPr>
        <w:instrText xml:space="preserve"> HYPERLINK \l _Toc4455 </w:instrText>
      </w:r>
      <w:r>
        <w:rPr>
          <w:rFonts w:hint="default"/>
          <w:sz w:val="28"/>
          <w:szCs w:val="28"/>
        </w:rPr>
        <w:fldChar w:fldCharType="separate"/>
      </w:r>
      <w:r>
        <w:rPr>
          <w:rFonts w:hint="eastAsia" w:ascii="Calibri" w:hAnsi="Calibri" w:eastAsia="黑体" w:cs="Times New Roman"/>
          <w:sz w:val="28"/>
          <w:szCs w:val="28"/>
        </w:rPr>
        <w:t>二、绩效评价工作开展情况</w:t>
      </w:r>
      <w:r>
        <w:rPr>
          <w:sz w:val="28"/>
          <w:szCs w:val="28"/>
        </w:rPr>
        <w:tab/>
      </w:r>
      <w:r>
        <w:rPr>
          <w:sz w:val="28"/>
          <w:szCs w:val="28"/>
        </w:rPr>
        <w:fldChar w:fldCharType="begin"/>
      </w:r>
      <w:r>
        <w:rPr>
          <w:sz w:val="28"/>
          <w:szCs w:val="28"/>
        </w:rPr>
        <w:instrText xml:space="preserve"> PAGEREF _Toc4455 \h </w:instrText>
      </w:r>
      <w:r>
        <w:rPr>
          <w:sz w:val="28"/>
          <w:szCs w:val="28"/>
        </w:rPr>
        <w:fldChar w:fldCharType="separate"/>
      </w:r>
      <w:r>
        <w:rPr>
          <w:sz w:val="28"/>
          <w:szCs w:val="28"/>
        </w:rPr>
        <w:t>4</w:t>
      </w:r>
      <w:r>
        <w:rPr>
          <w:sz w:val="28"/>
          <w:szCs w:val="28"/>
        </w:rPr>
        <w:fldChar w:fldCharType="end"/>
      </w:r>
      <w:r>
        <w:rPr>
          <w:rFonts w:hint="default"/>
          <w:sz w:val="28"/>
          <w:szCs w:val="28"/>
        </w:rPr>
        <w:fldChar w:fldCharType="end"/>
      </w:r>
    </w:p>
    <w:p>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sz w:val="28"/>
          <w:szCs w:val="28"/>
        </w:rPr>
      </w:pPr>
      <w:r>
        <w:rPr>
          <w:rFonts w:hint="default"/>
          <w:sz w:val="28"/>
          <w:szCs w:val="28"/>
        </w:rPr>
        <w:fldChar w:fldCharType="begin"/>
      </w:r>
      <w:r>
        <w:rPr>
          <w:rFonts w:hint="default"/>
          <w:sz w:val="28"/>
          <w:szCs w:val="28"/>
        </w:rPr>
        <w:instrText xml:space="preserve"> HYPERLINK \l _Toc22891 </w:instrText>
      </w:r>
      <w:r>
        <w:rPr>
          <w:rFonts w:hint="default"/>
          <w:sz w:val="28"/>
          <w:szCs w:val="28"/>
        </w:rPr>
        <w:fldChar w:fldCharType="separate"/>
      </w:r>
      <w:r>
        <w:rPr>
          <w:rFonts w:hint="eastAsia" w:ascii="Times New Roman" w:hAnsi="Times New Roman" w:eastAsia="楷体_GB2312" w:cs="Times New Roman"/>
          <w:bCs/>
          <w:kern w:val="2"/>
          <w:sz w:val="28"/>
          <w:szCs w:val="28"/>
          <w:lang w:val="en-US" w:eastAsia="zh-CN" w:bidi="ar-SA"/>
        </w:rPr>
        <w:t>（一）绩效评价目的、对象和范围</w:t>
      </w:r>
      <w:r>
        <w:rPr>
          <w:sz w:val="28"/>
          <w:szCs w:val="28"/>
        </w:rPr>
        <w:tab/>
      </w:r>
      <w:r>
        <w:rPr>
          <w:sz w:val="28"/>
          <w:szCs w:val="28"/>
        </w:rPr>
        <w:fldChar w:fldCharType="begin"/>
      </w:r>
      <w:r>
        <w:rPr>
          <w:sz w:val="28"/>
          <w:szCs w:val="28"/>
        </w:rPr>
        <w:instrText xml:space="preserve"> PAGEREF _Toc22891 \h </w:instrText>
      </w:r>
      <w:r>
        <w:rPr>
          <w:sz w:val="28"/>
          <w:szCs w:val="28"/>
        </w:rPr>
        <w:fldChar w:fldCharType="separate"/>
      </w:r>
      <w:r>
        <w:rPr>
          <w:sz w:val="28"/>
          <w:szCs w:val="28"/>
        </w:rPr>
        <w:t>4</w:t>
      </w:r>
      <w:r>
        <w:rPr>
          <w:sz w:val="28"/>
          <w:szCs w:val="28"/>
        </w:rPr>
        <w:fldChar w:fldCharType="end"/>
      </w:r>
      <w:r>
        <w:rPr>
          <w:rFonts w:hint="default"/>
          <w:sz w:val="28"/>
          <w:szCs w:val="28"/>
        </w:rPr>
        <w:fldChar w:fldCharType="end"/>
      </w:r>
    </w:p>
    <w:p>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sz w:val="28"/>
          <w:szCs w:val="28"/>
        </w:rPr>
      </w:pPr>
      <w:r>
        <w:rPr>
          <w:rFonts w:hint="default"/>
          <w:sz w:val="28"/>
          <w:szCs w:val="28"/>
        </w:rPr>
        <w:fldChar w:fldCharType="begin"/>
      </w:r>
      <w:r>
        <w:rPr>
          <w:rFonts w:hint="default"/>
          <w:sz w:val="28"/>
          <w:szCs w:val="28"/>
        </w:rPr>
        <w:instrText xml:space="preserve"> HYPERLINK \l _Toc25885 </w:instrText>
      </w:r>
      <w:r>
        <w:rPr>
          <w:rFonts w:hint="default"/>
          <w:sz w:val="28"/>
          <w:szCs w:val="28"/>
        </w:rPr>
        <w:fldChar w:fldCharType="separate"/>
      </w:r>
      <w:r>
        <w:rPr>
          <w:rFonts w:hint="eastAsia" w:ascii="Times New Roman" w:hAnsi="Times New Roman" w:eastAsia="楷体_GB2312" w:cs="Times New Roman"/>
          <w:bCs/>
          <w:kern w:val="2"/>
          <w:sz w:val="28"/>
          <w:szCs w:val="28"/>
          <w:lang w:val="en-US" w:eastAsia="zh-CN" w:bidi="ar-SA"/>
        </w:rPr>
        <w:t>（二）绩效评价原则、评价指标体系、评价方法、评价标准等</w:t>
      </w:r>
      <w:r>
        <w:rPr>
          <w:sz w:val="28"/>
          <w:szCs w:val="28"/>
        </w:rPr>
        <w:tab/>
      </w:r>
      <w:r>
        <w:rPr>
          <w:sz w:val="28"/>
          <w:szCs w:val="28"/>
        </w:rPr>
        <w:fldChar w:fldCharType="begin"/>
      </w:r>
      <w:r>
        <w:rPr>
          <w:sz w:val="28"/>
          <w:szCs w:val="28"/>
        </w:rPr>
        <w:instrText xml:space="preserve"> PAGEREF _Toc25885 \h </w:instrText>
      </w:r>
      <w:r>
        <w:rPr>
          <w:sz w:val="28"/>
          <w:szCs w:val="28"/>
        </w:rPr>
        <w:fldChar w:fldCharType="separate"/>
      </w:r>
      <w:r>
        <w:rPr>
          <w:sz w:val="28"/>
          <w:szCs w:val="28"/>
        </w:rPr>
        <w:t>4</w:t>
      </w:r>
      <w:r>
        <w:rPr>
          <w:sz w:val="28"/>
          <w:szCs w:val="28"/>
        </w:rPr>
        <w:fldChar w:fldCharType="end"/>
      </w:r>
      <w:r>
        <w:rPr>
          <w:rFonts w:hint="default"/>
          <w:sz w:val="28"/>
          <w:szCs w:val="28"/>
        </w:rPr>
        <w:fldChar w:fldCharType="end"/>
      </w:r>
    </w:p>
    <w:p>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sz w:val="28"/>
          <w:szCs w:val="28"/>
        </w:rPr>
      </w:pPr>
      <w:r>
        <w:rPr>
          <w:rFonts w:hint="default"/>
          <w:sz w:val="28"/>
          <w:szCs w:val="28"/>
        </w:rPr>
        <w:fldChar w:fldCharType="begin"/>
      </w:r>
      <w:r>
        <w:rPr>
          <w:rFonts w:hint="default"/>
          <w:sz w:val="28"/>
          <w:szCs w:val="28"/>
        </w:rPr>
        <w:instrText xml:space="preserve"> HYPERLINK \l _Toc21137 </w:instrText>
      </w:r>
      <w:r>
        <w:rPr>
          <w:rFonts w:hint="default"/>
          <w:sz w:val="28"/>
          <w:szCs w:val="28"/>
        </w:rPr>
        <w:fldChar w:fldCharType="separate"/>
      </w:r>
      <w:r>
        <w:rPr>
          <w:rFonts w:hint="eastAsia" w:ascii="Times New Roman" w:hAnsi="Times New Roman" w:eastAsia="楷体_GB2312" w:cs="Times New Roman"/>
          <w:bCs/>
          <w:kern w:val="2"/>
          <w:sz w:val="28"/>
          <w:szCs w:val="28"/>
          <w:lang w:val="en-US" w:eastAsia="zh-CN" w:bidi="ar-SA"/>
        </w:rPr>
        <w:t>（三）绩效评价工作流程</w:t>
      </w:r>
      <w:r>
        <w:rPr>
          <w:sz w:val="28"/>
          <w:szCs w:val="28"/>
        </w:rPr>
        <w:tab/>
      </w:r>
      <w:r>
        <w:rPr>
          <w:sz w:val="28"/>
          <w:szCs w:val="28"/>
        </w:rPr>
        <w:fldChar w:fldCharType="begin"/>
      </w:r>
      <w:r>
        <w:rPr>
          <w:sz w:val="28"/>
          <w:szCs w:val="28"/>
        </w:rPr>
        <w:instrText xml:space="preserve"> PAGEREF _Toc21137 \h </w:instrText>
      </w:r>
      <w:r>
        <w:rPr>
          <w:sz w:val="28"/>
          <w:szCs w:val="28"/>
        </w:rPr>
        <w:fldChar w:fldCharType="separate"/>
      </w:r>
      <w:r>
        <w:rPr>
          <w:sz w:val="28"/>
          <w:szCs w:val="28"/>
        </w:rPr>
        <w:t>7</w:t>
      </w:r>
      <w:r>
        <w:rPr>
          <w:sz w:val="28"/>
          <w:szCs w:val="28"/>
        </w:rPr>
        <w:fldChar w:fldCharType="end"/>
      </w:r>
      <w:r>
        <w:rPr>
          <w:rFonts w:hint="default"/>
          <w:sz w:val="28"/>
          <w:szCs w:val="28"/>
        </w:rPr>
        <w:fldChar w:fldCharType="end"/>
      </w:r>
    </w:p>
    <w:p>
      <w:pPr>
        <w:pStyle w:val="13"/>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sz w:val="28"/>
          <w:szCs w:val="28"/>
        </w:rPr>
      </w:pPr>
      <w:r>
        <w:rPr>
          <w:rFonts w:hint="default"/>
          <w:sz w:val="28"/>
          <w:szCs w:val="28"/>
        </w:rPr>
        <w:fldChar w:fldCharType="begin"/>
      </w:r>
      <w:r>
        <w:rPr>
          <w:rFonts w:hint="default"/>
          <w:sz w:val="28"/>
          <w:szCs w:val="28"/>
        </w:rPr>
        <w:instrText xml:space="preserve"> HYPERLINK \l _Toc5131 </w:instrText>
      </w:r>
      <w:r>
        <w:rPr>
          <w:rFonts w:hint="default"/>
          <w:sz w:val="28"/>
          <w:szCs w:val="28"/>
        </w:rPr>
        <w:fldChar w:fldCharType="separate"/>
      </w:r>
      <w:r>
        <w:rPr>
          <w:rFonts w:hint="eastAsia" w:ascii="Calibri" w:hAnsi="Calibri" w:eastAsia="黑体"/>
          <w:sz w:val="28"/>
          <w:szCs w:val="28"/>
          <w:lang w:val="en-US" w:eastAsia="zh-CN"/>
        </w:rPr>
        <w:t>三</w:t>
      </w:r>
      <w:r>
        <w:rPr>
          <w:rFonts w:hint="eastAsia" w:ascii="Calibri" w:hAnsi="Calibri" w:eastAsia="黑体"/>
          <w:sz w:val="28"/>
          <w:szCs w:val="28"/>
        </w:rPr>
        <w:t>、综合评价情况及评价结论</w:t>
      </w:r>
      <w:r>
        <w:rPr>
          <w:sz w:val="28"/>
          <w:szCs w:val="28"/>
        </w:rPr>
        <w:tab/>
      </w:r>
      <w:r>
        <w:rPr>
          <w:sz w:val="28"/>
          <w:szCs w:val="28"/>
        </w:rPr>
        <w:fldChar w:fldCharType="begin"/>
      </w:r>
      <w:r>
        <w:rPr>
          <w:sz w:val="28"/>
          <w:szCs w:val="28"/>
        </w:rPr>
        <w:instrText xml:space="preserve"> PAGEREF _Toc5131 \h </w:instrText>
      </w:r>
      <w:r>
        <w:rPr>
          <w:sz w:val="28"/>
          <w:szCs w:val="28"/>
        </w:rPr>
        <w:fldChar w:fldCharType="separate"/>
      </w:r>
      <w:r>
        <w:rPr>
          <w:sz w:val="28"/>
          <w:szCs w:val="28"/>
        </w:rPr>
        <w:t>7</w:t>
      </w:r>
      <w:r>
        <w:rPr>
          <w:sz w:val="28"/>
          <w:szCs w:val="28"/>
        </w:rPr>
        <w:fldChar w:fldCharType="end"/>
      </w:r>
      <w:r>
        <w:rPr>
          <w:rFonts w:hint="default"/>
          <w:sz w:val="28"/>
          <w:szCs w:val="28"/>
        </w:rPr>
        <w:fldChar w:fldCharType="end"/>
      </w:r>
    </w:p>
    <w:p>
      <w:pPr>
        <w:pStyle w:val="13"/>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sz w:val="28"/>
          <w:szCs w:val="28"/>
        </w:rPr>
      </w:pPr>
      <w:r>
        <w:rPr>
          <w:rFonts w:hint="default"/>
          <w:sz w:val="28"/>
          <w:szCs w:val="28"/>
        </w:rPr>
        <w:fldChar w:fldCharType="begin"/>
      </w:r>
      <w:r>
        <w:rPr>
          <w:rFonts w:hint="default"/>
          <w:sz w:val="28"/>
          <w:szCs w:val="28"/>
        </w:rPr>
        <w:instrText xml:space="preserve"> HYPERLINK \l _Toc31534 </w:instrText>
      </w:r>
      <w:r>
        <w:rPr>
          <w:rFonts w:hint="default"/>
          <w:sz w:val="28"/>
          <w:szCs w:val="28"/>
        </w:rPr>
        <w:fldChar w:fldCharType="separate"/>
      </w:r>
      <w:r>
        <w:rPr>
          <w:rFonts w:hint="eastAsia" w:ascii="Calibri" w:hAnsi="Calibri" w:eastAsia="黑体"/>
          <w:sz w:val="28"/>
          <w:szCs w:val="28"/>
        </w:rPr>
        <w:t>四、绩效评价指标分析</w:t>
      </w:r>
      <w:r>
        <w:rPr>
          <w:sz w:val="28"/>
          <w:szCs w:val="28"/>
        </w:rPr>
        <w:tab/>
      </w:r>
      <w:r>
        <w:rPr>
          <w:sz w:val="28"/>
          <w:szCs w:val="28"/>
        </w:rPr>
        <w:fldChar w:fldCharType="begin"/>
      </w:r>
      <w:r>
        <w:rPr>
          <w:sz w:val="28"/>
          <w:szCs w:val="28"/>
        </w:rPr>
        <w:instrText xml:space="preserve"> PAGEREF _Toc31534 \h </w:instrText>
      </w:r>
      <w:r>
        <w:rPr>
          <w:sz w:val="28"/>
          <w:szCs w:val="28"/>
        </w:rPr>
        <w:fldChar w:fldCharType="separate"/>
      </w:r>
      <w:r>
        <w:rPr>
          <w:sz w:val="28"/>
          <w:szCs w:val="28"/>
        </w:rPr>
        <w:t>7</w:t>
      </w:r>
      <w:r>
        <w:rPr>
          <w:sz w:val="28"/>
          <w:szCs w:val="28"/>
        </w:rPr>
        <w:fldChar w:fldCharType="end"/>
      </w:r>
      <w:r>
        <w:rPr>
          <w:rFonts w:hint="default"/>
          <w:sz w:val="28"/>
          <w:szCs w:val="28"/>
        </w:rPr>
        <w:fldChar w:fldCharType="end"/>
      </w:r>
    </w:p>
    <w:p>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sz w:val="28"/>
          <w:szCs w:val="28"/>
        </w:rPr>
      </w:pPr>
      <w:r>
        <w:rPr>
          <w:rFonts w:hint="default"/>
          <w:sz w:val="28"/>
          <w:szCs w:val="28"/>
        </w:rPr>
        <w:fldChar w:fldCharType="begin"/>
      </w:r>
      <w:r>
        <w:rPr>
          <w:rFonts w:hint="default"/>
          <w:sz w:val="28"/>
          <w:szCs w:val="28"/>
        </w:rPr>
        <w:instrText xml:space="preserve"> HYPERLINK \l _Toc16194 </w:instrText>
      </w:r>
      <w:r>
        <w:rPr>
          <w:rFonts w:hint="default"/>
          <w:sz w:val="28"/>
          <w:szCs w:val="28"/>
        </w:rPr>
        <w:fldChar w:fldCharType="separate"/>
      </w:r>
      <w:r>
        <w:rPr>
          <w:rFonts w:hint="eastAsia" w:ascii="Times New Roman" w:hAnsi="Times New Roman" w:eastAsia="楷体_GB2312" w:cs="Times New Roman"/>
          <w:bCs/>
          <w:kern w:val="2"/>
          <w:sz w:val="28"/>
          <w:szCs w:val="28"/>
          <w:lang w:val="en-US" w:eastAsia="zh-CN" w:bidi="ar-SA"/>
        </w:rPr>
        <w:t>（一）项目决策情况分析</w:t>
      </w:r>
      <w:r>
        <w:rPr>
          <w:sz w:val="28"/>
          <w:szCs w:val="28"/>
        </w:rPr>
        <w:tab/>
      </w:r>
      <w:r>
        <w:rPr>
          <w:sz w:val="28"/>
          <w:szCs w:val="28"/>
        </w:rPr>
        <w:fldChar w:fldCharType="begin"/>
      </w:r>
      <w:r>
        <w:rPr>
          <w:sz w:val="28"/>
          <w:szCs w:val="28"/>
        </w:rPr>
        <w:instrText xml:space="preserve"> PAGEREF _Toc16194 \h </w:instrText>
      </w:r>
      <w:r>
        <w:rPr>
          <w:sz w:val="28"/>
          <w:szCs w:val="28"/>
        </w:rPr>
        <w:fldChar w:fldCharType="separate"/>
      </w:r>
      <w:r>
        <w:rPr>
          <w:sz w:val="28"/>
          <w:szCs w:val="28"/>
        </w:rPr>
        <w:t>8</w:t>
      </w:r>
      <w:r>
        <w:rPr>
          <w:sz w:val="28"/>
          <w:szCs w:val="28"/>
        </w:rPr>
        <w:fldChar w:fldCharType="end"/>
      </w:r>
      <w:r>
        <w:rPr>
          <w:rFonts w:hint="default"/>
          <w:sz w:val="28"/>
          <w:szCs w:val="28"/>
        </w:rPr>
        <w:fldChar w:fldCharType="end"/>
      </w:r>
    </w:p>
    <w:p>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sz w:val="28"/>
          <w:szCs w:val="28"/>
        </w:rPr>
      </w:pPr>
      <w:r>
        <w:rPr>
          <w:rFonts w:hint="default"/>
          <w:sz w:val="28"/>
          <w:szCs w:val="28"/>
        </w:rPr>
        <w:fldChar w:fldCharType="begin"/>
      </w:r>
      <w:r>
        <w:rPr>
          <w:rFonts w:hint="default"/>
          <w:sz w:val="28"/>
          <w:szCs w:val="28"/>
        </w:rPr>
        <w:instrText xml:space="preserve"> HYPERLINK \l _Toc24858 </w:instrText>
      </w:r>
      <w:r>
        <w:rPr>
          <w:rFonts w:hint="default"/>
          <w:sz w:val="28"/>
          <w:szCs w:val="28"/>
        </w:rPr>
        <w:fldChar w:fldCharType="separate"/>
      </w:r>
      <w:r>
        <w:rPr>
          <w:rFonts w:hint="eastAsia" w:ascii="Times New Roman" w:hAnsi="Times New Roman" w:eastAsia="楷体_GB2312" w:cs="Times New Roman"/>
          <w:bCs/>
          <w:kern w:val="2"/>
          <w:sz w:val="28"/>
          <w:szCs w:val="28"/>
          <w:lang w:val="en-US" w:eastAsia="zh-CN" w:bidi="ar-SA"/>
        </w:rPr>
        <w:t>（二）项目过程情况分析</w:t>
      </w:r>
      <w:r>
        <w:rPr>
          <w:sz w:val="28"/>
          <w:szCs w:val="28"/>
        </w:rPr>
        <w:tab/>
      </w:r>
      <w:r>
        <w:rPr>
          <w:sz w:val="28"/>
          <w:szCs w:val="28"/>
        </w:rPr>
        <w:fldChar w:fldCharType="begin"/>
      </w:r>
      <w:r>
        <w:rPr>
          <w:sz w:val="28"/>
          <w:szCs w:val="28"/>
        </w:rPr>
        <w:instrText xml:space="preserve"> PAGEREF _Toc24858 \h </w:instrText>
      </w:r>
      <w:r>
        <w:rPr>
          <w:sz w:val="28"/>
          <w:szCs w:val="28"/>
        </w:rPr>
        <w:fldChar w:fldCharType="separate"/>
      </w:r>
      <w:r>
        <w:rPr>
          <w:sz w:val="28"/>
          <w:szCs w:val="28"/>
        </w:rPr>
        <w:t>10</w:t>
      </w:r>
      <w:r>
        <w:rPr>
          <w:sz w:val="28"/>
          <w:szCs w:val="28"/>
        </w:rPr>
        <w:fldChar w:fldCharType="end"/>
      </w:r>
      <w:r>
        <w:rPr>
          <w:rFonts w:hint="default"/>
          <w:sz w:val="28"/>
          <w:szCs w:val="28"/>
        </w:rPr>
        <w:fldChar w:fldCharType="end"/>
      </w:r>
    </w:p>
    <w:p>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rPr>
          <w:sz w:val="28"/>
          <w:szCs w:val="28"/>
        </w:rPr>
      </w:pPr>
      <w:r>
        <w:rPr>
          <w:rFonts w:hint="default"/>
          <w:sz w:val="28"/>
          <w:szCs w:val="28"/>
        </w:rPr>
        <w:fldChar w:fldCharType="begin"/>
      </w:r>
      <w:r>
        <w:rPr>
          <w:rFonts w:hint="default"/>
          <w:sz w:val="28"/>
          <w:szCs w:val="28"/>
        </w:rPr>
        <w:instrText xml:space="preserve"> HYPERLINK \l _Toc16117 </w:instrText>
      </w:r>
      <w:r>
        <w:rPr>
          <w:rFonts w:hint="default"/>
          <w:sz w:val="28"/>
          <w:szCs w:val="28"/>
        </w:rPr>
        <w:fldChar w:fldCharType="separate"/>
      </w:r>
      <w:r>
        <w:rPr>
          <w:rFonts w:hint="eastAsia" w:ascii="Times New Roman" w:hAnsi="Times New Roman" w:eastAsia="楷体_GB2312" w:cs="Times New Roman"/>
          <w:bCs/>
          <w:kern w:val="2"/>
          <w:sz w:val="28"/>
          <w:szCs w:val="28"/>
          <w:lang w:val="en-US" w:eastAsia="zh-CN" w:bidi="ar-SA"/>
        </w:rPr>
        <w:t>（三）项目绩效情况分析</w:t>
      </w:r>
      <w:r>
        <w:rPr>
          <w:sz w:val="28"/>
          <w:szCs w:val="28"/>
        </w:rPr>
        <w:tab/>
      </w:r>
      <w:r>
        <w:rPr>
          <w:sz w:val="28"/>
          <w:szCs w:val="28"/>
        </w:rPr>
        <w:fldChar w:fldCharType="begin"/>
      </w:r>
      <w:r>
        <w:rPr>
          <w:sz w:val="28"/>
          <w:szCs w:val="28"/>
        </w:rPr>
        <w:instrText xml:space="preserve"> PAGEREF _Toc16117 \h </w:instrText>
      </w:r>
      <w:r>
        <w:rPr>
          <w:sz w:val="28"/>
          <w:szCs w:val="28"/>
        </w:rPr>
        <w:fldChar w:fldCharType="separate"/>
      </w:r>
      <w:r>
        <w:rPr>
          <w:sz w:val="28"/>
          <w:szCs w:val="28"/>
        </w:rPr>
        <w:t>11</w:t>
      </w:r>
      <w:r>
        <w:rPr>
          <w:sz w:val="28"/>
          <w:szCs w:val="28"/>
        </w:rPr>
        <w:fldChar w:fldCharType="end"/>
      </w:r>
      <w:r>
        <w:rPr>
          <w:rFonts w:hint="default"/>
          <w:sz w:val="28"/>
          <w:szCs w:val="28"/>
        </w:rPr>
        <w:fldChar w:fldCharType="end"/>
      </w:r>
    </w:p>
    <w:p>
      <w:pPr>
        <w:pStyle w:val="13"/>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sz w:val="28"/>
          <w:szCs w:val="28"/>
        </w:rPr>
      </w:pPr>
      <w:r>
        <w:rPr>
          <w:rFonts w:hint="default"/>
          <w:sz w:val="28"/>
          <w:szCs w:val="28"/>
        </w:rPr>
        <w:fldChar w:fldCharType="begin"/>
      </w:r>
      <w:r>
        <w:rPr>
          <w:rFonts w:hint="default"/>
          <w:sz w:val="28"/>
          <w:szCs w:val="28"/>
        </w:rPr>
        <w:instrText xml:space="preserve"> HYPERLINK \l _Toc6239 </w:instrText>
      </w:r>
      <w:r>
        <w:rPr>
          <w:rFonts w:hint="default"/>
          <w:sz w:val="28"/>
          <w:szCs w:val="28"/>
        </w:rPr>
        <w:fldChar w:fldCharType="separate"/>
      </w:r>
      <w:r>
        <w:rPr>
          <w:rFonts w:hint="eastAsia" w:ascii="Calibri" w:hAnsi="Calibri" w:eastAsia="黑体"/>
          <w:bCs/>
          <w:kern w:val="44"/>
          <w:sz w:val="28"/>
          <w:szCs w:val="28"/>
          <w:lang w:val="en-US" w:eastAsia="zh-CN" w:bidi="ar-SA"/>
        </w:rPr>
        <w:t>五、主要经验及做法</w:t>
      </w:r>
      <w:r>
        <w:rPr>
          <w:sz w:val="28"/>
          <w:szCs w:val="28"/>
        </w:rPr>
        <w:tab/>
      </w:r>
      <w:r>
        <w:rPr>
          <w:sz w:val="28"/>
          <w:szCs w:val="28"/>
        </w:rPr>
        <w:fldChar w:fldCharType="begin"/>
      </w:r>
      <w:r>
        <w:rPr>
          <w:sz w:val="28"/>
          <w:szCs w:val="28"/>
        </w:rPr>
        <w:instrText xml:space="preserve"> PAGEREF _Toc6239 \h </w:instrText>
      </w:r>
      <w:r>
        <w:rPr>
          <w:sz w:val="28"/>
          <w:szCs w:val="28"/>
        </w:rPr>
        <w:fldChar w:fldCharType="separate"/>
      </w:r>
      <w:r>
        <w:rPr>
          <w:sz w:val="28"/>
          <w:szCs w:val="28"/>
        </w:rPr>
        <w:t>14</w:t>
      </w:r>
      <w:r>
        <w:rPr>
          <w:sz w:val="28"/>
          <w:szCs w:val="28"/>
        </w:rPr>
        <w:fldChar w:fldCharType="end"/>
      </w:r>
      <w:r>
        <w:rPr>
          <w:rFonts w:hint="default"/>
          <w:sz w:val="28"/>
          <w:szCs w:val="28"/>
        </w:rPr>
        <w:fldChar w:fldCharType="end"/>
      </w:r>
    </w:p>
    <w:p>
      <w:pPr>
        <w:pStyle w:val="13"/>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sz w:val="28"/>
          <w:szCs w:val="28"/>
        </w:rPr>
      </w:pPr>
      <w:r>
        <w:rPr>
          <w:rFonts w:hint="default"/>
          <w:sz w:val="28"/>
          <w:szCs w:val="28"/>
        </w:rPr>
        <w:fldChar w:fldCharType="begin"/>
      </w:r>
      <w:r>
        <w:rPr>
          <w:rFonts w:hint="default"/>
          <w:sz w:val="28"/>
          <w:szCs w:val="28"/>
        </w:rPr>
        <w:instrText xml:space="preserve"> HYPERLINK \l _Toc22542 </w:instrText>
      </w:r>
      <w:r>
        <w:rPr>
          <w:rFonts w:hint="default"/>
          <w:sz w:val="28"/>
          <w:szCs w:val="28"/>
        </w:rPr>
        <w:fldChar w:fldCharType="separate"/>
      </w:r>
      <w:r>
        <w:rPr>
          <w:rFonts w:hint="eastAsia" w:ascii="Calibri" w:hAnsi="Calibri" w:eastAsia="黑体"/>
          <w:bCs/>
          <w:sz w:val="28"/>
          <w:szCs w:val="28"/>
          <w:highlight w:val="none"/>
          <w:lang w:val="en-US" w:eastAsia="zh-CN"/>
        </w:rPr>
        <w:t>六、存在的问题及原因分析</w:t>
      </w:r>
      <w:r>
        <w:rPr>
          <w:sz w:val="28"/>
          <w:szCs w:val="28"/>
        </w:rPr>
        <w:tab/>
      </w:r>
      <w:r>
        <w:rPr>
          <w:sz w:val="28"/>
          <w:szCs w:val="28"/>
        </w:rPr>
        <w:fldChar w:fldCharType="begin"/>
      </w:r>
      <w:r>
        <w:rPr>
          <w:sz w:val="28"/>
          <w:szCs w:val="28"/>
        </w:rPr>
        <w:instrText xml:space="preserve"> PAGEREF _Toc22542 \h </w:instrText>
      </w:r>
      <w:r>
        <w:rPr>
          <w:sz w:val="28"/>
          <w:szCs w:val="28"/>
        </w:rPr>
        <w:fldChar w:fldCharType="separate"/>
      </w:r>
      <w:r>
        <w:rPr>
          <w:sz w:val="28"/>
          <w:szCs w:val="28"/>
        </w:rPr>
        <w:t>15</w:t>
      </w:r>
      <w:r>
        <w:rPr>
          <w:sz w:val="28"/>
          <w:szCs w:val="28"/>
        </w:rPr>
        <w:fldChar w:fldCharType="end"/>
      </w:r>
      <w:r>
        <w:rPr>
          <w:rFonts w:hint="default"/>
          <w:sz w:val="28"/>
          <w:szCs w:val="28"/>
        </w:rPr>
        <w:fldChar w:fldCharType="end"/>
      </w:r>
    </w:p>
    <w:p>
      <w:pPr>
        <w:pStyle w:val="13"/>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sz w:val="28"/>
          <w:szCs w:val="28"/>
        </w:rPr>
      </w:pPr>
      <w:r>
        <w:rPr>
          <w:rFonts w:hint="default"/>
          <w:sz w:val="28"/>
          <w:szCs w:val="28"/>
        </w:rPr>
        <w:fldChar w:fldCharType="begin"/>
      </w:r>
      <w:r>
        <w:rPr>
          <w:rFonts w:hint="default"/>
          <w:sz w:val="28"/>
          <w:szCs w:val="28"/>
        </w:rPr>
        <w:instrText xml:space="preserve"> HYPERLINK \l _Toc16048 </w:instrText>
      </w:r>
      <w:r>
        <w:rPr>
          <w:rFonts w:hint="default"/>
          <w:sz w:val="28"/>
          <w:szCs w:val="28"/>
        </w:rPr>
        <w:fldChar w:fldCharType="separate"/>
      </w:r>
      <w:r>
        <w:rPr>
          <w:rFonts w:hint="eastAsia" w:ascii="Calibri" w:hAnsi="Calibri" w:eastAsia="黑体"/>
          <w:bCs/>
          <w:sz w:val="28"/>
          <w:szCs w:val="28"/>
          <w:highlight w:val="none"/>
          <w:lang w:val="en-US" w:eastAsia="zh-CN"/>
        </w:rPr>
        <w:t>七、有关建议</w:t>
      </w:r>
      <w:r>
        <w:rPr>
          <w:sz w:val="28"/>
          <w:szCs w:val="28"/>
        </w:rPr>
        <w:tab/>
      </w:r>
      <w:r>
        <w:rPr>
          <w:sz w:val="28"/>
          <w:szCs w:val="28"/>
        </w:rPr>
        <w:fldChar w:fldCharType="begin"/>
      </w:r>
      <w:r>
        <w:rPr>
          <w:sz w:val="28"/>
          <w:szCs w:val="28"/>
        </w:rPr>
        <w:instrText xml:space="preserve"> PAGEREF _Toc16048 \h </w:instrText>
      </w:r>
      <w:r>
        <w:rPr>
          <w:sz w:val="28"/>
          <w:szCs w:val="28"/>
        </w:rPr>
        <w:fldChar w:fldCharType="separate"/>
      </w:r>
      <w:r>
        <w:rPr>
          <w:sz w:val="28"/>
          <w:szCs w:val="28"/>
        </w:rPr>
        <w:t>15</w:t>
      </w:r>
      <w:r>
        <w:rPr>
          <w:sz w:val="28"/>
          <w:szCs w:val="28"/>
        </w:rPr>
        <w:fldChar w:fldCharType="end"/>
      </w:r>
      <w:r>
        <w:rPr>
          <w:rFonts w:hint="default"/>
          <w:sz w:val="28"/>
          <w:szCs w:val="28"/>
        </w:rPr>
        <w:fldChar w:fldCharType="end"/>
      </w:r>
    </w:p>
    <w:p>
      <w:pPr>
        <w:pStyle w:val="13"/>
        <w:keepNext w:val="0"/>
        <w:keepLines w:val="0"/>
        <w:pageBreakBefore w:val="0"/>
        <w:widowControl w:val="0"/>
        <w:tabs>
          <w:tab w:val="right" w:leader="dot" w:pos="8306"/>
        </w:tabs>
        <w:kinsoku/>
        <w:wordWrap/>
        <w:overflowPunct/>
        <w:topLinePunct w:val="0"/>
        <w:autoSpaceDE/>
        <w:autoSpaceDN/>
        <w:bidi w:val="0"/>
        <w:adjustRightInd/>
        <w:snapToGrid/>
        <w:spacing w:line="560" w:lineRule="exact"/>
        <w:textAlignment w:val="auto"/>
        <w:rPr>
          <w:sz w:val="28"/>
          <w:szCs w:val="28"/>
        </w:rPr>
      </w:pPr>
      <w:r>
        <w:rPr>
          <w:rFonts w:hint="default"/>
          <w:sz w:val="28"/>
          <w:szCs w:val="28"/>
        </w:rPr>
        <w:fldChar w:fldCharType="begin"/>
      </w:r>
      <w:r>
        <w:rPr>
          <w:rFonts w:hint="default"/>
          <w:sz w:val="28"/>
          <w:szCs w:val="28"/>
        </w:rPr>
        <w:instrText xml:space="preserve"> HYPERLINK \l _Toc557 </w:instrText>
      </w:r>
      <w:r>
        <w:rPr>
          <w:rFonts w:hint="default"/>
          <w:sz w:val="28"/>
          <w:szCs w:val="28"/>
        </w:rPr>
        <w:fldChar w:fldCharType="separate"/>
      </w:r>
      <w:r>
        <w:rPr>
          <w:rFonts w:ascii="黑体" w:hAnsi="黑体" w:eastAsia="黑体" w:cs="黑体"/>
          <w:spacing w:val="7"/>
          <w:sz w:val="28"/>
          <w:szCs w:val="28"/>
        </w:rPr>
        <w:t>附件：项目支出绩效评价评分表</w:t>
      </w:r>
      <w:r>
        <w:rPr>
          <w:sz w:val="28"/>
          <w:szCs w:val="28"/>
        </w:rPr>
        <w:tab/>
      </w:r>
      <w:r>
        <w:rPr>
          <w:sz w:val="28"/>
          <w:szCs w:val="28"/>
        </w:rPr>
        <w:fldChar w:fldCharType="begin"/>
      </w:r>
      <w:r>
        <w:rPr>
          <w:sz w:val="28"/>
          <w:szCs w:val="28"/>
        </w:rPr>
        <w:instrText xml:space="preserve"> PAGEREF _Toc557 \h </w:instrText>
      </w:r>
      <w:r>
        <w:rPr>
          <w:sz w:val="28"/>
          <w:szCs w:val="28"/>
        </w:rPr>
        <w:fldChar w:fldCharType="separate"/>
      </w:r>
      <w:r>
        <w:rPr>
          <w:sz w:val="28"/>
          <w:szCs w:val="28"/>
        </w:rPr>
        <w:t>16</w:t>
      </w:r>
      <w:r>
        <w:rPr>
          <w:sz w:val="28"/>
          <w:szCs w:val="28"/>
        </w:rPr>
        <w:fldChar w:fldCharType="end"/>
      </w:r>
      <w:r>
        <w:rPr>
          <w:rFonts w:hint="default"/>
          <w:sz w:val="28"/>
          <w:szCs w:val="28"/>
        </w:rPr>
        <w:fldChar w:fldCharType="end"/>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b/>
        </w:rPr>
      </w:pPr>
      <w:r>
        <w:rPr>
          <w:rFonts w:hint="default"/>
          <w:sz w:val="28"/>
          <w:szCs w:val="28"/>
        </w:rPr>
        <w:fldChar w:fldCharType="end"/>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color w:val="auto"/>
          <w:kern w:val="2"/>
          <w:sz w:val="32"/>
          <w:szCs w:val="32"/>
          <w:highlight w:val="none"/>
          <w:lang w:val="en-US" w:eastAsia="zh-CN" w:bidi="ar-SA"/>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为贯彻落实《中共中央国务院关于全面实施预算绩效管理的意见》（中发〔2018〕34号）要求，推动预算绩效管理工作，加强部门财政资金管理，强化支出责任，提高财政资金使用效益，根据《中华人民共和国预算法》《国务院关于深化预算管理制度改革的决定》（国发〔2014〕45号）及《光明区2026年预算绩效管理工作方案》的通知文件要求，参考《深圳市市级项目支出绩效评价工作规程》等文件规定，深圳市光明区新湖</w:t>
      </w:r>
      <w:r>
        <w:rPr>
          <w:rFonts w:hint="eastAsia" w:ascii="仿宋_GB2312" w:eastAsia="仿宋_GB2312" w:cs="Times New Roman"/>
          <w:color w:val="auto"/>
          <w:kern w:val="2"/>
          <w:sz w:val="32"/>
          <w:szCs w:val="32"/>
          <w:highlight w:val="none"/>
          <w:lang w:val="en-US" w:eastAsia="zh-CN" w:bidi="ar-SA"/>
        </w:rPr>
        <w:t>街道</w:t>
      </w:r>
      <w:r>
        <w:rPr>
          <w:rFonts w:hint="eastAsia" w:ascii="仿宋_GB2312" w:hAnsi="Times New Roman" w:eastAsia="仿宋_GB2312" w:cs="Times New Roman"/>
          <w:color w:val="auto"/>
          <w:kern w:val="2"/>
          <w:sz w:val="32"/>
          <w:szCs w:val="32"/>
          <w:highlight w:val="none"/>
          <w:lang w:val="en-US" w:eastAsia="zh-CN" w:bidi="ar-SA"/>
        </w:rPr>
        <w:t>办事处（以下简称“我街道”）结合实际，对202</w:t>
      </w:r>
      <w:r>
        <w:rPr>
          <w:rFonts w:hint="eastAsia" w:ascii="仿宋_GB2312" w:eastAsia="仿宋_GB2312" w:cs="Times New Roman"/>
          <w:color w:val="auto"/>
          <w:kern w:val="2"/>
          <w:sz w:val="32"/>
          <w:szCs w:val="32"/>
          <w:highlight w:val="none"/>
          <w:lang w:val="en-US" w:eastAsia="zh-CN" w:bidi="ar-SA"/>
        </w:rPr>
        <w:t>5</w:t>
      </w:r>
      <w:r>
        <w:rPr>
          <w:rFonts w:hint="eastAsia" w:ascii="仿宋_GB2312" w:hAnsi="Times New Roman" w:eastAsia="仿宋_GB2312" w:cs="Times New Roman"/>
          <w:color w:val="auto"/>
          <w:kern w:val="2"/>
          <w:sz w:val="32"/>
          <w:szCs w:val="32"/>
          <w:highlight w:val="none"/>
          <w:lang w:val="en-US" w:eastAsia="zh-CN" w:bidi="ar-SA"/>
        </w:rPr>
        <w:t>年度“查违综合防控购买服务项目经费”项目（以下简称“本项目”）开展绩效评价，形成本项目支出部门评价报告。</w:t>
      </w:r>
    </w:p>
    <w:p>
      <w:pPr>
        <w:pStyle w:val="2"/>
        <w:spacing w:beforeLines="0" w:line="560" w:lineRule="exact"/>
        <w:ind w:firstLine="640" w:firstLineChars="200"/>
        <w:jc w:val="both"/>
        <w:rPr>
          <w:rFonts w:hint="eastAsia" w:ascii="Calibri" w:hAnsi="Calibri" w:eastAsia="黑体"/>
          <w:sz w:val="32"/>
          <w:szCs w:val="24"/>
        </w:rPr>
      </w:pPr>
      <w:bookmarkStart w:id="11" w:name="_Toc9988"/>
      <w:bookmarkStart w:id="12" w:name="_Toc24955"/>
      <w:bookmarkStart w:id="13" w:name="_Toc16032"/>
      <w:bookmarkStart w:id="14" w:name="_Toc2063"/>
      <w:r>
        <w:rPr>
          <w:rFonts w:hint="eastAsia" w:ascii="Calibri" w:hAnsi="Calibri" w:eastAsia="黑体"/>
          <w:sz w:val="32"/>
          <w:szCs w:val="24"/>
        </w:rPr>
        <w:t>一、项目基本情况</w:t>
      </w:r>
      <w:bookmarkEnd w:id="3"/>
      <w:bookmarkEnd w:id="4"/>
      <w:bookmarkEnd w:id="5"/>
      <w:bookmarkEnd w:id="6"/>
      <w:bookmarkEnd w:id="7"/>
      <w:bookmarkEnd w:id="8"/>
      <w:bookmarkEnd w:id="9"/>
      <w:bookmarkEnd w:id="10"/>
      <w:bookmarkEnd w:id="11"/>
      <w:bookmarkEnd w:id="12"/>
      <w:bookmarkEnd w:id="13"/>
      <w:bookmarkEnd w:id="14"/>
    </w:p>
    <w:p>
      <w:pPr>
        <w:pStyle w:val="2"/>
        <w:widowControl/>
        <w:spacing w:before="0" w:beforeLines="0" w:beforeAutospacing="0" w:after="0" w:afterAutospacing="0" w:line="560" w:lineRule="exact"/>
        <w:ind w:firstLine="643"/>
        <w:jc w:val="both"/>
        <w:outlineLvl w:val="1"/>
        <w:rPr>
          <w:rFonts w:ascii="Times New Roman" w:hAnsi="Times New Roman" w:eastAsia="楷体_GB2312"/>
          <w:b w:val="0"/>
          <w:bCs/>
          <w:kern w:val="2"/>
          <w:sz w:val="32"/>
          <w:szCs w:val="24"/>
        </w:rPr>
      </w:pPr>
      <w:bookmarkStart w:id="15" w:name="_Toc17436"/>
      <w:bookmarkStart w:id="16" w:name="_Toc25077"/>
      <w:bookmarkStart w:id="17" w:name="_Toc8106"/>
      <w:bookmarkStart w:id="18" w:name="_Toc13674"/>
      <w:bookmarkStart w:id="19" w:name="_Toc9342"/>
      <w:bookmarkStart w:id="20" w:name="_Toc17079_WPSOffice_Level2"/>
      <w:bookmarkStart w:id="21" w:name="_Toc22752"/>
      <w:bookmarkStart w:id="22" w:name="_Toc22928"/>
      <w:bookmarkStart w:id="23" w:name="_Toc32255_WPSOffice_Level2"/>
      <w:bookmarkStart w:id="24" w:name="_Toc16722"/>
      <w:bookmarkStart w:id="25" w:name="_Toc16655_WPSOffice_Level2"/>
      <w:bookmarkStart w:id="26" w:name="_Toc25587"/>
      <w:bookmarkStart w:id="27" w:name="_Toc83567494"/>
      <w:r>
        <w:rPr>
          <w:rFonts w:ascii="Times New Roman" w:hAnsi="Times New Roman" w:eastAsia="楷体_GB2312"/>
          <w:b w:val="0"/>
          <w:bCs/>
          <w:kern w:val="2"/>
          <w:sz w:val="32"/>
          <w:szCs w:val="24"/>
        </w:rPr>
        <w:t>（一）项目概况</w:t>
      </w:r>
      <w:bookmarkEnd w:id="15"/>
      <w:bookmarkEnd w:id="16"/>
      <w:bookmarkEnd w:id="17"/>
      <w:bookmarkEnd w:id="18"/>
      <w:bookmarkEnd w:id="19"/>
      <w:bookmarkEnd w:id="20"/>
      <w:bookmarkEnd w:id="21"/>
      <w:bookmarkEnd w:id="22"/>
      <w:bookmarkEnd w:id="23"/>
      <w:bookmarkEnd w:id="24"/>
      <w:bookmarkEnd w:id="25"/>
      <w:bookmarkEnd w:id="26"/>
      <w:bookmarkEnd w:id="27"/>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default" w:ascii="仿宋_GB2312" w:eastAsia="仿宋_GB2312" w:cs="Times New Roman"/>
          <w:color w:val="auto"/>
          <w:kern w:val="2"/>
          <w:sz w:val="32"/>
          <w:szCs w:val="32"/>
          <w:highlight w:val="none"/>
          <w:lang w:val="en-US" w:eastAsia="zh-CN" w:bidi="ar-SA"/>
        </w:rPr>
      </w:pPr>
      <w:bookmarkStart w:id="28" w:name="_Toc27206"/>
      <w:bookmarkStart w:id="29" w:name="_Toc6184"/>
      <w:bookmarkStart w:id="30" w:name="_Toc13720"/>
      <w:r>
        <w:rPr>
          <w:rFonts w:hint="eastAsia" w:ascii="仿宋_GB2312" w:eastAsia="仿宋_GB2312" w:cs="Times New Roman"/>
          <w:color w:val="auto"/>
          <w:kern w:val="2"/>
          <w:sz w:val="32"/>
          <w:szCs w:val="32"/>
          <w:highlight w:val="none"/>
          <w:lang w:val="en-US" w:eastAsia="zh-CN" w:bidi="ar-SA"/>
        </w:rPr>
        <w:t>1.项目背景</w:t>
      </w:r>
      <w:bookmarkEnd w:id="28"/>
      <w:bookmarkEnd w:id="29"/>
      <w:bookmarkEnd w:id="30"/>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color w:val="auto"/>
          <w:kern w:val="2"/>
          <w:sz w:val="32"/>
          <w:szCs w:val="32"/>
          <w:highlight w:val="none"/>
          <w:lang w:val="en-US" w:eastAsia="zh-CN" w:bidi="ar-SA"/>
        </w:rPr>
        <w:t>为贯彻落实区、街道关于查违工作的决策部署，紧紧围绕违法建设“零增长”目标，持续加大辖区巡查防控力度，切实保障发展空间，依据相关文件要求，我街道认真履行社会治安综合治理及安全生产监管职责，设立查违综合防控</w:t>
      </w:r>
      <w:r>
        <w:rPr>
          <w:rFonts w:hint="eastAsia" w:ascii="仿宋_GB2312" w:eastAsia="仿宋_GB2312" w:cs="Times New Roman"/>
          <w:color w:val="auto"/>
          <w:kern w:val="2"/>
          <w:sz w:val="32"/>
          <w:szCs w:val="32"/>
          <w:highlight w:val="none"/>
          <w:lang w:val="en-US" w:eastAsia="zh-CN" w:bidi="ar-SA"/>
        </w:rPr>
        <w:t>相关</w:t>
      </w:r>
      <w:r>
        <w:rPr>
          <w:rFonts w:hint="eastAsia" w:ascii="仿宋_GB2312" w:hAnsi="Times New Roman" w:eastAsia="仿宋_GB2312" w:cs="Times New Roman"/>
          <w:color w:val="auto"/>
          <w:kern w:val="2"/>
          <w:sz w:val="32"/>
          <w:szCs w:val="32"/>
          <w:highlight w:val="none"/>
          <w:lang w:val="en-US" w:eastAsia="zh-CN" w:bidi="ar-SA"/>
        </w:rPr>
        <w:t>经费，</w:t>
      </w:r>
      <w:r>
        <w:rPr>
          <w:rFonts w:hint="eastAsia" w:ascii="仿宋_GB2312" w:eastAsia="仿宋_GB2312" w:cs="Times New Roman"/>
          <w:color w:val="auto"/>
          <w:kern w:val="2"/>
          <w:sz w:val="32"/>
          <w:szCs w:val="32"/>
          <w:highlight w:val="none"/>
          <w:lang w:val="en-US" w:eastAsia="zh-CN" w:bidi="ar-SA"/>
        </w:rPr>
        <w:t>以便于</w:t>
      </w:r>
      <w:r>
        <w:rPr>
          <w:rFonts w:hint="eastAsia" w:ascii="仿宋_GB2312" w:hAnsi="Times New Roman" w:eastAsia="仿宋_GB2312" w:cs="Times New Roman"/>
          <w:color w:val="auto"/>
          <w:kern w:val="2"/>
          <w:sz w:val="32"/>
          <w:szCs w:val="32"/>
          <w:highlight w:val="none"/>
          <w:lang w:val="en-US" w:eastAsia="zh-CN" w:bidi="ar-SA"/>
        </w:rPr>
        <w:t>组织开展查违综合防控工作。</w:t>
      </w:r>
      <w:r>
        <w:rPr>
          <w:rFonts w:hint="eastAsia" w:ascii="仿宋_GB2312" w:eastAsia="仿宋_GB2312" w:cs="Times New Roman"/>
          <w:color w:val="auto"/>
          <w:kern w:val="2"/>
          <w:sz w:val="32"/>
          <w:szCs w:val="32"/>
          <w:highlight w:val="none"/>
          <w:lang w:val="en-US" w:eastAsia="zh-CN" w:bidi="ar-SA"/>
        </w:rPr>
        <w:t>该</w:t>
      </w:r>
      <w:r>
        <w:rPr>
          <w:rFonts w:hint="eastAsia" w:ascii="仿宋_GB2312" w:hAnsi="Times New Roman" w:eastAsia="仿宋_GB2312" w:cs="Times New Roman"/>
          <w:color w:val="auto"/>
          <w:kern w:val="2"/>
          <w:sz w:val="32"/>
          <w:szCs w:val="32"/>
          <w:highlight w:val="none"/>
          <w:lang w:val="en-US" w:eastAsia="zh-CN" w:bidi="ar-SA"/>
        </w:rPr>
        <w:t>项目</w:t>
      </w:r>
      <w:r>
        <w:rPr>
          <w:rFonts w:hint="eastAsia" w:ascii="仿宋_GB2312" w:eastAsia="仿宋_GB2312" w:cs="Times New Roman"/>
          <w:color w:val="auto"/>
          <w:kern w:val="2"/>
          <w:sz w:val="32"/>
          <w:szCs w:val="32"/>
          <w:highlight w:val="none"/>
          <w:lang w:val="en-US" w:eastAsia="zh-CN" w:bidi="ar-SA"/>
        </w:rPr>
        <w:t>经费</w:t>
      </w:r>
      <w:r>
        <w:rPr>
          <w:rFonts w:hint="eastAsia" w:ascii="仿宋_GB2312" w:hAnsi="Times New Roman" w:eastAsia="仿宋_GB2312" w:cs="Times New Roman"/>
          <w:color w:val="auto"/>
          <w:kern w:val="2"/>
          <w:sz w:val="32"/>
          <w:szCs w:val="32"/>
          <w:highlight w:val="none"/>
          <w:lang w:val="en-US" w:eastAsia="zh-CN" w:bidi="ar-SA"/>
        </w:rPr>
        <w:t>由原光明新区管委会批准，自2018年开始执行，根据《光明区查违办关于印发</w:t>
      </w:r>
      <w:r>
        <w:rPr>
          <w:rFonts w:hint="eastAsia" w:ascii="仿宋_GB2312" w:eastAsia="仿宋_GB2312" w:cs="Times New Roman"/>
          <w:color w:val="auto"/>
          <w:kern w:val="2"/>
          <w:sz w:val="32"/>
          <w:szCs w:val="32"/>
          <w:highlight w:val="none"/>
          <w:lang w:val="en-US" w:eastAsia="zh-CN" w:bidi="ar-SA"/>
        </w:rPr>
        <w:t>（</w:t>
      </w:r>
      <w:r>
        <w:rPr>
          <w:rFonts w:hint="eastAsia" w:ascii="仿宋_GB2312" w:hAnsi="Times New Roman" w:eastAsia="仿宋_GB2312" w:cs="Times New Roman"/>
          <w:color w:val="auto"/>
          <w:kern w:val="2"/>
          <w:sz w:val="32"/>
          <w:szCs w:val="32"/>
          <w:highlight w:val="none"/>
          <w:lang w:val="en-US" w:eastAsia="zh-CN" w:bidi="ar-SA"/>
        </w:rPr>
        <w:t>光明区查违综合防控购买服务项目指导意见</w:t>
      </w:r>
      <w:r>
        <w:rPr>
          <w:rFonts w:hint="eastAsia" w:ascii="仿宋_GB2312" w:eastAsia="仿宋_GB2312" w:cs="Times New Roman"/>
          <w:color w:val="auto"/>
          <w:kern w:val="2"/>
          <w:sz w:val="32"/>
          <w:szCs w:val="32"/>
          <w:highlight w:val="none"/>
          <w:lang w:val="en-US" w:eastAsia="zh-CN" w:bidi="ar-SA"/>
        </w:rPr>
        <w:t>）</w:t>
      </w:r>
      <w:r>
        <w:rPr>
          <w:rFonts w:hint="eastAsia" w:ascii="仿宋_GB2312" w:hAnsi="Times New Roman" w:eastAsia="仿宋_GB2312" w:cs="Times New Roman"/>
          <w:color w:val="auto"/>
          <w:kern w:val="2"/>
          <w:sz w:val="32"/>
          <w:szCs w:val="32"/>
          <w:highlight w:val="none"/>
          <w:lang w:val="en-US" w:eastAsia="zh-CN" w:bidi="ar-SA"/>
        </w:rPr>
        <w:t>的通知》</w:t>
      </w:r>
      <w:r>
        <w:rPr>
          <w:rFonts w:hint="eastAsia" w:ascii="仿宋_GB2312" w:eastAsia="仿宋_GB2312" w:cs="Times New Roman"/>
          <w:color w:val="auto"/>
          <w:kern w:val="2"/>
          <w:sz w:val="32"/>
          <w:szCs w:val="32"/>
          <w:highlight w:val="none"/>
          <w:lang w:val="en-US" w:eastAsia="zh-CN" w:bidi="ar-SA"/>
        </w:rPr>
        <w:t>（</w:t>
      </w:r>
      <w:r>
        <w:rPr>
          <w:rFonts w:hint="eastAsia" w:ascii="仿宋_GB2312" w:hAnsi="Times New Roman" w:eastAsia="仿宋_GB2312" w:cs="Times New Roman"/>
          <w:color w:val="auto"/>
          <w:kern w:val="2"/>
          <w:sz w:val="32"/>
          <w:szCs w:val="32"/>
          <w:highlight w:val="none"/>
          <w:lang w:val="en-US" w:eastAsia="zh-CN" w:bidi="ar-SA"/>
        </w:rPr>
        <w:t>深光查违</w:t>
      </w:r>
      <w:r>
        <w:rPr>
          <w:rFonts w:hint="eastAsia" w:ascii="仿宋_GB2312" w:eastAsia="仿宋_GB2312" w:cs="Times New Roman"/>
          <w:color w:val="auto"/>
          <w:kern w:val="2"/>
          <w:sz w:val="32"/>
          <w:szCs w:val="32"/>
          <w:highlight w:val="none"/>
          <w:lang w:val="en-US" w:eastAsia="zh-CN" w:bidi="ar-SA"/>
        </w:rPr>
        <w:t>〔2021〕295号）</w:t>
      </w:r>
      <w:r>
        <w:rPr>
          <w:rFonts w:hint="eastAsia" w:ascii="仿宋_GB2312" w:hAnsi="Times New Roman" w:eastAsia="仿宋_GB2312" w:cs="Times New Roman"/>
          <w:color w:val="auto"/>
          <w:kern w:val="2"/>
          <w:sz w:val="32"/>
          <w:szCs w:val="32"/>
          <w:highlight w:val="none"/>
          <w:lang w:val="en-US" w:eastAsia="zh-CN" w:bidi="ar-SA"/>
        </w:rPr>
        <w:t>，除光明街道使用专辅员额开展查违综合防控工作外，其他街道均采取购买服务方式。据此，我街道自2021年起，通过政府采购服务形式，招标具有相应资质的保安服务公司，为我街道提供查违综合防控服务。通过全天候全覆盖巡查防控，对辖区内违法建筑、违法用地等行为实施动态监管，坚决守住违建“零增量、减存量”底线。</w:t>
      </w: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default" w:ascii="仿宋_GB2312" w:hAnsi="Times New Roman" w:eastAsia="仿宋_GB2312" w:cs="Times New Roman"/>
          <w:color w:val="auto"/>
          <w:kern w:val="2"/>
          <w:sz w:val="32"/>
          <w:szCs w:val="32"/>
          <w:highlight w:val="none"/>
          <w:lang w:val="en-US" w:eastAsia="zh-CN" w:bidi="ar-SA"/>
        </w:rPr>
      </w:pPr>
      <w:bookmarkStart w:id="31" w:name="_Toc9560"/>
      <w:bookmarkStart w:id="32" w:name="_Toc1376"/>
      <w:bookmarkStart w:id="33" w:name="_Toc16862"/>
      <w:r>
        <w:rPr>
          <w:rFonts w:hint="eastAsia" w:ascii="仿宋_GB2312" w:hAnsi="Times New Roman" w:eastAsia="仿宋_GB2312" w:cs="Times New Roman"/>
          <w:color w:val="auto"/>
          <w:kern w:val="2"/>
          <w:sz w:val="32"/>
          <w:szCs w:val="32"/>
          <w:highlight w:val="none"/>
          <w:lang w:val="en-US" w:eastAsia="zh-CN" w:bidi="ar-SA"/>
        </w:rPr>
        <w:t>2.项目主要内容及实</w:t>
      </w:r>
      <w:r>
        <w:rPr>
          <w:rFonts w:hint="eastAsia" w:ascii="仿宋_GB2312" w:eastAsia="仿宋_GB2312" w:cs="Times New Roman"/>
          <w:color w:val="auto"/>
          <w:kern w:val="2"/>
          <w:sz w:val="32"/>
          <w:szCs w:val="32"/>
          <w:highlight w:val="none"/>
          <w:lang w:val="en-US" w:eastAsia="zh-CN" w:bidi="ar-SA"/>
        </w:rPr>
        <w:t>施情况</w:t>
      </w:r>
      <w:bookmarkEnd w:id="31"/>
      <w:bookmarkEnd w:id="32"/>
      <w:bookmarkEnd w:id="3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eastAsia="仿宋_GB2312" w:cs="Times New Roman"/>
          <w:color w:val="auto"/>
          <w:kern w:val="2"/>
          <w:sz w:val="32"/>
          <w:szCs w:val="32"/>
          <w:highlight w:val="none"/>
          <w:lang w:val="en-US" w:eastAsia="zh-CN" w:bidi="ar-SA"/>
        </w:rPr>
        <w:t>本项目通过政府采购服务形式，由中标服务方协助我街道开展违法用地和违法建筑等的日常巡查工作，做到24小时备勤，合理安排值班；及时发现违法行为，配合制止并上报采购单位，执勤时服从街道安排等</w:t>
      </w:r>
      <w:r>
        <w:rPr>
          <w:rFonts w:hint="eastAsia" w:ascii="仿宋_GB2312" w:hAnsi="Times New Roman" w:eastAsia="仿宋_GB2312" w:cs="Times New Roman"/>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eastAsia="仿宋_GB2312" w:cs="Times New Roman"/>
          <w:color w:val="auto"/>
          <w:kern w:val="2"/>
          <w:sz w:val="32"/>
          <w:szCs w:val="32"/>
          <w:highlight w:val="none"/>
          <w:lang w:val="en-US" w:eastAsia="zh-CN" w:bidi="ar-SA"/>
        </w:rPr>
      </w:pPr>
      <w:r>
        <w:rPr>
          <w:rFonts w:hint="eastAsia" w:ascii="仿宋_GB2312" w:eastAsia="仿宋_GB2312" w:cs="Times New Roman"/>
          <w:color w:val="auto"/>
          <w:kern w:val="2"/>
          <w:sz w:val="32"/>
          <w:szCs w:val="32"/>
          <w:highlight w:val="none"/>
          <w:lang w:val="en-US" w:eastAsia="zh-CN" w:bidi="ar-SA"/>
        </w:rPr>
        <w:t>2024年9月，我街道按政府采购程序启动2025年本项目招投标工作，同年10月15日，我街道去函区财政局申请审核本项目政府采购资金计划，因区财政局与区城管局需研究全区查违综合防控服务经费、巡查范围等事宜，未对该项目资金计划审核确认，导致招标工作暂停。经街道内部审议及区财政局审定，决定由原服务方“广东蓝水特卫保安服务有限公司”继续提供服务，并对原定于2024年11月7日到期的合同先后两次延期，两次延期服务期限分别为2024年11月8日—2025年2月7日、2025年2月8日—2025年5月7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eastAsia="仿宋_GB2312" w:cs="Times New Roman"/>
          <w:color w:val="auto"/>
          <w:kern w:val="2"/>
          <w:sz w:val="32"/>
          <w:szCs w:val="32"/>
          <w:highlight w:val="none"/>
          <w:lang w:val="en-US" w:eastAsia="zh-CN" w:bidi="ar-SA"/>
        </w:rPr>
      </w:pPr>
      <w:r>
        <w:rPr>
          <w:rFonts w:hint="eastAsia" w:ascii="仿宋_GB2312" w:eastAsia="仿宋_GB2312" w:cs="Times New Roman"/>
          <w:color w:val="auto"/>
          <w:kern w:val="2"/>
          <w:sz w:val="32"/>
          <w:szCs w:val="32"/>
          <w:highlight w:val="none"/>
          <w:lang w:val="en-US" w:eastAsia="zh-CN" w:bidi="ar-SA"/>
        </w:rPr>
        <w:t>2025年3月，依据《深圳市光明区城市管理和综合执法局关于印发〈光明区查违综合防控购买服务项目指导意见〉的通知》明确的指导价格，我街道重新启动政府采购工作，于2025年5月7日与“广东深南后勤城市保安服务有限公司”签订新湖街道办事处查违综合防控服务安保服务合同，服务期限为2025年5月8日—2026年5月7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Times New Roman" w:eastAsia="仿宋_GB2312" w:cs="Times New Roman"/>
          <w:color w:val="auto"/>
          <w:kern w:val="2"/>
          <w:sz w:val="32"/>
          <w:szCs w:val="32"/>
          <w:highlight w:val="none"/>
          <w:lang w:val="en-US" w:eastAsia="zh-CN" w:bidi="ar-SA"/>
        </w:rPr>
      </w:pPr>
      <w:r>
        <w:rPr>
          <w:rFonts w:hint="eastAsia" w:ascii="仿宋_GB2312" w:eastAsia="仿宋_GB2312" w:cs="Times New Roman"/>
          <w:color w:val="auto"/>
          <w:kern w:val="2"/>
          <w:sz w:val="32"/>
          <w:szCs w:val="32"/>
          <w:highlight w:val="none"/>
          <w:lang w:val="en-US" w:eastAsia="zh-CN" w:bidi="ar-SA"/>
        </w:rPr>
        <w:t>总体来看，在服务单位的协助下，2025年查违综合防控工作得到有效落实，通过织密“零增量”防控网、抓实违法图斑整改、强化执法巡查等措施，严控违法建设行为，超额完成2025年光明区违法建设治理“减存量”任务，切实保障了辖区发展空间</w:t>
      </w:r>
      <w:r>
        <w:rPr>
          <w:rFonts w:hint="eastAsia" w:ascii="仿宋_GB2312" w:hAnsi="Times New Roman" w:eastAsia="仿宋_GB2312" w:cs="Times New Roman"/>
          <w:color w:val="auto"/>
          <w:kern w:val="2"/>
          <w:sz w:val="32"/>
          <w:szCs w:val="32"/>
          <w:highlight w:val="none"/>
          <w:lang w:val="en-US" w:eastAsia="zh-CN" w:bidi="ar-SA"/>
        </w:rPr>
        <w:t>。</w:t>
      </w:r>
    </w:p>
    <w:p>
      <w:pPr>
        <w:pStyle w:val="3"/>
        <w:widowControl/>
        <w:spacing w:before="0" w:beforeLines="0" w:beforeAutospacing="0" w:after="0" w:afterAutospacing="0" w:line="560" w:lineRule="exact"/>
        <w:ind w:firstLine="643"/>
        <w:jc w:val="both"/>
        <w:rPr>
          <w:rFonts w:ascii="仿宋_GB2312" w:cs="宋体"/>
          <w:b w:val="0"/>
          <w:bCs/>
          <w:color w:val="000000"/>
          <w:kern w:val="2"/>
          <w:sz w:val="32"/>
          <w:szCs w:val="32"/>
        </w:rPr>
      </w:pPr>
      <w:bookmarkStart w:id="34" w:name="_Toc10849"/>
      <w:bookmarkStart w:id="35" w:name="_Toc25400_WPSOffice_Level2"/>
      <w:bookmarkStart w:id="36" w:name="_Toc6021"/>
      <w:bookmarkStart w:id="37" w:name="_Toc22"/>
      <w:bookmarkStart w:id="38" w:name="_Toc27435"/>
      <w:bookmarkStart w:id="39" w:name="_Toc10146"/>
      <w:bookmarkStart w:id="40" w:name="_Toc21907"/>
      <w:bookmarkStart w:id="41" w:name="_Toc22424_WPSOffice_Level2"/>
      <w:bookmarkStart w:id="42" w:name="_Toc83567498"/>
      <w:bookmarkStart w:id="43" w:name="_Toc3040"/>
      <w:bookmarkStart w:id="44" w:name="_Toc24167"/>
      <w:bookmarkStart w:id="45" w:name="_Toc27689_WPSOffice_Level2"/>
      <w:r>
        <w:rPr>
          <w:rFonts w:hint="eastAsia" w:ascii="仿宋_GB2312" w:hAnsi="Times New Roman" w:eastAsia="仿宋_GB2312" w:cs="Times New Roman"/>
          <w:b w:val="0"/>
          <w:color w:val="auto"/>
          <w:kern w:val="2"/>
          <w:sz w:val="32"/>
          <w:szCs w:val="32"/>
          <w:highlight w:val="none"/>
          <w:lang w:val="en-US" w:eastAsia="zh-CN" w:bidi="ar-SA"/>
        </w:rPr>
        <w:t>3.项目资金投入和使用情况</w:t>
      </w:r>
      <w:bookmarkEnd w:id="34"/>
      <w:bookmarkEnd w:id="35"/>
      <w:bookmarkEnd w:id="36"/>
      <w:bookmarkEnd w:id="37"/>
      <w:bookmarkEnd w:id="38"/>
      <w:bookmarkEnd w:id="39"/>
      <w:bookmarkEnd w:id="40"/>
      <w:bookmarkEnd w:id="41"/>
      <w:bookmarkEnd w:id="42"/>
      <w:bookmarkEnd w:id="43"/>
      <w:bookmarkEnd w:id="44"/>
      <w:bookmarkEnd w:id="4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Times New Roman" w:eastAsia="仿宋_GB2312" w:cs="Times New Roman"/>
          <w:color w:val="auto"/>
          <w:sz w:val="32"/>
          <w:szCs w:val="32"/>
          <w:highlight w:val="none"/>
          <w:lang w:val="en-US" w:eastAsia="zh-CN"/>
        </w:rPr>
      </w:pPr>
      <w:bookmarkStart w:id="46" w:name="_Toc83567499"/>
      <w:bookmarkStart w:id="47" w:name="_Toc24907"/>
      <w:bookmarkStart w:id="48" w:name="_Toc13759"/>
      <w:bookmarkStart w:id="49" w:name="_Toc7851_WPSOffice_Level3"/>
      <w:bookmarkStart w:id="50" w:name="_Toc21793_WPSOffice_Level3"/>
      <w:bookmarkStart w:id="51" w:name="_Toc13245"/>
      <w:bookmarkStart w:id="52" w:name="_Toc23607"/>
      <w:bookmarkStart w:id="53" w:name="_Toc12323"/>
      <w:r>
        <w:rPr>
          <w:rFonts w:hint="eastAsia" w:ascii="仿宋_GB2312" w:hAnsi="Times New Roman" w:eastAsia="仿宋_GB2312" w:cs="Times New Roman"/>
          <w:color w:val="auto"/>
          <w:sz w:val="32"/>
          <w:szCs w:val="32"/>
          <w:highlight w:val="none"/>
          <w:lang w:val="en-US" w:eastAsia="zh-CN"/>
        </w:rPr>
        <w:t>（1）项目资金预算和分配情况</w:t>
      </w:r>
      <w:bookmarkEnd w:id="46"/>
      <w:bookmarkEnd w:id="47"/>
      <w:bookmarkEnd w:id="48"/>
      <w:bookmarkEnd w:id="49"/>
      <w:bookmarkEnd w:id="50"/>
      <w:bookmarkEnd w:id="51"/>
      <w:bookmarkEnd w:id="52"/>
      <w:bookmarkEnd w:id="53"/>
    </w:p>
    <w:p>
      <w:pPr>
        <w:keepNext w:val="0"/>
        <w:keepLines w:val="0"/>
        <w:pageBreakBefore w:val="0"/>
        <w:widowControl w:val="0"/>
        <w:kinsoku/>
        <w:wordWrap/>
        <w:overflowPunct/>
        <w:topLinePunct w:val="0"/>
        <w:autoSpaceDE/>
        <w:autoSpaceDN/>
        <w:bidi w:val="0"/>
        <w:adjustRightInd/>
        <w:snapToGrid w:val="0"/>
        <w:spacing w:beforeLines="0" w:line="560" w:lineRule="exact"/>
        <w:ind w:firstLine="640" w:firstLineChars="200"/>
        <w:textAlignment w:val="auto"/>
        <w:outlineLvl w:val="9"/>
        <w:rPr>
          <w:rFonts w:hint="eastAsia" w:ascii="仿宋_GB2312" w:eastAsia="仿宋_GB2312" w:cs="Times New Roman"/>
          <w:sz w:val="32"/>
          <w:szCs w:val="32"/>
          <w:lang w:eastAsia="zh-CN"/>
        </w:rPr>
      </w:pPr>
      <w:r>
        <w:rPr>
          <w:rFonts w:hint="eastAsia" w:ascii="仿宋_GB2312" w:hAnsi="宋体" w:eastAsia="仿宋_GB2312" w:cs="Times New Roman"/>
          <w:snapToGrid/>
          <w:color w:val="auto"/>
          <w:kern w:val="2"/>
          <w:sz w:val="32"/>
          <w:szCs w:val="32"/>
          <w:lang w:val="en-US" w:eastAsia="zh-CN" w:bidi="ar"/>
        </w:rPr>
        <w:t>202</w:t>
      </w:r>
      <w:r>
        <w:rPr>
          <w:rFonts w:hint="eastAsia" w:ascii="仿宋_GB2312" w:eastAsia="仿宋_GB2312" w:cs="Times New Roman"/>
          <w:snapToGrid/>
          <w:color w:val="auto"/>
          <w:kern w:val="2"/>
          <w:sz w:val="32"/>
          <w:szCs w:val="32"/>
          <w:lang w:val="en-US" w:eastAsia="zh-CN" w:bidi="ar"/>
        </w:rPr>
        <w:t>5</w:t>
      </w:r>
      <w:r>
        <w:rPr>
          <w:rFonts w:hint="eastAsia" w:ascii="仿宋_GB2312" w:hAnsi="宋体" w:eastAsia="仿宋_GB2312" w:cs="Times New Roman"/>
          <w:snapToGrid/>
          <w:color w:val="auto"/>
          <w:kern w:val="2"/>
          <w:sz w:val="32"/>
          <w:szCs w:val="32"/>
          <w:lang w:val="en-US" w:eastAsia="zh-CN" w:bidi="ar"/>
        </w:rPr>
        <w:t>年度</w:t>
      </w:r>
      <w:r>
        <w:rPr>
          <w:rFonts w:hint="eastAsia" w:ascii="仿宋_GB2312" w:eastAsia="仿宋_GB2312" w:cs="Times New Roman"/>
          <w:snapToGrid/>
          <w:color w:val="auto"/>
          <w:kern w:val="2"/>
          <w:sz w:val="32"/>
          <w:szCs w:val="32"/>
          <w:lang w:val="en-US" w:eastAsia="zh-CN" w:bidi="ar"/>
        </w:rPr>
        <w:t>本项目年初预算安排244万元，</w:t>
      </w:r>
      <w:r>
        <w:rPr>
          <w:rFonts w:hint="eastAsia" w:ascii="仿宋_GB2312" w:eastAsia="仿宋_GB2312" w:cs="Times New Roman"/>
          <w:sz w:val="32"/>
          <w:szCs w:val="32"/>
        </w:rPr>
        <w:t>均为区级一般公共预算财政拨款，</w:t>
      </w:r>
      <w:r>
        <w:rPr>
          <w:rFonts w:hint="eastAsia" w:ascii="仿宋_GB2312" w:eastAsia="仿宋_GB2312" w:cs="Times New Roman"/>
          <w:sz w:val="32"/>
          <w:szCs w:val="32"/>
          <w:lang w:val="en-US" w:eastAsia="zh-CN"/>
        </w:rPr>
        <w:t>用于支付查违综合防控购买服务费。</w:t>
      </w:r>
    </w:p>
    <w:p>
      <w:pPr>
        <w:pageBreakBefore w:val="0"/>
        <w:widowControl w:val="0"/>
        <w:kinsoku/>
        <w:wordWrap/>
        <w:overflowPunct/>
        <w:topLinePunct w:val="0"/>
        <w:autoSpaceDE/>
        <w:autoSpaceDN/>
        <w:bidi w:val="0"/>
        <w:adjustRightInd/>
        <w:spacing w:beforeLines="0" w:line="560" w:lineRule="exact"/>
        <w:ind w:firstLine="640" w:firstLineChars="200"/>
        <w:jc w:val="left"/>
        <w:textAlignment w:val="auto"/>
        <w:outlineLvl w:val="9"/>
        <w:rPr>
          <w:rFonts w:hint="eastAsia" w:ascii="仿宋_GB2312" w:hAnsi="仿宋_GB2312" w:eastAsia="仿宋_GB2312" w:cs="仿宋_GB2312"/>
          <w:b w:val="0"/>
          <w:bCs w:val="0"/>
          <w:kern w:val="0"/>
          <w:sz w:val="32"/>
          <w:szCs w:val="32"/>
        </w:rPr>
      </w:pPr>
      <w:bookmarkStart w:id="54" w:name="_Toc31378"/>
      <w:bookmarkStart w:id="55" w:name="_Toc28099"/>
      <w:bookmarkStart w:id="56" w:name="_Toc25873"/>
      <w:bookmarkStart w:id="57" w:name="_Toc83567500"/>
      <w:bookmarkStart w:id="58" w:name="_Toc28630_WPSOffice_Level3"/>
      <w:bookmarkStart w:id="59" w:name="_Toc29837_WPSOffice_Level3"/>
      <w:bookmarkStart w:id="60" w:name="_Toc32565"/>
      <w:bookmarkStart w:id="61" w:name="_Toc400"/>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lang w:val="en-US" w:eastAsia="zh-CN"/>
        </w:rPr>
        <w:t>2</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项目资金管理和使用情况</w:t>
      </w:r>
      <w:bookmarkEnd w:id="54"/>
      <w:bookmarkEnd w:id="55"/>
      <w:bookmarkEnd w:id="56"/>
      <w:bookmarkEnd w:id="57"/>
      <w:bookmarkEnd w:id="58"/>
      <w:bookmarkEnd w:id="59"/>
      <w:bookmarkEnd w:id="60"/>
      <w:bookmarkEnd w:id="61"/>
    </w:p>
    <w:p>
      <w:pPr>
        <w:keepNext w:val="0"/>
        <w:keepLines w:val="0"/>
        <w:pageBreakBefore w:val="0"/>
        <w:widowControl w:val="0"/>
        <w:kinsoku/>
        <w:wordWrap/>
        <w:overflowPunct/>
        <w:topLinePunct w:val="0"/>
        <w:autoSpaceDE/>
        <w:autoSpaceDN/>
        <w:bidi w:val="0"/>
        <w:adjustRightInd/>
        <w:snapToGrid w:val="0"/>
        <w:spacing w:beforeLines="0" w:line="560" w:lineRule="exact"/>
        <w:ind w:firstLine="640" w:firstLineChars="200"/>
        <w:textAlignment w:val="auto"/>
        <w:rPr>
          <w:rFonts w:ascii="Times New Roman" w:hAnsi="Times New Roman" w:eastAsia="楷体_GB2312"/>
          <w:b w:val="0"/>
          <w:bCs/>
          <w:kern w:val="2"/>
          <w:sz w:val="32"/>
          <w:szCs w:val="24"/>
        </w:rPr>
      </w:pPr>
      <w:r>
        <w:rPr>
          <w:rFonts w:hint="eastAsia" w:ascii="仿宋_GB2312" w:eastAsia="仿宋_GB2312" w:cs="Times New Roman"/>
          <w:sz w:val="32"/>
          <w:szCs w:val="32"/>
          <w:lang w:eastAsia="zh-CN"/>
        </w:rPr>
        <w:t>我街道</w:t>
      </w:r>
      <w:r>
        <w:rPr>
          <w:rFonts w:hint="eastAsia" w:ascii="仿宋_GB2312" w:hAnsi="Times New Roman" w:eastAsia="仿宋_GB2312" w:cs="Times New Roman"/>
          <w:sz w:val="32"/>
          <w:szCs w:val="32"/>
          <w:lang w:val="en-US" w:eastAsia="zh-CN"/>
        </w:rPr>
        <w:t>2025年</w:t>
      </w:r>
      <w:r>
        <w:rPr>
          <w:rFonts w:hint="eastAsia" w:ascii="仿宋_GB2312" w:eastAsia="仿宋_GB2312" w:cs="Times New Roman"/>
          <w:sz w:val="32"/>
          <w:szCs w:val="32"/>
          <w:lang w:val="en-US" w:eastAsia="zh-CN"/>
        </w:rPr>
        <w:t>本项目</w:t>
      </w:r>
      <w:r>
        <w:rPr>
          <w:rFonts w:hint="eastAsia" w:ascii="仿宋_GB2312" w:hAnsi="Times New Roman" w:eastAsia="仿宋_GB2312" w:cs="Times New Roman"/>
          <w:sz w:val="32"/>
          <w:szCs w:val="32"/>
        </w:rPr>
        <w:t>预算</w:t>
      </w:r>
      <w:r>
        <w:rPr>
          <w:rFonts w:hint="eastAsia" w:ascii="仿宋_GB2312" w:eastAsia="仿宋_GB2312" w:cs="Times New Roman"/>
          <w:sz w:val="32"/>
          <w:szCs w:val="32"/>
        </w:rPr>
        <w:t>为</w:t>
      </w:r>
      <w:r>
        <w:rPr>
          <w:rFonts w:hint="eastAsia" w:ascii="仿宋_GB2312" w:eastAsia="仿宋_GB2312" w:cs="Times New Roman"/>
          <w:sz w:val="32"/>
          <w:szCs w:val="32"/>
          <w:lang w:val="en-US" w:eastAsia="zh-CN"/>
        </w:rPr>
        <w:t>244</w:t>
      </w:r>
      <w:r>
        <w:rPr>
          <w:rFonts w:hint="eastAsia" w:ascii="仿宋_GB2312" w:eastAsia="仿宋_GB2312" w:cs="Times New Roman"/>
          <w:sz w:val="32"/>
          <w:szCs w:val="32"/>
        </w:rPr>
        <w:t>万元，截至202</w:t>
      </w:r>
      <w:r>
        <w:rPr>
          <w:rFonts w:hint="eastAsia" w:ascii="仿宋_GB2312" w:eastAsia="仿宋_GB2312" w:cs="Times New Roman"/>
          <w:sz w:val="32"/>
          <w:szCs w:val="32"/>
          <w:lang w:val="en-US" w:eastAsia="zh-CN"/>
        </w:rPr>
        <w:t>5</w:t>
      </w:r>
      <w:r>
        <w:rPr>
          <w:rFonts w:hint="eastAsia" w:ascii="仿宋_GB2312" w:eastAsia="仿宋_GB2312" w:cs="Times New Roman"/>
          <w:sz w:val="32"/>
          <w:szCs w:val="32"/>
        </w:rPr>
        <w:t>年12月31日，项目实际支出</w:t>
      </w:r>
      <w:r>
        <w:rPr>
          <w:rFonts w:hint="eastAsia" w:ascii="仿宋_GB2312" w:eastAsia="仿宋_GB2312" w:cs="Times New Roman"/>
          <w:sz w:val="32"/>
          <w:szCs w:val="32"/>
          <w:lang w:val="en-US" w:eastAsia="zh-CN"/>
        </w:rPr>
        <w:t>242.85</w:t>
      </w:r>
      <w:r>
        <w:rPr>
          <w:rStyle w:val="24"/>
          <w:rFonts w:hint="eastAsia" w:ascii="仿宋_GB2312" w:eastAsia="仿宋_GB2312" w:cs="Times New Roman"/>
          <w:sz w:val="32"/>
          <w:szCs w:val="32"/>
          <w:lang w:val="en-US" w:eastAsia="zh-CN"/>
        </w:rPr>
        <w:footnoteReference w:id="0"/>
      </w:r>
      <w:r>
        <w:rPr>
          <w:rFonts w:hint="eastAsia" w:ascii="仿宋_GB2312" w:eastAsia="仿宋_GB2312" w:cs="Times New Roman"/>
          <w:sz w:val="32"/>
          <w:szCs w:val="32"/>
          <w:lang w:val="en-US" w:eastAsia="zh-CN"/>
        </w:rPr>
        <w:t>万</w:t>
      </w:r>
      <w:r>
        <w:rPr>
          <w:rFonts w:hint="eastAsia" w:ascii="仿宋_GB2312" w:eastAsia="仿宋_GB2312" w:cs="Times New Roman"/>
          <w:sz w:val="32"/>
          <w:szCs w:val="32"/>
        </w:rPr>
        <w:t>元，预算执行率</w:t>
      </w:r>
      <w:r>
        <w:rPr>
          <w:rFonts w:hint="eastAsia" w:ascii="仿宋_GB2312" w:eastAsia="仿宋_GB2312" w:cs="Times New Roman"/>
          <w:sz w:val="32"/>
          <w:szCs w:val="32"/>
          <w:lang w:val="en-US" w:eastAsia="zh-CN"/>
        </w:rPr>
        <w:t>99.53</w:t>
      </w:r>
      <w:r>
        <w:rPr>
          <w:rFonts w:hint="eastAsia" w:ascii="仿宋_GB2312" w:eastAsia="仿宋_GB2312" w:cs="Times New Roman"/>
          <w:sz w:val="32"/>
          <w:szCs w:val="32"/>
        </w:rPr>
        <w:t>%</w:t>
      </w:r>
      <w:r>
        <w:rPr>
          <w:rFonts w:hint="eastAsia" w:ascii="仿宋_GB2312" w:eastAsia="仿宋_GB2312" w:cs="Times New Roman"/>
          <w:sz w:val="32"/>
          <w:szCs w:val="32"/>
          <w:lang w:eastAsia="zh-CN"/>
        </w:rPr>
        <w:t>，</w:t>
      </w:r>
      <w:r>
        <w:rPr>
          <w:rFonts w:hint="eastAsia" w:ascii="仿宋_GB2312" w:eastAsia="仿宋_GB2312" w:cs="Times New Roman"/>
          <w:snapToGrid/>
          <w:color w:val="auto"/>
          <w:kern w:val="2"/>
          <w:sz w:val="32"/>
          <w:szCs w:val="32"/>
          <w:lang w:val="en-US" w:eastAsia="zh-CN" w:bidi="ar"/>
        </w:rPr>
        <w:t>从支出所属的经济科目来看，均用于支付委托业务费</w:t>
      </w:r>
      <w:r>
        <w:rPr>
          <w:rFonts w:hint="eastAsia" w:ascii="仿宋_GB2312" w:eastAsia="仿宋_GB2312" w:cs="Times New Roman"/>
          <w:sz w:val="32"/>
          <w:szCs w:val="32"/>
        </w:rPr>
        <w:t>。</w:t>
      </w:r>
      <w:bookmarkStart w:id="62" w:name="_Toc23511"/>
      <w:bookmarkStart w:id="63" w:name="_Toc29324"/>
      <w:bookmarkStart w:id="64" w:name="_Toc83567501"/>
      <w:bookmarkStart w:id="65" w:name="_Toc5474"/>
      <w:bookmarkStart w:id="66" w:name="_Toc21358_WPSOffice_Level2"/>
      <w:bookmarkStart w:id="67" w:name="_Toc24817"/>
      <w:bookmarkStart w:id="68" w:name="_Toc10728"/>
      <w:bookmarkStart w:id="69" w:name="_Toc23554_WPSOffice_Level2"/>
      <w:bookmarkStart w:id="70" w:name="_Toc9425_WPSOffice_Level2"/>
    </w:p>
    <w:p>
      <w:pPr>
        <w:pStyle w:val="2"/>
        <w:widowControl/>
        <w:spacing w:before="0" w:beforeLines="0" w:beforeAutospacing="0" w:after="0" w:afterAutospacing="0" w:line="560" w:lineRule="exact"/>
        <w:ind w:firstLine="643"/>
        <w:jc w:val="both"/>
        <w:outlineLvl w:val="1"/>
        <w:rPr>
          <w:rFonts w:ascii="Times New Roman" w:hAnsi="Times New Roman" w:eastAsia="楷体_GB2312"/>
          <w:b w:val="0"/>
          <w:bCs/>
          <w:kern w:val="2"/>
          <w:sz w:val="32"/>
          <w:szCs w:val="24"/>
        </w:rPr>
      </w:pPr>
      <w:bookmarkStart w:id="71" w:name="_Toc11371"/>
      <w:bookmarkStart w:id="72" w:name="_Toc21441"/>
      <w:bookmarkStart w:id="73" w:name="_Toc31849"/>
      <w:bookmarkStart w:id="74" w:name="_Toc27029"/>
      <w:r>
        <w:rPr>
          <w:rFonts w:ascii="Times New Roman" w:hAnsi="Times New Roman" w:eastAsia="楷体_GB2312"/>
          <w:b w:val="0"/>
          <w:bCs/>
          <w:kern w:val="2"/>
          <w:sz w:val="32"/>
          <w:szCs w:val="24"/>
        </w:rPr>
        <w:t>（</w:t>
      </w:r>
      <w:r>
        <w:rPr>
          <w:rFonts w:hint="eastAsia" w:ascii="Times New Roman" w:hAnsi="Times New Roman" w:eastAsia="楷体_GB2312"/>
          <w:b w:val="0"/>
          <w:bCs/>
          <w:kern w:val="2"/>
          <w:sz w:val="32"/>
          <w:szCs w:val="24"/>
          <w:lang w:val="en-US" w:eastAsia="zh-CN"/>
        </w:rPr>
        <w:t>二</w:t>
      </w:r>
      <w:r>
        <w:rPr>
          <w:rFonts w:ascii="Times New Roman" w:hAnsi="Times New Roman" w:eastAsia="楷体_GB2312"/>
          <w:b w:val="0"/>
          <w:bCs/>
          <w:kern w:val="2"/>
          <w:sz w:val="32"/>
          <w:szCs w:val="24"/>
        </w:rPr>
        <w:t>）项目绩效目标</w:t>
      </w:r>
      <w:bookmarkEnd w:id="62"/>
      <w:bookmarkEnd w:id="63"/>
      <w:bookmarkEnd w:id="64"/>
      <w:bookmarkEnd w:id="65"/>
      <w:bookmarkEnd w:id="66"/>
      <w:bookmarkEnd w:id="67"/>
      <w:bookmarkEnd w:id="68"/>
      <w:bookmarkEnd w:id="69"/>
      <w:bookmarkEnd w:id="70"/>
      <w:bookmarkEnd w:id="71"/>
      <w:bookmarkEnd w:id="72"/>
      <w:bookmarkEnd w:id="73"/>
      <w:bookmarkEnd w:id="74"/>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b w:val="0"/>
          <w:bCs/>
          <w:sz w:val="28"/>
          <w:szCs w:val="28"/>
        </w:rPr>
      </w:pPr>
      <w:r>
        <w:rPr>
          <w:rFonts w:hint="eastAsia" w:ascii="仿宋_GB2312" w:hAnsi="仿宋_GB2312" w:eastAsia="仿宋_GB2312" w:cs="仿宋_GB2312"/>
          <w:sz w:val="32"/>
          <w:szCs w:val="32"/>
        </w:rPr>
        <w:t>为了落实</w:t>
      </w:r>
      <w:r>
        <w:rPr>
          <w:rFonts w:hint="eastAsia" w:ascii="仿宋_GB2312" w:hAnsi="仿宋_GB2312" w:eastAsia="仿宋_GB2312" w:cs="仿宋_GB2312"/>
          <w:sz w:val="32"/>
          <w:szCs w:val="32"/>
          <w:lang w:eastAsia="zh-CN"/>
        </w:rPr>
        <w:t>我街道</w:t>
      </w:r>
      <w:r>
        <w:rPr>
          <w:rFonts w:hint="eastAsia" w:ascii="仿宋_GB2312" w:hAnsi="仿宋_GB2312" w:eastAsia="仿宋_GB2312" w:cs="仿宋_GB2312"/>
          <w:sz w:val="32"/>
          <w:szCs w:val="32"/>
          <w:lang w:val="en-US" w:eastAsia="zh-CN"/>
        </w:rPr>
        <w:t>查违综合防控</w:t>
      </w:r>
      <w:r>
        <w:rPr>
          <w:rFonts w:hint="eastAsia" w:ascii="仿宋_GB2312" w:hAnsi="仿宋_GB2312" w:eastAsia="仿宋_GB2312" w:cs="仿宋_GB2312"/>
          <w:sz w:val="32"/>
          <w:szCs w:val="32"/>
        </w:rPr>
        <w:t>工作</w:t>
      </w:r>
      <w:r>
        <w:rPr>
          <w:rFonts w:hint="eastAsia" w:ascii="仿宋_GB2312" w:hAnsi="仿宋_GB2312" w:eastAsia="仿宋_GB2312" w:cs="仿宋_GB2312"/>
          <w:sz w:val="32"/>
          <w:szCs w:val="32"/>
          <w:lang w:eastAsia="zh-CN"/>
        </w:rPr>
        <w:t>，我街道</w:t>
      </w:r>
      <w:r>
        <w:rPr>
          <w:rFonts w:hint="eastAsia" w:ascii="仿宋_GB2312" w:hAnsi="仿宋_GB2312" w:eastAsia="仿宋_GB2312" w:cs="仿宋_GB2312"/>
          <w:sz w:val="32"/>
          <w:szCs w:val="32"/>
        </w:rPr>
        <w:t>在本项目立项时，编制了项目的总体目标和绩效指标，加强项目管理。</w:t>
      </w:r>
      <w:r>
        <w:rPr>
          <w:rFonts w:hint="eastAsia" w:ascii="仿宋_GB2312" w:hAnsi="仿宋_GB2312" w:eastAsia="仿宋_GB2312" w:cs="仿宋_GB2312"/>
          <w:sz w:val="32"/>
          <w:szCs w:val="32"/>
          <w:highlight w:val="none"/>
          <w:lang w:val="en-US" w:eastAsia="zh-CN"/>
        </w:rPr>
        <w:t>总体目标：</w:t>
      </w:r>
      <w:r>
        <w:rPr>
          <w:rFonts w:hint="eastAsia" w:ascii="仿宋_GB2312" w:hAnsi="仿宋_GB2312" w:eastAsia="仿宋_GB2312" w:cs="仿宋_GB2312"/>
          <w:sz w:val="32"/>
          <w:szCs w:val="32"/>
          <w:lang w:val="en-US" w:eastAsia="zh-CN"/>
        </w:rPr>
        <w:t>通过购买查违综合防控服务，开展全天候全覆盖巡查防控，加大对辖区违法建设行为的防控力度，有效遏制新增违建，实现辖区违建“全控停零增量”目标，保障辖区发展空间。</w:t>
      </w:r>
      <w:r>
        <w:rPr>
          <w:rFonts w:hint="eastAsia" w:ascii="仿宋_GB2312" w:hAnsi="仿宋_GB2312" w:eastAsia="仿宋_GB2312" w:cs="仿宋_GB2312"/>
          <w:sz w:val="32"/>
          <w:szCs w:val="32"/>
          <w:highlight w:val="none"/>
        </w:rPr>
        <w:t>具体</w:t>
      </w:r>
      <w:r>
        <w:rPr>
          <w:rFonts w:hint="eastAsia" w:ascii="仿宋_GB2312" w:hAnsi="仿宋_GB2312" w:eastAsia="仿宋_GB2312" w:cs="仿宋_GB2312"/>
          <w:sz w:val="32"/>
          <w:szCs w:val="32"/>
          <w:highlight w:val="none"/>
          <w:lang w:val="en-US" w:eastAsia="zh-CN"/>
        </w:rPr>
        <w:t>绩效</w:t>
      </w:r>
      <w:r>
        <w:rPr>
          <w:rFonts w:hint="eastAsia" w:ascii="仿宋_GB2312" w:hAnsi="仿宋_GB2312" w:eastAsia="仿宋_GB2312" w:cs="仿宋_GB2312"/>
          <w:sz w:val="32"/>
          <w:szCs w:val="32"/>
          <w:lang w:val="en-US" w:eastAsia="zh-CN"/>
        </w:rPr>
        <w:t>目标</w:t>
      </w:r>
      <w:r>
        <w:rPr>
          <w:rFonts w:hint="eastAsia" w:ascii="仿宋_GB2312" w:hAnsi="仿宋_GB2312" w:eastAsia="仿宋_GB2312" w:cs="仿宋_GB2312"/>
          <w:sz w:val="32"/>
          <w:szCs w:val="32"/>
        </w:rPr>
        <w:t>编制情况如下</w:t>
      </w:r>
      <w:r>
        <w:rPr>
          <w:rFonts w:hint="eastAsia" w:ascii="仿宋_GB2312" w:hAnsi="仿宋_GB2312" w:eastAsia="仿宋_GB2312" w:cs="仿宋_GB2312"/>
          <w:sz w:val="32"/>
          <w:szCs w:val="32"/>
          <w:lang w:val="en-US" w:eastAsia="zh-CN"/>
        </w:rPr>
        <w:t>表1。</w:t>
      </w:r>
      <w:bookmarkStart w:id="75" w:name="_Toc12237_WPSOffice_Level2"/>
      <w:bookmarkStart w:id="76" w:name="_Toc9446_WPSOffice_Level2"/>
      <w:bookmarkStart w:id="77" w:name="_Toc4092_WPSOffice_Level2"/>
      <w:bookmarkStart w:id="78" w:name="_Toc21514_WPSOffice_Level2"/>
    </w:p>
    <w:p>
      <w:pPr>
        <w:widowControl/>
        <w:spacing w:before="0" w:beforeLines="0" w:beforeAutospacing="0" w:after="0" w:afterAutospacing="0" w:line="560" w:lineRule="exact"/>
        <w:jc w:val="center"/>
        <w:outlineLvl w:val="9"/>
        <w:rPr>
          <w:b w:val="0"/>
          <w:bCs/>
        </w:rPr>
      </w:pPr>
      <w:r>
        <w:rPr>
          <w:rFonts w:hint="eastAsia" w:ascii="黑体" w:hAnsi="黑体" w:eastAsia="黑体" w:cs="黑体"/>
          <w:b w:val="0"/>
          <w:bCs/>
          <w:sz w:val="28"/>
          <w:szCs w:val="28"/>
        </w:rPr>
        <w:t>表1 项目绩效目标编制情况表</w:t>
      </w:r>
      <w:bookmarkEnd w:id="75"/>
      <w:bookmarkEnd w:id="76"/>
      <w:bookmarkEnd w:id="77"/>
      <w:bookmarkEnd w:id="78"/>
    </w:p>
    <w:tbl>
      <w:tblPr>
        <w:tblStyle w:val="18"/>
        <w:tblW w:w="4869"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3"/>
        <w:gridCol w:w="767"/>
        <w:gridCol w:w="1795"/>
        <w:gridCol w:w="3853"/>
        <w:gridCol w:w="1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97" w:type="pct"/>
            <w:vMerge w:val="restart"/>
            <w:noWrap w:val="0"/>
            <w:vAlign w:val="center"/>
          </w:tcPr>
          <w:p>
            <w:pPr>
              <w:snapToGrid w:val="0"/>
              <w:jc w:val="both"/>
              <w:rPr>
                <w:rFonts w:hint="eastAsia" w:ascii="仿宋_GB2312" w:hAnsi="新宋体" w:eastAsia="仿宋_GB2312" w:cs="新宋体"/>
                <w:sz w:val="24"/>
                <w:szCs w:val="24"/>
              </w:rPr>
            </w:pPr>
          </w:p>
          <w:p>
            <w:pPr>
              <w:snapToGrid w:val="0"/>
              <w:jc w:val="both"/>
              <w:rPr>
                <w:rFonts w:hint="eastAsia" w:ascii="仿宋_GB2312" w:hAnsi="新宋体" w:eastAsia="仿宋_GB2312" w:cs="新宋体"/>
                <w:sz w:val="24"/>
                <w:szCs w:val="24"/>
              </w:rPr>
            </w:pPr>
          </w:p>
          <w:p>
            <w:pPr>
              <w:snapToGrid w:val="0"/>
              <w:jc w:val="both"/>
              <w:rPr>
                <w:rFonts w:hint="eastAsia" w:ascii="仿宋_GB2312" w:hAnsi="新宋体" w:eastAsia="仿宋_GB2312" w:cs="新宋体"/>
                <w:sz w:val="24"/>
                <w:szCs w:val="24"/>
              </w:rPr>
            </w:pPr>
          </w:p>
          <w:p>
            <w:pPr>
              <w:snapToGrid w:val="0"/>
              <w:jc w:val="both"/>
              <w:rPr>
                <w:rFonts w:hint="eastAsia" w:ascii="仿宋_GB2312" w:hAnsi="新宋体" w:eastAsia="仿宋_GB2312" w:cs="新宋体"/>
                <w:sz w:val="24"/>
                <w:szCs w:val="24"/>
              </w:rPr>
            </w:pPr>
          </w:p>
          <w:p>
            <w:pPr>
              <w:snapToGrid w:val="0"/>
              <w:jc w:val="both"/>
              <w:rPr>
                <w:rFonts w:hint="eastAsia" w:ascii="仿宋_GB2312" w:hAnsi="新宋体" w:eastAsia="仿宋_GB2312" w:cs="新宋体"/>
                <w:sz w:val="24"/>
                <w:szCs w:val="24"/>
              </w:rPr>
            </w:pPr>
          </w:p>
          <w:p>
            <w:pPr>
              <w:snapToGrid w:val="0"/>
              <w:jc w:val="both"/>
              <w:rPr>
                <w:rFonts w:hint="eastAsia" w:ascii="仿宋_GB2312" w:hAnsi="新宋体" w:eastAsia="仿宋_GB2312" w:cs="新宋体"/>
                <w:sz w:val="24"/>
                <w:szCs w:val="24"/>
              </w:rPr>
            </w:pPr>
            <w:r>
              <w:rPr>
                <w:rFonts w:hint="eastAsia" w:ascii="仿宋_GB2312" w:hAnsi="新宋体" w:eastAsia="仿宋_GB2312" w:cs="新宋体"/>
                <w:sz w:val="24"/>
                <w:szCs w:val="24"/>
              </w:rPr>
              <w:t>绩效指标</w:t>
            </w:r>
          </w:p>
        </w:tc>
        <w:tc>
          <w:tcPr>
            <w:tcW w:w="462"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b/>
                <w:sz w:val="24"/>
                <w:szCs w:val="24"/>
              </w:rPr>
            </w:pPr>
            <w:r>
              <w:rPr>
                <w:rFonts w:hint="eastAsia" w:ascii="仿宋_GB2312" w:hAnsi="新宋体" w:eastAsia="仿宋_GB2312" w:cs="新宋体"/>
                <w:b/>
                <w:sz w:val="24"/>
                <w:szCs w:val="24"/>
              </w:rPr>
              <w:t>一级指标</w:t>
            </w:r>
          </w:p>
        </w:tc>
        <w:tc>
          <w:tcPr>
            <w:tcW w:w="108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b/>
                <w:sz w:val="24"/>
                <w:szCs w:val="24"/>
              </w:rPr>
            </w:pPr>
            <w:r>
              <w:rPr>
                <w:rFonts w:hint="eastAsia" w:ascii="仿宋_GB2312" w:hAnsi="新宋体" w:eastAsia="仿宋_GB2312" w:cs="新宋体"/>
                <w:b/>
                <w:sz w:val="24"/>
                <w:szCs w:val="24"/>
              </w:rPr>
              <w:t>二级指标</w:t>
            </w:r>
          </w:p>
        </w:tc>
        <w:tc>
          <w:tcPr>
            <w:tcW w:w="232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b/>
                <w:sz w:val="24"/>
                <w:szCs w:val="24"/>
              </w:rPr>
            </w:pPr>
            <w:r>
              <w:rPr>
                <w:rFonts w:hint="eastAsia" w:ascii="仿宋_GB2312" w:hAnsi="新宋体" w:eastAsia="仿宋_GB2312" w:cs="新宋体"/>
                <w:b/>
                <w:sz w:val="24"/>
                <w:szCs w:val="24"/>
              </w:rPr>
              <w:t>三级指标</w:t>
            </w:r>
          </w:p>
        </w:tc>
        <w:tc>
          <w:tcPr>
            <w:tcW w:w="838"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b/>
                <w:sz w:val="24"/>
                <w:szCs w:val="24"/>
              </w:rPr>
            </w:pPr>
            <w:r>
              <w:rPr>
                <w:rFonts w:hint="eastAsia" w:ascii="仿宋_GB2312" w:hAnsi="新宋体" w:eastAsia="仿宋_GB2312" w:cs="新宋体"/>
                <w:b/>
                <w:sz w:val="24"/>
                <w:szCs w:val="24"/>
              </w:rPr>
              <w:t>目标值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97" w:type="pct"/>
            <w:vMerge w:val="continue"/>
            <w:noWrap w:val="0"/>
            <w:vAlign w:val="center"/>
          </w:tcPr>
          <w:p>
            <w:pPr>
              <w:snapToGrid w:val="0"/>
              <w:jc w:val="center"/>
              <w:rPr>
                <w:rFonts w:hint="eastAsia" w:ascii="仿宋_GB2312" w:hAnsi="新宋体" w:eastAsia="仿宋_GB2312" w:cs="新宋体"/>
                <w:sz w:val="24"/>
                <w:szCs w:val="24"/>
              </w:rPr>
            </w:pPr>
          </w:p>
        </w:tc>
        <w:tc>
          <w:tcPr>
            <w:tcW w:w="462" w:type="pct"/>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rPr>
            </w:pPr>
            <w:r>
              <w:rPr>
                <w:rFonts w:hint="eastAsia" w:ascii="仿宋_GB2312" w:hAnsi="新宋体" w:eastAsia="仿宋_GB2312" w:cs="新宋体"/>
                <w:sz w:val="24"/>
                <w:szCs w:val="24"/>
              </w:rPr>
              <w:t>产出指标</w:t>
            </w:r>
          </w:p>
        </w:tc>
        <w:tc>
          <w:tcPr>
            <w:tcW w:w="108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rPr>
            </w:pPr>
            <w:r>
              <w:rPr>
                <w:rFonts w:hint="eastAsia" w:ascii="仿宋_GB2312" w:hAnsi="新宋体" w:eastAsia="仿宋_GB2312" w:cs="新宋体"/>
                <w:sz w:val="24"/>
                <w:szCs w:val="24"/>
              </w:rPr>
              <w:t>数量指标</w:t>
            </w:r>
          </w:p>
        </w:tc>
        <w:tc>
          <w:tcPr>
            <w:tcW w:w="232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eastAsia" w:ascii="仿宋_GB2312" w:hAnsi="新宋体" w:eastAsia="仿宋_GB2312" w:cs="新宋体"/>
                <w:sz w:val="24"/>
                <w:szCs w:val="24"/>
                <w:lang w:val="en-US" w:eastAsia="zh-CN"/>
              </w:rPr>
              <w:t>查违综合防控安保人员数量</w:t>
            </w:r>
          </w:p>
        </w:tc>
        <w:tc>
          <w:tcPr>
            <w:tcW w:w="838"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eastAsia" w:ascii="仿宋_GB2312" w:hAnsi="新宋体" w:eastAsia="仿宋_GB2312" w:cs="新宋体"/>
                <w:sz w:val="24"/>
                <w:szCs w:val="24"/>
                <w:lang w:val="en-US" w:eastAsia="zh-CN"/>
              </w:rPr>
              <w:t>≥29人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7" w:type="pct"/>
            <w:vMerge w:val="continue"/>
            <w:noWrap w:val="0"/>
            <w:vAlign w:val="center"/>
          </w:tcPr>
          <w:p>
            <w:pPr>
              <w:snapToGrid w:val="0"/>
              <w:jc w:val="center"/>
              <w:rPr>
                <w:rFonts w:hint="eastAsia" w:ascii="仿宋_GB2312" w:hAnsi="新宋体" w:eastAsia="仿宋_GB2312" w:cs="新宋体"/>
                <w:sz w:val="24"/>
                <w:szCs w:val="24"/>
              </w:rPr>
            </w:pPr>
          </w:p>
        </w:tc>
        <w:tc>
          <w:tcPr>
            <w:tcW w:w="462" w:type="pct"/>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rPr>
            </w:pPr>
          </w:p>
        </w:tc>
        <w:tc>
          <w:tcPr>
            <w:tcW w:w="108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rPr>
            </w:pPr>
            <w:r>
              <w:rPr>
                <w:rFonts w:hint="eastAsia" w:ascii="仿宋_GB2312" w:hAnsi="新宋体" w:eastAsia="仿宋_GB2312" w:cs="新宋体"/>
                <w:sz w:val="24"/>
                <w:szCs w:val="24"/>
              </w:rPr>
              <w:t>质量指标</w:t>
            </w:r>
          </w:p>
        </w:tc>
        <w:tc>
          <w:tcPr>
            <w:tcW w:w="232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eastAsia" w:ascii="仿宋_GB2312" w:hAnsi="新宋体" w:eastAsia="仿宋_GB2312" w:cs="新宋体"/>
                <w:sz w:val="24"/>
                <w:szCs w:val="24"/>
                <w:lang w:val="en-US" w:eastAsia="zh-CN"/>
              </w:rPr>
              <w:t>查违防控巡查项目验收合格率</w:t>
            </w:r>
          </w:p>
        </w:tc>
        <w:tc>
          <w:tcPr>
            <w:tcW w:w="838"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eastAsia" w:ascii="仿宋_GB2312" w:hAnsi="新宋体" w:eastAsia="仿宋_GB2312" w:cs="新宋体"/>
                <w:sz w:val="24"/>
                <w:szCs w:val="24"/>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7" w:type="pct"/>
            <w:vMerge w:val="continue"/>
            <w:noWrap w:val="0"/>
            <w:vAlign w:val="center"/>
          </w:tcPr>
          <w:p>
            <w:pPr>
              <w:snapToGrid w:val="0"/>
              <w:jc w:val="center"/>
              <w:rPr>
                <w:rFonts w:hint="eastAsia" w:ascii="仿宋_GB2312" w:hAnsi="新宋体" w:eastAsia="仿宋_GB2312" w:cs="新宋体"/>
                <w:sz w:val="24"/>
                <w:szCs w:val="24"/>
              </w:rPr>
            </w:pPr>
          </w:p>
        </w:tc>
        <w:tc>
          <w:tcPr>
            <w:tcW w:w="462" w:type="pct"/>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rPr>
            </w:pPr>
          </w:p>
        </w:tc>
        <w:tc>
          <w:tcPr>
            <w:tcW w:w="108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rPr>
            </w:pPr>
            <w:r>
              <w:rPr>
                <w:rFonts w:hint="eastAsia" w:ascii="仿宋_GB2312" w:hAnsi="新宋体" w:eastAsia="仿宋_GB2312" w:cs="新宋体"/>
                <w:sz w:val="24"/>
                <w:szCs w:val="24"/>
              </w:rPr>
              <w:t>时效指标</w:t>
            </w:r>
          </w:p>
        </w:tc>
        <w:tc>
          <w:tcPr>
            <w:tcW w:w="232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eastAsia" w:ascii="仿宋_GB2312" w:hAnsi="新宋体" w:eastAsia="仿宋_GB2312" w:cs="新宋体"/>
                <w:sz w:val="24"/>
                <w:szCs w:val="24"/>
                <w:lang w:val="en-US" w:eastAsia="zh-CN"/>
              </w:rPr>
              <w:t>辖区内违法建筑和违法用地行为上报及时率</w:t>
            </w:r>
          </w:p>
        </w:tc>
        <w:tc>
          <w:tcPr>
            <w:tcW w:w="838"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eastAsia" w:ascii="仿宋_GB2312" w:hAnsi="新宋体" w:eastAsia="仿宋_GB2312" w:cs="新宋体"/>
                <w:sz w:val="24"/>
                <w:szCs w:val="24"/>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7" w:type="pct"/>
            <w:vMerge w:val="continue"/>
            <w:noWrap w:val="0"/>
            <w:vAlign w:val="center"/>
          </w:tcPr>
          <w:p>
            <w:pPr>
              <w:snapToGrid w:val="0"/>
              <w:jc w:val="center"/>
              <w:rPr>
                <w:rFonts w:hint="eastAsia" w:ascii="仿宋_GB2312" w:hAnsi="新宋体" w:eastAsia="仿宋_GB2312" w:cs="新宋体"/>
                <w:sz w:val="24"/>
                <w:szCs w:val="24"/>
              </w:rPr>
            </w:pPr>
          </w:p>
        </w:tc>
        <w:tc>
          <w:tcPr>
            <w:tcW w:w="462" w:type="pct"/>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rPr>
            </w:pPr>
          </w:p>
        </w:tc>
        <w:tc>
          <w:tcPr>
            <w:tcW w:w="108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rPr>
            </w:pPr>
            <w:r>
              <w:rPr>
                <w:rFonts w:hint="eastAsia" w:ascii="仿宋_GB2312" w:hAnsi="新宋体" w:eastAsia="仿宋_GB2312" w:cs="新宋体"/>
                <w:sz w:val="24"/>
                <w:szCs w:val="24"/>
              </w:rPr>
              <w:t>成本指标</w:t>
            </w:r>
          </w:p>
        </w:tc>
        <w:tc>
          <w:tcPr>
            <w:tcW w:w="232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default" w:ascii="仿宋_GB2312" w:hAnsi="新宋体" w:eastAsia="仿宋_GB2312" w:cs="新宋体"/>
                <w:sz w:val="24"/>
                <w:szCs w:val="24"/>
                <w:lang w:val="en-US" w:eastAsia="zh-CN"/>
              </w:rPr>
              <w:t>项目支出成本控制率</w:t>
            </w:r>
          </w:p>
        </w:tc>
        <w:tc>
          <w:tcPr>
            <w:tcW w:w="838"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eastAsia" w:ascii="仿宋_GB2312" w:hAnsi="新宋体" w:eastAsia="仿宋_GB2312" w:cs="新宋体"/>
                <w:sz w:val="24"/>
                <w:szCs w:val="24"/>
                <w:lang w:val="en-US" w:eastAsia="zh-CN"/>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7" w:type="pct"/>
            <w:vMerge w:val="continue"/>
            <w:noWrap w:val="0"/>
            <w:vAlign w:val="center"/>
          </w:tcPr>
          <w:p>
            <w:pPr>
              <w:snapToGrid w:val="0"/>
              <w:jc w:val="center"/>
              <w:rPr>
                <w:rFonts w:hint="eastAsia" w:ascii="仿宋_GB2312" w:hAnsi="新宋体" w:eastAsia="仿宋_GB2312" w:cs="新宋体"/>
                <w:sz w:val="24"/>
                <w:szCs w:val="24"/>
              </w:rPr>
            </w:pPr>
          </w:p>
        </w:tc>
        <w:tc>
          <w:tcPr>
            <w:tcW w:w="462" w:type="pct"/>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rPr>
            </w:pPr>
            <w:r>
              <w:rPr>
                <w:rFonts w:hint="eastAsia" w:ascii="仿宋_GB2312" w:hAnsi="新宋体" w:eastAsia="仿宋_GB2312" w:cs="新宋体"/>
                <w:sz w:val="24"/>
                <w:szCs w:val="24"/>
              </w:rPr>
              <w:t>效益指标</w:t>
            </w:r>
          </w:p>
        </w:tc>
        <w:tc>
          <w:tcPr>
            <w:tcW w:w="108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rPr>
            </w:pPr>
            <w:r>
              <w:rPr>
                <w:rFonts w:hint="eastAsia" w:ascii="仿宋_GB2312" w:hAnsi="新宋体" w:eastAsia="仿宋_GB2312" w:cs="新宋体"/>
                <w:sz w:val="24"/>
                <w:szCs w:val="24"/>
              </w:rPr>
              <w:t>经济效益指标</w:t>
            </w:r>
          </w:p>
        </w:tc>
        <w:tc>
          <w:tcPr>
            <w:tcW w:w="232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eastAsia" w:ascii="仿宋_GB2312" w:hAnsi="新宋体" w:eastAsia="仿宋_GB2312" w:cs="新宋体"/>
                <w:sz w:val="24"/>
                <w:szCs w:val="24"/>
                <w:lang w:val="en-US" w:eastAsia="zh-CN"/>
              </w:rPr>
              <w:t>不适用</w:t>
            </w:r>
          </w:p>
        </w:tc>
        <w:tc>
          <w:tcPr>
            <w:tcW w:w="838"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eastAsia" w:ascii="仿宋_GB2312" w:hAnsi="新宋体" w:eastAsia="仿宋_GB2312" w:cs="新宋体"/>
                <w:sz w:val="24"/>
                <w:szCs w:val="24"/>
                <w:lang w:val="en-US" w:eastAsia="zh-CN"/>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7" w:type="pct"/>
            <w:vMerge w:val="continue"/>
            <w:noWrap w:val="0"/>
            <w:vAlign w:val="center"/>
          </w:tcPr>
          <w:p>
            <w:pPr>
              <w:snapToGrid w:val="0"/>
              <w:jc w:val="center"/>
              <w:rPr>
                <w:rFonts w:hint="eastAsia" w:ascii="仿宋_GB2312" w:hAnsi="新宋体" w:eastAsia="仿宋_GB2312" w:cs="新宋体"/>
                <w:sz w:val="24"/>
                <w:szCs w:val="24"/>
              </w:rPr>
            </w:pPr>
          </w:p>
        </w:tc>
        <w:tc>
          <w:tcPr>
            <w:tcW w:w="462" w:type="pct"/>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rPr>
            </w:pPr>
          </w:p>
        </w:tc>
        <w:tc>
          <w:tcPr>
            <w:tcW w:w="108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eastAsia" w:ascii="仿宋_GB2312" w:hAnsi="新宋体" w:eastAsia="仿宋_GB2312" w:cs="新宋体"/>
                <w:sz w:val="24"/>
                <w:szCs w:val="24"/>
                <w:lang w:val="en-US" w:eastAsia="zh-CN"/>
              </w:rPr>
              <w:t>社会效益指标</w:t>
            </w:r>
          </w:p>
        </w:tc>
        <w:tc>
          <w:tcPr>
            <w:tcW w:w="232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eastAsia" w:ascii="仿宋_GB2312" w:hAnsi="新宋体" w:eastAsia="仿宋_GB2312" w:cs="新宋体"/>
                <w:sz w:val="24"/>
                <w:szCs w:val="24"/>
                <w:lang w:val="en-US" w:eastAsia="zh-CN"/>
              </w:rPr>
              <w:t>改善城市市容市貌</w:t>
            </w:r>
          </w:p>
        </w:tc>
        <w:tc>
          <w:tcPr>
            <w:tcW w:w="838"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eastAsia" w:ascii="仿宋_GB2312" w:hAnsi="新宋体" w:eastAsia="仿宋_GB2312" w:cs="新宋体"/>
                <w:sz w:val="24"/>
                <w:szCs w:val="24"/>
                <w:lang w:val="en-US" w:eastAsia="zh-CN"/>
              </w:rPr>
              <w:t>显著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7" w:type="pct"/>
            <w:vMerge w:val="continue"/>
            <w:noWrap w:val="0"/>
            <w:vAlign w:val="center"/>
          </w:tcPr>
          <w:p>
            <w:pPr>
              <w:snapToGrid w:val="0"/>
              <w:jc w:val="center"/>
              <w:rPr>
                <w:rFonts w:hint="eastAsia" w:ascii="仿宋_GB2312" w:hAnsi="新宋体" w:eastAsia="仿宋_GB2312" w:cs="新宋体"/>
                <w:sz w:val="24"/>
                <w:szCs w:val="24"/>
              </w:rPr>
            </w:pPr>
          </w:p>
        </w:tc>
        <w:tc>
          <w:tcPr>
            <w:tcW w:w="462" w:type="pct"/>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rPr>
            </w:pPr>
          </w:p>
        </w:tc>
        <w:tc>
          <w:tcPr>
            <w:tcW w:w="108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eastAsia" w:ascii="仿宋_GB2312" w:hAnsi="新宋体" w:eastAsia="仿宋_GB2312" w:cs="新宋体"/>
                <w:sz w:val="24"/>
                <w:szCs w:val="24"/>
                <w:lang w:val="en-US" w:eastAsia="zh-CN"/>
              </w:rPr>
              <w:t>生态效益指标</w:t>
            </w:r>
          </w:p>
        </w:tc>
        <w:tc>
          <w:tcPr>
            <w:tcW w:w="232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eastAsia" w:ascii="仿宋_GB2312" w:hAnsi="新宋体" w:eastAsia="仿宋_GB2312" w:cs="新宋体"/>
                <w:sz w:val="24"/>
                <w:szCs w:val="24"/>
                <w:lang w:val="en-US" w:eastAsia="zh-CN"/>
              </w:rPr>
              <w:t>不适用</w:t>
            </w:r>
          </w:p>
        </w:tc>
        <w:tc>
          <w:tcPr>
            <w:tcW w:w="838"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eastAsia" w:ascii="仿宋_GB2312" w:hAnsi="新宋体" w:eastAsia="仿宋_GB2312" w:cs="新宋体"/>
                <w:sz w:val="24"/>
                <w:szCs w:val="24"/>
                <w:lang w:val="en-US" w:eastAsia="zh-CN"/>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97" w:type="pct"/>
            <w:vMerge w:val="continue"/>
            <w:noWrap w:val="0"/>
            <w:vAlign w:val="center"/>
          </w:tcPr>
          <w:p>
            <w:pPr>
              <w:snapToGrid w:val="0"/>
              <w:jc w:val="center"/>
              <w:rPr>
                <w:rFonts w:hint="eastAsia" w:ascii="仿宋_GB2312" w:hAnsi="新宋体" w:eastAsia="仿宋_GB2312" w:cs="新宋体"/>
                <w:sz w:val="24"/>
                <w:szCs w:val="24"/>
              </w:rPr>
            </w:pPr>
          </w:p>
        </w:tc>
        <w:tc>
          <w:tcPr>
            <w:tcW w:w="462" w:type="pct"/>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rPr>
            </w:pPr>
          </w:p>
        </w:tc>
        <w:tc>
          <w:tcPr>
            <w:tcW w:w="108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eastAsia" w:ascii="仿宋_GB2312" w:hAnsi="新宋体" w:eastAsia="仿宋_GB2312" w:cs="新宋体"/>
                <w:sz w:val="24"/>
                <w:szCs w:val="24"/>
                <w:lang w:val="en-US" w:eastAsia="zh-CN"/>
              </w:rPr>
              <w:t>可持续影响指标</w:t>
            </w:r>
          </w:p>
        </w:tc>
        <w:tc>
          <w:tcPr>
            <w:tcW w:w="232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default" w:ascii="仿宋_GB2312" w:hAnsi="新宋体" w:eastAsia="仿宋_GB2312" w:cs="新宋体"/>
                <w:sz w:val="24"/>
                <w:szCs w:val="24"/>
                <w:lang w:val="en-US" w:eastAsia="zh-CN"/>
              </w:rPr>
              <w:t>不适用</w:t>
            </w:r>
          </w:p>
        </w:tc>
        <w:tc>
          <w:tcPr>
            <w:tcW w:w="838"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default" w:ascii="仿宋_GB2312" w:hAnsi="新宋体" w:eastAsia="仿宋_GB2312" w:cs="新宋体"/>
                <w:sz w:val="24"/>
                <w:szCs w:val="24"/>
                <w:lang w:val="en-US" w:eastAsia="zh-CN"/>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97" w:type="pct"/>
            <w:vMerge w:val="continue"/>
            <w:noWrap w:val="0"/>
            <w:vAlign w:val="center"/>
          </w:tcPr>
          <w:p>
            <w:pPr>
              <w:snapToGrid w:val="0"/>
              <w:jc w:val="center"/>
              <w:rPr>
                <w:rFonts w:hint="eastAsia" w:ascii="仿宋_GB2312" w:hAnsi="新宋体" w:eastAsia="仿宋_GB2312" w:cs="新宋体"/>
                <w:sz w:val="24"/>
                <w:szCs w:val="24"/>
              </w:rPr>
            </w:pPr>
          </w:p>
        </w:tc>
        <w:tc>
          <w:tcPr>
            <w:tcW w:w="462" w:type="pct"/>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rPr>
            </w:pPr>
            <w:r>
              <w:rPr>
                <w:rFonts w:hint="eastAsia" w:ascii="仿宋_GB2312" w:hAnsi="新宋体" w:eastAsia="仿宋_GB2312" w:cs="新宋体"/>
                <w:sz w:val="24"/>
                <w:szCs w:val="24"/>
              </w:rPr>
              <w:t>满意度指标</w:t>
            </w:r>
          </w:p>
        </w:tc>
        <w:tc>
          <w:tcPr>
            <w:tcW w:w="108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eastAsia" w:ascii="仿宋_GB2312" w:hAnsi="新宋体" w:eastAsia="仿宋_GB2312" w:cs="新宋体"/>
                <w:sz w:val="24"/>
                <w:szCs w:val="24"/>
                <w:lang w:val="en-US" w:eastAsia="zh-CN"/>
              </w:rPr>
              <w:t>服务对象满意度指标</w:t>
            </w:r>
          </w:p>
        </w:tc>
        <w:tc>
          <w:tcPr>
            <w:tcW w:w="232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eastAsia" w:ascii="仿宋_GB2312" w:hAnsi="新宋体" w:eastAsia="仿宋_GB2312" w:cs="新宋体"/>
                <w:sz w:val="24"/>
                <w:szCs w:val="24"/>
                <w:lang w:val="en-US" w:eastAsia="zh-CN"/>
              </w:rPr>
              <w:t>购买主体对查违综合防控服务满意度</w:t>
            </w:r>
          </w:p>
        </w:tc>
        <w:tc>
          <w:tcPr>
            <w:tcW w:w="838"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eastAsia" w:ascii="仿宋_GB2312" w:hAnsi="新宋体" w:eastAsia="仿宋_GB2312" w:cs="新宋体"/>
                <w:sz w:val="24"/>
                <w:szCs w:val="24"/>
                <w:lang w:val="en-US" w:eastAsia="zh-CN"/>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97" w:type="pct"/>
            <w:vMerge w:val="continue"/>
            <w:noWrap w:val="0"/>
            <w:vAlign w:val="center"/>
          </w:tcPr>
          <w:p>
            <w:pPr>
              <w:snapToGrid w:val="0"/>
              <w:jc w:val="center"/>
              <w:rPr>
                <w:rFonts w:hint="eastAsia" w:ascii="仿宋_GB2312" w:hAnsi="新宋体" w:eastAsia="仿宋_GB2312" w:cs="新宋体"/>
                <w:sz w:val="24"/>
                <w:szCs w:val="24"/>
              </w:rPr>
            </w:pPr>
          </w:p>
        </w:tc>
        <w:tc>
          <w:tcPr>
            <w:tcW w:w="462" w:type="pct"/>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rPr>
            </w:pPr>
          </w:p>
        </w:tc>
        <w:tc>
          <w:tcPr>
            <w:tcW w:w="108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eastAsia" w:ascii="仿宋_GB2312" w:hAnsi="新宋体" w:eastAsia="仿宋_GB2312" w:cs="新宋体"/>
                <w:sz w:val="24"/>
                <w:szCs w:val="24"/>
                <w:lang w:val="en-US" w:eastAsia="zh-CN"/>
              </w:rPr>
              <w:t>其他满意度指标</w:t>
            </w:r>
          </w:p>
        </w:tc>
        <w:tc>
          <w:tcPr>
            <w:tcW w:w="2321"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default" w:ascii="仿宋_GB2312" w:hAnsi="新宋体" w:eastAsia="仿宋_GB2312" w:cs="新宋体"/>
                <w:sz w:val="24"/>
                <w:szCs w:val="24"/>
                <w:lang w:val="en-US" w:eastAsia="zh-CN"/>
              </w:rPr>
              <w:t>不适用</w:t>
            </w:r>
          </w:p>
        </w:tc>
        <w:tc>
          <w:tcPr>
            <w:tcW w:w="838" w:type="pct"/>
            <w:noWrap w:val="0"/>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仿宋_GB2312" w:hAnsi="新宋体" w:eastAsia="仿宋_GB2312" w:cs="新宋体"/>
                <w:sz w:val="24"/>
                <w:szCs w:val="24"/>
                <w:lang w:val="en-US" w:eastAsia="zh-CN"/>
              </w:rPr>
            </w:pPr>
            <w:r>
              <w:rPr>
                <w:rFonts w:hint="default" w:ascii="仿宋_GB2312" w:hAnsi="新宋体" w:eastAsia="仿宋_GB2312" w:cs="新宋体"/>
                <w:sz w:val="24"/>
                <w:szCs w:val="24"/>
                <w:lang w:val="en-US" w:eastAsia="zh-CN"/>
              </w:rPr>
              <w:t>不适用</w:t>
            </w:r>
          </w:p>
        </w:tc>
      </w:tr>
    </w:tbl>
    <w:p>
      <w:pPr>
        <w:pStyle w:val="2"/>
        <w:spacing w:beforeLines="0" w:line="560" w:lineRule="exact"/>
        <w:ind w:firstLine="640" w:firstLineChars="200"/>
        <w:jc w:val="both"/>
        <w:rPr>
          <w:rFonts w:hint="eastAsia" w:ascii="Calibri" w:hAnsi="Calibri" w:eastAsia="黑体" w:cs="Times New Roman"/>
          <w:sz w:val="32"/>
          <w:szCs w:val="24"/>
          <w:lang w:val="en-US" w:eastAsia="zh-CN"/>
        </w:rPr>
      </w:pPr>
      <w:bookmarkStart w:id="79" w:name="_Toc3507"/>
      <w:bookmarkStart w:id="80" w:name="_Toc17945"/>
      <w:bookmarkStart w:id="81" w:name="_Toc28174"/>
      <w:bookmarkStart w:id="82" w:name="_Toc4455"/>
      <w:bookmarkStart w:id="83" w:name="_Toc21222_WPSOffice_Level1"/>
      <w:bookmarkStart w:id="84" w:name="_Toc2935"/>
      <w:bookmarkStart w:id="85" w:name="_Toc83567502"/>
      <w:bookmarkStart w:id="86" w:name="_Toc7776"/>
      <w:bookmarkStart w:id="87" w:name="_Toc16305"/>
      <w:bookmarkStart w:id="88" w:name="_Toc6942_WPSOffice_Level1"/>
      <w:bookmarkStart w:id="89" w:name="_Toc8171_WPSOffice_Level1"/>
      <w:bookmarkStart w:id="90" w:name="_Toc7854"/>
      <w:bookmarkStart w:id="91" w:name="_Toc9418"/>
      <w:r>
        <w:rPr>
          <w:rFonts w:hint="eastAsia" w:ascii="Calibri" w:hAnsi="Calibri" w:eastAsia="黑体" w:cs="Times New Roman"/>
          <w:sz w:val="32"/>
          <w:szCs w:val="24"/>
        </w:rPr>
        <w:t>二、绩效评价工作开展情况</w:t>
      </w:r>
      <w:bookmarkEnd w:id="79"/>
      <w:bookmarkEnd w:id="80"/>
      <w:bookmarkEnd w:id="81"/>
      <w:bookmarkEnd w:id="82"/>
    </w:p>
    <w:p>
      <w:pPr>
        <w:keepNext w:val="0"/>
        <w:keepLines w:val="0"/>
        <w:pageBreakBefore w:val="0"/>
        <w:widowControl w:val="0"/>
        <w:kinsoku/>
        <w:wordWrap/>
        <w:overflowPunct/>
        <w:topLinePunct w:val="0"/>
        <w:autoSpaceDE/>
        <w:autoSpaceDN/>
        <w:bidi w:val="0"/>
        <w:adjustRightInd/>
        <w:snapToGrid/>
        <w:spacing w:beforeLines="0" w:line="560" w:lineRule="exact"/>
        <w:ind w:firstLine="640" w:firstLineChars="200"/>
        <w:jc w:val="both"/>
        <w:textAlignment w:val="auto"/>
        <w:outlineLvl w:val="1"/>
        <w:rPr>
          <w:rFonts w:hint="eastAsia" w:ascii="Times New Roman" w:hAnsi="Times New Roman" w:eastAsia="楷体_GB2312" w:cs="Times New Roman"/>
          <w:b w:val="0"/>
          <w:bCs/>
          <w:kern w:val="2"/>
          <w:sz w:val="32"/>
          <w:szCs w:val="24"/>
          <w:lang w:val="en-US" w:eastAsia="zh-CN" w:bidi="ar-SA"/>
        </w:rPr>
      </w:pPr>
      <w:bookmarkStart w:id="92" w:name="_Toc1382"/>
      <w:bookmarkStart w:id="93" w:name="_Toc8274"/>
      <w:bookmarkStart w:id="94" w:name="_Toc22891"/>
      <w:r>
        <w:rPr>
          <w:rFonts w:hint="eastAsia" w:ascii="Times New Roman" w:hAnsi="Times New Roman" w:eastAsia="楷体_GB2312" w:cs="Times New Roman"/>
          <w:b w:val="0"/>
          <w:bCs/>
          <w:kern w:val="2"/>
          <w:sz w:val="32"/>
          <w:szCs w:val="24"/>
          <w:lang w:val="en-US" w:eastAsia="zh-CN" w:bidi="ar-SA"/>
        </w:rPr>
        <w:t>（一）绩效评价目的、对象和范围</w:t>
      </w:r>
      <w:bookmarkEnd w:id="92"/>
      <w:bookmarkEnd w:id="93"/>
      <w:bookmarkEnd w:id="94"/>
    </w:p>
    <w:p>
      <w:pPr>
        <w:spacing w:beforeLines="0" w:line="560" w:lineRule="exact"/>
        <w:ind w:firstLine="640" w:firstLineChars="200"/>
        <w:jc w:val="both"/>
        <w:outlineLvl w:val="1"/>
        <w:rPr>
          <w:rFonts w:hint="eastAsia" w:ascii="仿宋_GB2312" w:hAnsi="Times New Roman" w:eastAsia="仿宋_GB2312" w:cs="Times New Roman"/>
          <w:sz w:val="32"/>
          <w:szCs w:val="32"/>
          <w:lang w:val="en-US" w:eastAsia="zh-CN"/>
        </w:rPr>
      </w:pPr>
      <w:bookmarkStart w:id="95" w:name="_Toc2278"/>
      <w:bookmarkStart w:id="96" w:name="_Toc30894"/>
      <w:bookmarkStart w:id="97" w:name="_Toc22419"/>
      <w:r>
        <w:rPr>
          <w:rFonts w:hint="eastAsia" w:ascii="仿宋_GB2312" w:hAnsi="Times New Roman" w:eastAsia="仿宋_GB2312" w:cs="Times New Roman"/>
          <w:sz w:val="32"/>
          <w:szCs w:val="32"/>
          <w:lang w:val="en-US" w:eastAsia="zh-CN"/>
        </w:rPr>
        <w:t>1.绩效评价目的</w:t>
      </w:r>
      <w:bookmarkEnd w:id="95"/>
      <w:bookmarkEnd w:id="96"/>
      <w:bookmarkEnd w:id="97"/>
    </w:p>
    <w:p>
      <w:pPr>
        <w:spacing w:beforeLines="0" w:line="560" w:lineRule="exact"/>
        <w:ind w:firstLine="640" w:firstLineChars="200"/>
        <w:jc w:val="both"/>
        <w:outlineLvl w:val="9"/>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本次绩效评价旨在从项目决策、过程、绩效方面对2025年“</w:t>
      </w:r>
      <w:r>
        <w:rPr>
          <w:rFonts w:hint="eastAsia" w:ascii="仿宋_GB2312" w:hAnsi="Times New Roman" w:eastAsia="仿宋_GB2312" w:cs="Times New Roman"/>
          <w:color w:val="auto"/>
          <w:kern w:val="2"/>
          <w:sz w:val="32"/>
          <w:szCs w:val="32"/>
          <w:highlight w:val="none"/>
          <w:lang w:val="en-US" w:eastAsia="zh-CN" w:bidi="ar-SA"/>
        </w:rPr>
        <w:t>查违综合防控购买服务项目经费</w:t>
      </w:r>
      <w:r>
        <w:rPr>
          <w:rFonts w:hint="eastAsia" w:ascii="仿宋_GB2312" w:hAnsi="Times New Roman" w:eastAsia="仿宋_GB2312" w:cs="Times New Roman"/>
          <w:sz w:val="32"/>
          <w:szCs w:val="32"/>
          <w:lang w:val="en-US" w:eastAsia="zh-CN"/>
        </w:rPr>
        <w:t>”项目进行评价，力求从绩效的角度总结本项目取得的成绩和发现项目在立项、执行中产生的问题，汇总经验和教训，推动评价结果落地应用，强化预算支出有效性和提高资金使用效率，优化财政支出管理，为下一步实施预算绩效管理奠定基础。</w:t>
      </w:r>
    </w:p>
    <w:p>
      <w:pPr>
        <w:numPr>
          <w:ilvl w:val="0"/>
          <w:numId w:val="0"/>
        </w:numPr>
        <w:spacing w:beforeLines="0" w:line="560" w:lineRule="exact"/>
        <w:ind w:firstLine="640" w:firstLineChars="200"/>
        <w:jc w:val="both"/>
        <w:outlineLvl w:val="1"/>
        <w:rPr>
          <w:rFonts w:hint="default" w:ascii="仿宋_GB2312" w:hAnsi="Times New Roman" w:eastAsia="仿宋_GB2312" w:cs="Times New Roman"/>
          <w:sz w:val="32"/>
          <w:szCs w:val="32"/>
          <w:lang w:val="en-US" w:eastAsia="zh-CN"/>
        </w:rPr>
      </w:pPr>
      <w:bookmarkStart w:id="98" w:name="_Toc24330"/>
      <w:bookmarkStart w:id="99" w:name="_Toc25618"/>
      <w:bookmarkStart w:id="100" w:name="_Toc21012"/>
      <w:r>
        <w:rPr>
          <w:rFonts w:hint="eastAsia" w:ascii="仿宋_GB2312" w:hAnsi="Times New Roman" w:eastAsia="仿宋_GB2312" w:cs="Times New Roman"/>
          <w:kern w:val="2"/>
          <w:sz w:val="32"/>
          <w:szCs w:val="32"/>
          <w:lang w:val="en-US" w:eastAsia="zh-CN" w:bidi="ar-SA"/>
        </w:rPr>
        <w:t>2.</w:t>
      </w:r>
      <w:r>
        <w:rPr>
          <w:rFonts w:hint="eastAsia" w:ascii="仿宋_GB2312" w:hAnsi="Times New Roman" w:eastAsia="仿宋_GB2312" w:cs="Times New Roman"/>
          <w:sz w:val="32"/>
          <w:szCs w:val="32"/>
          <w:lang w:val="en-US" w:eastAsia="zh-CN"/>
        </w:rPr>
        <w:t>绩效评价对象和范围</w:t>
      </w:r>
      <w:bookmarkEnd w:id="98"/>
      <w:bookmarkEnd w:id="99"/>
      <w:bookmarkEnd w:id="100"/>
    </w:p>
    <w:p>
      <w:pPr>
        <w:numPr>
          <w:ilvl w:val="0"/>
          <w:numId w:val="0"/>
        </w:numPr>
        <w:spacing w:beforeLines="0" w:line="560" w:lineRule="exact"/>
        <w:ind w:firstLine="640" w:firstLineChars="200"/>
        <w:jc w:val="both"/>
        <w:outlineLvl w:val="9"/>
        <w:rPr>
          <w:rFonts w:hint="eastAsia" w:ascii="Times New Roman" w:hAnsi="Times New Roman" w:eastAsia="楷体_GB2312" w:cs="Times New Roman"/>
          <w:b w:val="0"/>
          <w:bCs/>
          <w:kern w:val="2"/>
          <w:sz w:val="32"/>
          <w:szCs w:val="24"/>
          <w:lang w:val="en-US" w:eastAsia="zh-CN" w:bidi="ar-SA"/>
        </w:rPr>
      </w:pPr>
      <w:r>
        <w:rPr>
          <w:rFonts w:hint="eastAsia" w:ascii="仿宋_GB2312" w:hAnsi="Times New Roman" w:eastAsia="仿宋_GB2312" w:cs="Times New Roman"/>
          <w:sz w:val="32"/>
          <w:szCs w:val="32"/>
          <w:lang w:val="en-US" w:eastAsia="zh-CN"/>
        </w:rPr>
        <w:t>本次绩效评价对象是我街道2025年度“</w:t>
      </w:r>
      <w:r>
        <w:rPr>
          <w:rFonts w:hint="eastAsia" w:ascii="仿宋_GB2312" w:hAnsi="Times New Roman" w:eastAsia="仿宋_GB2312" w:cs="Times New Roman"/>
          <w:color w:val="auto"/>
          <w:kern w:val="2"/>
          <w:sz w:val="32"/>
          <w:szCs w:val="32"/>
          <w:highlight w:val="none"/>
          <w:lang w:val="en-US" w:eastAsia="zh-CN" w:bidi="ar-SA"/>
        </w:rPr>
        <w:t>查违综合防控购买服务项目经费</w:t>
      </w:r>
      <w:r>
        <w:rPr>
          <w:rFonts w:hint="eastAsia" w:ascii="仿宋_GB2312" w:hAnsi="Times New Roman" w:eastAsia="仿宋_GB2312" w:cs="Times New Roman"/>
          <w:sz w:val="32"/>
          <w:szCs w:val="32"/>
          <w:lang w:val="en-US" w:eastAsia="zh-CN"/>
        </w:rPr>
        <w:t>”项目，评价时间范围是2025年1月1日至12月31日。</w:t>
      </w:r>
    </w:p>
    <w:p>
      <w:pPr>
        <w:spacing w:beforeLines="0" w:line="560" w:lineRule="exact"/>
        <w:ind w:firstLine="640" w:firstLineChars="200"/>
        <w:jc w:val="both"/>
        <w:outlineLvl w:val="1"/>
        <w:rPr>
          <w:rFonts w:hint="eastAsia" w:ascii="Times New Roman" w:hAnsi="Times New Roman" w:eastAsia="楷体_GB2312" w:cs="Times New Roman"/>
          <w:b w:val="0"/>
          <w:bCs/>
          <w:kern w:val="2"/>
          <w:sz w:val="32"/>
          <w:szCs w:val="24"/>
          <w:lang w:val="en-US" w:eastAsia="zh-CN" w:bidi="ar-SA"/>
        </w:rPr>
      </w:pPr>
      <w:bookmarkStart w:id="101" w:name="_Toc16044"/>
      <w:bookmarkStart w:id="102" w:name="_Toc25885"/>
      <w:bookmarkStart w:id="103" w:name="_Toc12578"/>
      <w:r>
        <w:rPr>
          <w:rFonts w:hint="eastAsia" w:ascii="Times New Roman" w:hAnsi="Times New Roman" w:eastAsia="楷体_GB2312" w:cs="Times New Roman"/>
          <w:b w:val="0"/>
          <w:bCs/>
          <w:kern w:val="2"/>
          <w:sz w:val="32"/>
          <w:szCs w:val="24"/>
          <w:lang w:val="en-US" w:eastAsia="zh-CN" w:bidi="ar-SA"/>
        </w:rPr>
        <w:t>（二）绩效评价原则、评价指标体系、评价方法、评价标准等</w:t>
      </w:r>
      <w:bookmarkEnd w:id="101"/>
      <w:bookmarkEnd w:id="102"/>
      <w:bookmarkEnd w:id="103"/>
    </w:p>
    <w:p>
      <w:pPr>
        <w:spacing w:beforeLines="0" w:line="560" w:lineRule="exact"/>
        <w:ind w:firstLine="640" w:firstLineChars="200"/>
        <w:jc w:val="both"/>
        <w:outlineLvl w:val="1"/>
        <w:rPr>
          <w:rFonts w:hint="default" w:ascii="仿宋_GB2312" w:hAnsi="Times New Roman" w:eastAsia="仿宋_GB2312" w:cs="Times New Roman"/>
          <w:sz w:val="32"/>
          <w:szCs w:val="32"/>
          <w:lang w:val="en-US" w:eastAsia="zh-CN"/>
        </w:rPr>
      </w:pPr>
      <w:bookmarkStart w:id="104" w:name="_Toc10749"/>
      <w:bookmarkStart w:id="105" w:name="_Toc16373"/>
      <w:bookmarkStart w:id="106" w:name="_Toc27027"/>
      <w:r>
        <w:rPr>
          <w:rFonts w:hint="eastAsia" w:ascii="仿宋_GB2312" w:hAnsi="Times New Roman" w:eastAsia="仿宋_GB2312" w:cs="Times New Roman"/>
          <w:sz w:val="32"/>
          <w:szCs w:val="32"/>
          <w:lang w:val="en-US" w:eastAsia="zh-CN"/>
        </w:rPr>
        <w:t>1.绩效评价原则</w:t>
      </w:r>
      <w:bookmarkEnd w:id="104"/>
      <w:bookmarkEnd w:id="105"/>
      <w:bookmarkEnd w:id="106"/>
    </w:p>
    <w:p>
      <w:pPr>
        <w:numPr>
          <w:ilvl w:val="0"/>
          <w:numId w:val="0"/>
        </w:numPr>
        <w:spacing w:beforeLines="0" w:line="560" w:lineRule="exact"/>
        <w:ind w:firstLine="640" w:firstLineChars="200"/>
        <w:jc w:val="both"/>
        <w:outlineLvl w:val="9"/>
        <w:rPr>
          <w:rFonts w:hint="eastAsia" w:ascii="仿宋_GB2312" w:hAnsi="Times New Roman" w:eastAsia="仿宋_GB2312" w:cs="Times New Roman"/>
          <w:b w:val="0"/>
          <w:bCs w:val="0"/>
          <w:sz w:val="32"/>
          <w:szCs w:val="32"/>
          <w:lang w:val="en-US" w:eastAsia="zh-CN"/>
        </w:rPr>
      </w:pPr>
      <w:r>
        <w:rPr>
          <w:rFonts w:hint="eastAsia" w:ascii="仿宋_GB2312" w:hAnsi="Times New Roman" w:eastAsia="仿宋_GB2312" w:cs="Times New Roman"/>
          <w:kern w:val="2"/>
          <w:sz w:val="32"/>
          <w:szCs w:val="32"/>
          <w:lang w:val="en-US" w:eastAsia="zh-CN" w:bidi="ar-SA"/>
        </w:rPr>
        <w:t>（1）</w:t>
      </w:r>
      <w:r>
        <w:rPr>
          <w:rFonts w:hint="eastAsia" w:ascii="仿宋_GB2312" w:hAnsi="Times New Roman" w:eastAsia="仿宋_GB2312" w:cs="Times New Roman"/>
          <w:b w:val="0"/>
          <w:bCs w:val="0"/>
          <w:sz w:val="32"/>
          <w:szCs w:val="32"/>
          <w:lang w:val="en-US" w:eastAsia="zh-CN"/>
        </w:rPr>
        <w:t>科学公正。部门评价应当运用科学合理的方法，按照规范的程序，对被评价项目支出绩效进行客观、公正</w:t>
      </w:r>
      <w:r>
        <w:rPr>
          <w:rFonts w:hint="eastAsia" w:ascii="仿宋_GB2312" w:eastAsia="仿宋_GB2312" w:cs="Times New Roman"/>
          <w:b w:val="0"/>
          <w:bCs w:val="0"/>
          <w:sz w:val="32"/>
          <w:szCs w:val="32"/>
          <w:lang w:val="en-US" w:eastAsia="zh-CN"/>
        </w:rPr>
        <w:t>的</w:t>
      </w:r>
      <w:r>
        <w:rPr>
          <w:rFonts w:hint="eastAsia" w:ascii="仿宋_GB2312" w:hAnsi="Times New Roman" w:eastAsia="仿宋_GB2312" w:cs="Times New Roman"/>
          <w:b w:val="0"/>
          <w:bCs w:val="0"/>
          <w:sz w:val="32"/>
          <w:szCs w:val="32"/>
          <w:lang w:val="en-US" w:eastAsia="zh-CN"/>
        </w:rPr>
        <w:t>反映。</w:t>
      </w:r>
    </w:p>
    <w:p>
      <w:pPr>
        <w:numPr>
          <w:ilvl w:val="0"/>
          <w:numId w:val="0"/>
        </w:numPr>
        <w:spacing w:beforeLines="0" w:line="560" w:lineRule="exact"/>
        <w:ind w:firstLine="640" w:firstLineChars="200"/>
        <w:jc w:val="both"/>
        <w:outlineLvl w:val="9"/>
        <w:rPr>
          <w:rFonts w:hint="eastAsia" w:ascii="仿宋_GB2312" w:hAnsi="Times New Roman" w:eastAsia="仿宋_GB2312" w:cs="Times New Roman"/>
          <w:b w:val="0"/>
          <w:bCs w:val="0"/>
          <w:sz w:val="32"/>
          <w:szCs w:val="32"/>
          <w:lang w:val="en-US" w:eastAsia="zh-CN"/>
        </w:rPr>
      </w:pPr>
      <w:r>
        <w:rPr>
          <w:rFonts w:hint="eastAsia" w:ascii="仿宋_GB2312" w:hAnsi="Times New Roman" w:eastAsia="仿宋_GB2312" w:cs="Times New Roman"/>
          <w:b w:val="0"/>
          <w:bCs w:val="0"/>
          <w:sz w:val="32"/>
          <w:szCs w:val="32"/>
          <w:lang w:val="en-US" w:eastAsia="zh-CN"/>
        </w:rPr>
        <w:t>（2）统筹兼顾。部门评价应职责明确，与项目自评各有侧重，相互衔接。部门评价应在业务科室自评基础上开展。</w:t>
      </w:r>
    </w:p>
    <w:p>
      <w:pPr>
        <w:numPr>
          <w:ilvl w:val="0"/>
          <w:numId w:val="0"/>
        </w:numPr>
        <w:spacing w:beforeLines="0" w:line="560" w:lineRule="exact"/>
        <w:ind w:firstLine="640" w:firstLineChars="200"/>
        <w:jc w:val="both"/>
        <w:outlineLvl w:val="9"/>
        <w:rPr>
          <w:rFonts w:hint="eastAsia" w:ascii="仿宋_GB2312" w:hAnsi="Times New Roman" w:eastAsia="仿宋_GB2312" w:cs="Times New Roman"/>
          <w:b w:val="0"/>
          <w:bCs w:val="0"/>
          <w:sz w:val="32"/>
          <w:szCs w:val="32"/>
          <w:lang w:val="en-US" w:eastAsia="zh-CN"/>
        </w:rPr>
      </w:pPr>
      <w:r>
        <w:rPr>
          <w:rFonts w:hint="eastAsia" w:ascii="仿宋_GB2312" w:hAnsi="Times New Roman" w:eastAsia="仿宋_GB2312" w:cs="Times New Roman"/>
          <w:b w:val="0"/>
          <w:bCs w:val="0"/>
          <w:sz w:val="32"/>
          <w:szCs w:val="32"/>
          <w:lang w:val="en-US" w:eastAsia="zh-CN"/>
        </w:rPr>
        <w:t>（3）激励约束。绩效评价结果应与预算安排、政策调整、改进管理实质性挂钩，体现奖优罚劣和激励相容导向，有效要安排、低效要压减、无效要问责。</w:t>
      </w:r>
    </w:p>
    <w:p>
      <w:pPr>
        <w:numPr>
          <w:ilvl w:val="0"/>
          <w:numId w:val="0"/>
        </w:numPr>
        <w:spacing w:beforeLines="0" w:line="560" w:lineRule="exact"/>
        <w:ind w:firstLine="640" w:firstLineChars="200"/>
        <w:jc w:val="both"/>
        <w:outlineLvl w:val="9"/>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b w:val="0"/>
          <w:bCs w:val="0"/>
          <w:sz w:val="32"/>
          <w:szCs w:val="32"/>
          <w:lang w:val="en-US" w:eastAsia="zh-CN"/>
        </w:rPr>
        <w:t>（4）公开透明。</w:t>
      </w:r>
      <w:r>
        <w:rPr>
          <w:rFonts w:hint="eastAsia" w:ascii="仿宋_GB2312" w:hAnsi="Times New Roman" w:eastAsia="仿宋_GB2312" w:cs="Times New Roman"/>
          <w:sz w:val="32"/>
          <w:szCs w:val="32"/>
          <w:lang w:val="en-US" w:eastAsia="zh-CN"/>
        </w:rPr>
        <w:t>绩效评价结果应依法依规公开，并自觉接受社会监督。</w:t>
      </w:r>
    </w:p>
    <w:p>
      <w:pPr>
        <w:spacing w:beforeLines="0" w:line="560" w:lineRule="exact"/>
        <w:ind w:firstLine="640" w:firstLineChars="200"/>
        <w:jc w:val="both"/>
        <w:outlineLvl w:val="1"/>
        <w:rPr>
          <w:rFonts w:hint="eastAsia" w:ascii="仿宋_GB2312" w:hAnsi="Times New Roman" w:eastAsia="仿宋_GB2312" w:cs="Times New Roman"/>
          <w:sz w:val="32"/>
          <w:szCs w:val="32"/>
          <w:lang w:val="en-US" w:eastAsia="zh-CN"/>
        </w:rPr>
      </w:pPr>
      <w:bookmarkStart w:id="107" w:name="_Toc15232"/>
      <w:bookmarkStart w:id="108" w:name="_Toc5250"/>
      <w:bookmarkStart w:id="109" w:name="_Toc16988"/>
      <w:r>
        <w:rPr>
          <w:rFonts w:hint="eastAsia" w:ascii="仿宋_GB2312" w:hAnsi="Times New Roman" w:eastAsia="仿宋_GB2312" w:cs="Times New Roman"/>
          <w:sz w:val="32"/>
          <w:szCs w:val="32"/>
          <w:lang w:val="en-US" w:eastAsia="zh-CN"/>
        </w:rPr>
        <w:t>2.绩效评价指标体系</w:t>
      </w:r>
      <w:bookmarkEnd w:id="107"/>
      <w:bookmarkEnd w:id="108"/>
      <w:bookmarkEnd w:id="109"/>
    </w:p>
    <w:p>
      <w:pPr>
        <w:numPr>
          <w:ilvl w:val="0"/>
          <w:numId w:val="0"/>
        </w:numPr>
        <w:spacing w:beforeLines="0" w:line="560" w:lineRule="exact"/>
        <w:ind w:firstLine="640" w:firstLineChars="200"/>
        <w:jc w:val="both"/>
        <w:outlineLvl w:val="9"/>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评价小组参照《项目支出部门评价指标体系框架（参考）》，基于4项一级指标，10项二级指标，</w:t>
      </w:r>
      <w:r>
        <w:rPr>
          <w:rFonts w:hint="eastAsia" w:ascii="仿宋_GB2312" w:eastAsia="仿宋_GB2312" w:cs="Times New Roman"/>
          <w:sz w:val="32"/>
          <w:szCs w:val="32"/>
          <w:lang w:val="en-US" w:eastAsia="zh-CN"/>
        </w:rPr>
        <w:t>20</w:t>
      </w:r>
      <w:r>
        <w:rPr>
          <w:rFonts w:hint="eastAsia" w:ascii="仿宋_GB2312" w:hAnsi="Times New Roman" w:eastAsia="仿宋_GB2312" w:cs="Times New Roman"/>
          <w:sz w:val="32"/>
          <w:szCs w:val="32"/>
          <w:lang w:val="en-US" w:eastAsia="zh-CN"/>
        </w:rPr>
        <w:t>项三级指标的共性绩效评价指标体系，采用百分制，合理设置指标权重（其中决策20分、过程20分、产出</w:t>
      </w:r>
      <w:r>
        <w:rPr>
          <w:rFonts w:hint="eastAsia" w:ascii="仿宋_GB2312" w:eastAsia="仿宋_GB2312" w:cs="Times New Roman"/>
          <w:sz w:val="32"/>
          <w:szCs w:val="32"/>
          <w:lang w:val="en-US" w:eastAsia="zh-CN"/>
        </w:rPr>
        <w:t>38</w:t>
      </w:r>
      <w:r>
        <w:rPr>
          <w:rFonts w:hint="eastAsia" w:ascii="仿宋_GB2312" w:hAnsi="Times New Roman" w:eastAsia="仿宋_GB2312" w:cs="Times New Roman"/>
          <w:sz w:val="32"/>
          <w:szCs w:val="32"/>
          <w:lang w:val="en-US" w:eastAsia="zh-CN"/>
        </w:rPr>
        <w:t>分和效益</w:t>
      </w:r>
      <w:r>
        <w:rPr>
          <w:rFonts w:hint="eastAsia" w:ascii="仿宋_GB2312" w:eastAsia="仿宋_GB2312" w:cs="Times New Roman"/>
          <w:sz w:val="32"/>
          <w:szCs w:val="32"/>
          <w:lang w:val="en-US" w:eastAsia="zh-CN"/>
        </w:rPr>
        <w:t>22</w:t>
      </w:r>
      <w:r>
        <w:rPr>
          <w:rFonts w:hint="eastAsia" w:ascii="仿宋_GB2312" w:hAnsi="Times New Roman" w:eastAsia="仿宋_GB2312" w:cs="Times New Roman"/>
          <w:sz w:val="32"/>
          <w:szCs w:val="32"/>
          <w:lang w:val="en-US" w:eastAsia="zh-CN"/>
        </w:rPr>
        <w:t>分）；并充分考虑了本项目的政策通知文件要求、绩效目标、合同约定等因素，认真梳理各项工作内容与工作目标，结合项目实际，采用定量和定性综合分析的方法，合理设置评价指标和评分标准，力求本次评价客观公正，切合实际，详见表2和附件。</w:t>
      </w:r>
    </w:p>
    <w:p>
      <w:pPr>
        <w:pageBreakBefore w:val="0"/>
        <w:kinsoku/>
        <w:wordWrap/>
        <w:overflowPunct/>
        <w:topLinePunct w:val="0"/>
        <w:autoSpaceDE/>
        <w:autoSpaceDN/>
        <w:bidi w:val="0"/>
        <w:adjustRightInd/>
        <w:spacing w:line="560" w:lineRule="exact"/>
        <w:ind w:left="0" w:leftChars="0" w:firstLine="0" w:firstLineChars="0"/>
        <w:jc w:val="center"/>
        <w:rPr>
          <w:rFonts w:hint="eastAsia" w:ascii="黑体" w:hAnsi="黑体" w:eastAsia="黑体" w:cs="黑体"/>
          <w:bCs/>
          <w:sz w:val="28"/>
          <w:szCs w:val="28"/>
          <w:highlight w:val="none"/>
          <w:lang w:val="en-US" w:eastAsia="zh-CN"/>
        </w:rPr>
      </w:pPr>
      <w:r>
        <w:rPr>
          <w:rFonts w:hint="eastAsia" w:ascii="黑体" w:hAnsi="黑体" w:eastAsia="黑体" w:cs="黑体"/>
          <w:bCs/>
          <w:sz w:val="28"/>
          <w:szCs w:val="28"/>
          <w:highlight w:val="none"/>
          <w:lang w:val="en-US" w:eastAsia="zh-CN"/>
        </w:rPr>
        <w:t>表2  项目支出绩效评价指标体系</w:t>
      </w:r>
    </w:p>
    <w:tbl>
      <w:tblPr>
        <w:tblStyle w:val="1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5"/>
        <w:gridCol w:w="1025"/>
        <w:gridCol w:w="1313"/>
        <w:gridCol w:w="660"/>
        <w:gridCol w:w="3785"/>
        <w:gridCol w:w="7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tblHeader/>
        </w:trPr>
        <w:tc>
          <w:tcPr>
            <w:tcW w:w="2050" w:type="dxa"/>
            <w:gridSpan w:val="2"/>
            <w:tcBorders>
              <w:top w:val="single" w:color="000000" w:sz="4" w:space="0"/>
              <w:left w:val="single" w:color="000000" w:sz="4" w:space="0"/>
              <w:bottom w:val="single" w:color="000000" w:sz="4" w:space="0"/>
              <w:right w:val="single" w:color="000000" w:sz="4" w:space="0"/>
              <w:tl2br w:val="nil"/>
            </w:tcBorders>
            <w:noWrap w:val="0"/>
            <w:vAlign w:val="center"/>
          </w:tcPr>
          <w:p>
            <w:pPr>
              <w:keepNext w:val="0"/>
              <w:keepLines w:val="0"/>
              <w:widowControl/>
              <w:suppressLineNumbers w:val="0"/>
              <w:jc w:val="center"/>
              <w:textAlignment w:val="center"/>
              <w:rPr>
                <w:rFonts w:ascii="仿宋_GB2312" w:hAnsi="等线" w:eastAsia="仿宋_GB2312" w:cs="仿宋_GB2312"/>
                <w:b w:val="0"/>
                <w:bCs/>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highlight w:val="none"/>
                <w:u w:val="none"/>
                <w:lang w:val="en-US" w:eastAsia="zh-CN" w:bidi="ar"/>
              </w:rPr>
              <w:t>一级指标</w:t>
            </w:r>
          </w:p>
        </w:tc>
        <w:tc>
          <w:tcPr>
            <w:tcW w:w="197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bCs/>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highlight w:val="none"/>
                <w:u w:val="none"/>
                <w:lang w:val="en-US" w:eastAsia="zh-CN" w:bidi="ar"/>
              </w:rPr>
              <w:t>二级指标</w:t>
            </w:r>
          </w:p>
        </w:tc>
        <w:tc>
          <w:tcPr>
            <w:tcW w:w="449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bCs/>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highlight w:val="none"/>
                <w:u w:val="none"/>
                <w:lang w:val="en-US" w:eastAsia="zh-CN" w:bidi="ar"/>
              </w:rPr>
              <w:t>三级指标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blHeader/>
        </w:trPr>
        <w:tc>
          <w:tcPr>
            <w:tcW w:w="1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bCs/>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highlight w:val="none"/>
                <w:u w:val="none"/>
                <w:lang w:val="en-US" w:eastAsia="zh-CN" w:bidi="ar"/>
              </w:rPr>
              <w:t>名称</w:t>
            </w:r>
          </w:p>
        </w:tc>
        <w:tc>
          <w:tcPr>
            <w:tcW w:w="1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bCs/>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highlight w:val="none"/>
                <w:u w:val="none"/>
                <w:lang w:val="en-US" w:eastAsia="zh-CN" w:bidi="ar"/>
              </w:rPr>
              <w:t>分值</w:t>
            </w:r>
          </w:p>
        </w:tc>
        <w:tc>
          <w:tcPr>
            <w:tcW w:w="13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bCs/>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highlight w:val="none"/>
                <w:u w:val="none"/>
                <w:lang w:val="en-US" w:eastAsia="zh-CN" w:bidi="ar"/>
              </w:rPr>
              <w:t>名称</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bCs/>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highlight w:val="none"/>
                <w:u w:val="none"/>
                <w:lang w:val="en-US" w:eastAsia="zh-CN" w:bidi="ar"/>
              </w:rPr>
              <w:t>分值</w:t>
            </w:r>
          </w:p>
        </w:tc>
        <w:tc>
          <w:tcPr>
            <w:tcW w:w="3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bCs/>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highlight w:val="none"/>
                <w:u w:val="none"/>
                <w:lang w:val="en-US" w:eastAsia="zh-CN" w:bidi="ar"/>
              </w:rPr>
              <w:t>名称</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bCs/>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highlight w:val="none"/>
                <w:u w:val="none"/>
                <w:lang w:val="en-US" w:eastAsia="zh-CN" w:bidi="ar"/>
              </w:rPr>
              <w:t>分值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0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决策</w:t>
            </w:r>
          </w:p>
        </w:tc>
        <w:tc>
          <w:tcPr>
            <w:tcW w:w="10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20</w:t>
            </w:r>
          </w:p>
        </w:tc>
        <w:tc>
          <w:tcPr>
            <w:tcW w:w="131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项目立项</w:t>
            </w:r>
          </w:p>
        </w:tc>
        <w:tc>
          <w:tcPr>
            <w:tcW w:w="66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6</w:t>
            </w:r>
          </w:p>
        </w:tc>
        <w:tc>
          <w:tcPr>
            <w:tcW w:w="3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立项依据充分性</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31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66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3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立项程序规范性</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31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绩效目标</w:t>
            </w:r>
          </w:p>
        </w:tc>
        <w:tc>
          <w:tcPr>
            <w:tcW w:w="66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8</w:t>
            </w:r>
          </w:p>
        </w:tc>
        <w:tc>
          <w:tcPr>
            <w:tcW w:w="3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绩效目标合理性</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31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66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3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绩效指标明确性</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31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资金投入</w:t>
            </w:r>
          </w:p>
        </w:tc>
        <w:tc>
          <w:tcPr>
            <w:tcW w:w="66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6</w:t>
            </w:r>
          </w:p>
        </w:tc>
        <w:tc>
          <w:tcPr>
            <w:tcW w:w="3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预算编制科学性</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31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66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3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资金分配合理性</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0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过程</w:t>
            </w:r>
          </w:p>
        </w:tc>
        <w:tc>
          <w:tcPr>
            <w:tcW w:w="10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20</w:t>
            </w:r>
          </w:p>
        </w:tc>
        <w:tc>
          <w:tcPr>
            <w:tcW w:w="131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资金管理</w:t>
            </w:r>
          </w:p>
        </w:tc>
        <w:tc>
          <w:tcPr>
            <w:tcW w:w="66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10</w:t>
            </w:r>
          </w:p>
        </w:tc>
        <w:tc>
          <w:tcPr>
            <w:tcW w:w="3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资金到位率</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31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66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3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预算执行率</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31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66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3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资金使用合规性</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31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组织实施</w:t>
            </w:r>
          </w:p>
        </w:tc>
        <w:tc>
          <w:tcPr>
            <w:tcW w:w="66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10</w:t>
            </w:r>
          </w:p>
        </w:tc>
        <w:tc>
          <w:tcPr>
            <w:tcW w:w="3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管理制度健全性</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31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66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3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制度执行有效性</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0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产出</w:t>
            </w:r>
          </w:p>
        </w:tc>
        <w:tc>
          <w:tcPr>
            <w:tcW w:w="10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等线" w:eastAsia="仿宋_GB2312" w:cs="仿宋_GB2312"/>
                <w:b w:val="0"/>
                <w:i w:val="0"/>
                <w:iCs w:val="0"/>
                <w:color w:val="000000"/>
                <w:sz w:val="22"/>
                <w:szCs w:val="22"/>
                <w:highlight w:val="none"/>
                <w:u w:val="none"/>
                <w:lang w:val="en-US"/>
              </w:rPr>
            </w:pPr>
            <w:r>
              <w:rPr>
                <w:rFonts w:hint="eastAsia" w:ascii="仿宋_GB2312" w:hAnsi="宋体" w:eastAsia="仿宋_GB2312" w:cs="仿宋_GB2312"/>
                <w:i w:val="0"/>
                <w:iCs w:val="0"/>
                <w:color w:val="000000"/>
                <w:kern w:val="0"/>
                <w:sz w:val="22"/>
                <w:szCs w:val="22"/>
                <w:u w:val="none"/>
                <w:lang w:val="en-US" w:eastAsia="zh-CN" w:bidi="ar"/>
              </w:rPr>
              <w:t>38</w:t>
            </w:r>
          </w:p>
        </w:tc>
        <w:tc>
          <w:tcPr>
            <w:tcW w:w="131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产出数量</w:t>
            </w:r>
          </w:p>
        </w:tc>
        <w:tc>
          <w:tcPr>
            <w:tcW w:w="66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等线" w:eastAsia="仿宋_GB2312" w:cs="仿宋_GB2312"/>
                <w:b w:val="0"/>
                <w:i w:val="0"/>
                <w:iCs w:val="0"/>
                <w:color w:val="000000"/>
                <w:sz w:val="22"/>
                <w:szCs w:val="22"/>
                <w:highlight w:val="none"/>
                <w:u w:val="none"/>
                <w:lang w:val="en-US"/>
              </w:rPr>
            </w:pPr>
            <w:r>
              <w:rPr>
                <w:rFonts w:hint="eastAsia" w:ascii="仿宋_GB2312" w:hAnsi="宋体" w:eastAsia="仿宋_GB2312" w:cs="仿宋_GB2312"/>
                <w:i w:val="0"/>
                <w:iCs w:val="0"/>
                <w:color w:val="000000"/>
                <w:kern w:val="0"/>
                <w:sz w:val="22"/>
                <w:szCs w:val="22"/>
                <w:u w:val="none"/>
                <w:lang w:val="en-US" w:eastAsia="zh-CN" w:bidi="ar"/>
              </w:rPr>
              <w:t>13</w:t>
            </w:r>
          </w:p>
        </w:tc>
        <w:tc>
          <w:tcPr>
            <w:tcW w:w="3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查违综合防控安保人员数量</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025" w:type="dxa"/>
            <w:vMerge w:val="continue"/>
            <w:tcBorders>
              <w:left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kern w:val="0"/>
                <w:sz w:val="22"/>
                <w:szCs w:val="22"/>
                <w:highlight w:val="none"/>
                <w:u w:val="none"/>
                <w:lang w:val="en-US" w:eastAsia="zh-CN" w:bidi="ar"/>
              </w:rPr>
            </w:pPr>
          </w:p>
        </w:tc>
        <w:tc>
          <w:tcPr>
            <w:tcW w:w="1025" w:type="dxa"/>
            <w:vMerge w:val="continue"/>
            <w:tcBorders>
              <w:left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kern w:val="0"/>
                <w:sz w:val="22"/>
                <w:szCs w:val="22"/>
                <w:highlight w:val="none"/>
                <w:u w:val="none"/>
                <w:lang w:val="en-US" w:eastAsia="zh-CN" w:bidi="ar"/>
              </w:rPr>
            </w:pPr>
          </w:p>
        </w:tc>
        <w:tc>
          <w:tcPr>
            <w:tcW w:w="131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kern w:val="0"/>
                <w:sz w:val="22"/>
                <w:szCs w:val="22"/>
                <w:highlight w:val="none"/>
                <w:u w:val="none"/>
                <w:lang w:val="en-US" w:eastAsia="zh-CN" w:bidi="ar"/>
              </w:rPr>
            </w:pPr>
          </w:p>
        </w:tc>
        <w:tc>
          <w:tcPr>
            <w:tcW w:w="66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kern w:val="0"/>
                <w:sz w:val="22"/>
                <w:szCs w:val="22"/>
                <w:highlight w:val="none"/>
                <w:u w:val="none"/>
                <w:lang w:val="en-US" w:eastAsia="zh-CN" w:bidi="ar"/>
              </w:rPr>
            </w:pPr>
          </w:p>
        </w:tc>
        <w:tc>
          <w:tcPr>
            <w:tcW w:w="3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设备配置完成率</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313"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产出质量</w:t>
            </w:r>
          </w:p>
        </w:tc>
        <w:tc>
          <w:tcPr>
            <w:tcW w:w="660"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等线" w:eastAsia="仿宋_GB2312" w:cs="仿宋_GB2312"/>
                <w:b w:val="0"/>
                <w:i w:val="0"/>
                <w:iCs w:val="0"/>
                <w:color w:val="000000"/>
                <w:sz w:val="22"/>
                <w:szCs w:val="22"/>
                <w:highlight w:val="none"/>
                <w:u w:val="none"/>
                <w:lang w:val="en-US" w:eastAsia="zh-CN"/>
              </w:rPr>
            </w:pPr>
            <w:r>
              <w:rPr>
                <w:rFonts w:hint="eastAsia" w:ascii="仿宋_GB2312" w:hAnsi="等线" w:eastAsia="仿宋_GB2312" w:cs="仿宋_GB2312"/>
                <w:b w:val="0"/>
                <w:i w:val="0"/>
                <w:iCs w:val="0"/>
                <w:color w:val="000000"/>
                <w:sz w:val="22"/>
                <w:szCs w:val="22"/>
                <w:highlight w:val="none"/>
                <w:u w:val="none"/>
                <w:lang w:val="en-US" w:eastAsia="zh-CN"/>
              </w:rPr>
              <w:t>13</w:t>
            </w:r>
          </w:p>
        </w:tc>
        <w:tc>
          <w:tcPr>
            <w:tcW w:w="3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查违综合防控服务考核达标率</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313" w:type="dxa"/>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p>
        </w:tc>
        <w:tc>
          <w:tcPr>
            <w:tcW w:w="660" w:type="dxa"/>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p>
        </w:tc>
        <w:tc>
          <w:tcPr>
            <w:tcW w:w="3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全年累计漏检次数</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3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产出时效</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lang w:val="en-US" w:eastAsia="zh-CN"/>
              </w:rPr>
            </w:pPr>
            <w:r>
              <w:rPr>
                <w:rFonts w:hint="eastAsia" w:ascii="仿宋_GB2312" w:hAnsi="等线" w:eastAsia="仿宋_GB2312" w:cs="仿宋_GB2312"/>
                <w:b w:val="0"/>
                <w:i w:val="0"/>
                <w:iCs w:val="0"/>
                <w:color w:val="000000"/>
                <w:sz w:val="22"/>
                <w:szCs w:val="22"/>
                <w:highlight w:val="none"/>
                <w:u w:val="none"/>
                <w:lang w:val="en-US" w:eastAsia="zh-CN"/>
              </w:rPr>
              <w:t>6</w:t>
            </w:r>
          </w:p>
        </w:tc>
        <w:tc>
          <w:tcPr>
            <w:tcW w:w="3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巡查资料上报及时率</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3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产出成本</w:t>
            </w:r>
          </w:p>
        </w:tc>
        <w:tc>
          <w:tcPr>
            <w:tcW w:w="6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lang w:val="en-US" w:eastAsia="zh-CN"/>
              </w:rPr>
            </w:pPr>
            <w:r>
              <w:rPr>
                <w:rFonts w:hint="eastAsia" w:ascii="仿宋_GB2312" w:hAnsi="等线" w:eastAsia="仿宋_GB2312" w:cs="仿宋_GB2312"/>
                <w:b w:val="0"/>
                <w:i w:val="0"/>
                <w:iCs w:val="0"/>
                <w:color w:val="000000"/>
                <w:sz w:val="22"/>
                <w:szCs w:val="22"/>
                <w:highlight w:val="none"/>
                <w:u w:val="none"/>
                <w:lang w:val="en-US" w:eastAsia="zh-CN"/>
              </w:rPr>
              <w:t>6</w:t>
            </w:r>
          </w:p>
        </w:tc>
        <w:tc>
          <w:tcPr>
            <w:tcW w:w="3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成本控制率</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0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效益</w:t>
            </w:r>
          </w:p>
        </w:tc>
        <w:tc>
          <w:tcPr>
            <w:tcW w:w="10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等线" w:eastAsia="仿宋_GB2312" w:cs="仿宋_GB2312"/>
                <w:b w:val="0"/>
                <w:i w:val="0"/>
                <w:iCs w:val="0"/>
                <w:color w:val="000000"/>
                <w:sz w:val="22"/>
                <w:szCs w:val="22"/>
                <w:highlight w:val="none"/>
                <w:u w:val="none"/>
                <w:lang w:val="en-US"/>
              </w:rPr>
            </w:pPr>
            <w:r>
              <w:rPr>
                <w:rFonts w:hint="eastAsia" w:ascii="仿宋_GB2312" w:hAnsi="宋体" w:eastAsia="仿宋_GB2312" w:cs="仿宋_GB2312"/>
                <w:i w:val="0"/>
                <w:iCs w:val="0"/>
                <w:color w:val="000000"/>
                <w:kern w:val="0"/>
                <w:sz w:val="22"/>
                <w:szCs w:val="22"/>
                <w:u w:val="none"/>
                <w:lang w:val="en-US" w:eastAsia="zh-CN" w:bidi="ar"/>
              </w:rPr>
              <w:t>22</w:t>
            </w:r>
          </w:p>
        </w:tc>
        <w:tc>
          <w:tcPr>
            <w:tcW w:w="131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仿宋_GB2312"/>
                <w:b w:val="0"/>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项目效益</w:t>
            </w:r>
          </w:p>
        </w:tc>
        <w:tc>
          <w:tcPr>
            <w:tcW w:w="66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等线" w:eastAsia="仿宋_GB2312" w:cs="仿宋_GB2312"/>
                <w:b w:val="0"/>
                <w:i w:val="0"/>
                <w:iCs w:val="0"/>
                <w:color w:val="000000"/>
                <w:sz w:val="22"/>
                <w:szCs w:val="22"/>
                <w:highlight w:val="none"/>
                <w:u w:val="none"/>
                <w:lang w:val="en-US"/>
              </w:rPr>
            </w:pPr>
            <w:r>
              <w:rPr>
                <w:rFonts w:hint="eastAsia" w:ascii="仿宋_GB2312" w:hAnsi="宋体" w:eastAsia="仿宋_GB2312" w:cs="仿宋_GB2312"/>
                <w:i w:val="0"/>
                <w:iCs w:val="0"/>
                <w:color w:val="000000"/>
                <w:kern w:val="0"/>
                <w:sz w:val="22"/>
                <w:szCs w:val="22"/>
                <w:u w:val="none"/>
                <w:lang w:val="en-US" w:eastAsia="zh-CN" w:bidi="ar"/>
              </w:rPr>
              <w:t>22</w:t>
            </w:r>
          </w:p>
        </w:tc>
        <w:tc>
          <w:tcPr>
            <w:tcW w:w="3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违建“零增量、减存量”目标达成率</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02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1313"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660"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等线" w:eastAsia="仿宋_GB2312" w:cs="仿宋_GB2312"/>
                <w:b w:val="0"/>
                <w:i w:val="0"/>
                <w:iCs w:val="0"/>
                <w:color w:val="000000"/>
                <w:sz w:val="22"/>
                <w:szCs w:val="22"/>
                <w:highlight w:val="none"/>
                <w:u w:val="none"/>
              </w:rPr>
            </w:pPr>
          </w:p>
        </w:tc>
        <w:tc>
          <w:tcPr>
            <w:tcW w:w="37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查违综合防控服务履约评价等级</w:t>
            </w:r>
          </w:p>
        </w:tc>
        <w:tc>
          <w:tcPr>
            <w:tcW w:w="7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02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等线" w:eastAsia="仿宋_GB2312" w:cs="仿宋_GB2312"/>
                <w:b/>
                <w:bCs/>
                <w:i w:val="0"/>
                <w:iCs w:val="0"/>
                <w:color w:val="000000"/>
                <w:sz w:val="22"/>
                <w:szCs w:val="22"/>
                <w:highlight w:val="none"/>
                <w:u w:val="none"/>
              </w:rPr>
            </w:pPr>
          </w:p>
        </w:tc>
        <w:tc>
          <w:tcPr>
            <w:tcW w:w="102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等线" w:eastAsia="仿宋_GB2312" w:cs="仿宋_GB2312"/>
                <w:b/>
                <w:bCs/>
                <w:i w:val="0"/>
                <w:iCs w:val="0"/>
                <w:color w:val="000000"/>
                <w:sz w:val="22"/>
                <w:szCs w:val="22"/>
                <w:highlight w:val="none"/>
                <w:u w:val="none"/>
              </w:rPr>
            </w:pPr>
          </w:p>
        </w:tc>
        <w:tc>
          <w:tcPr>
            <w:tcW w:w="131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等线" w:eastAsia="仿宋_GB2312" w:cs="仿宋_GB2312"/>
                <w:b/>
                <w:bCs/>
                <w:i w:val="0"/>
                <w:iCs w:val="0"/>
                <w:color w:val="000000"/>
                <w:sz w:val="22"/>
                <w:szCs w:val="22"/>
                <w:highlight w:val="none"/>
                <w:u w:val="none"/>
              </w:rPr>
            </w:pPr>
          </w:p>
        </w:tc>
        <w:tc>
          <w:tcPr>
            <w:tcW w:w="660"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等线" w:eastAsia="仿宋_GB2312" w:cs="仿宋_GB2312"/>
                <w:b/>
                <w:bCs/>
                <w:i w:val="0"/>
                <w:iCs w:val="0"/>
                <w:color w:val="000000"/>
                <w:sz w:val="22"/>
                <w:szCs w:val="22"/>
                <w:highlight w:val="none"/>
                <w:u w:val="none"/>
              </w:rPr>
            </w:pPr>
          </w:p>
        </w:tc>
        <w:tc>
          <w:tcPr>
            <w:tcW w:w="37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群众满意度</w:t>
            </w:r>
          </w:p>
        </w:tc>
        <w:tc>
          <w:tcPr>
            <w:tcW w:w="71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0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等线" w:eastAsia="仿宋_GB2312" w:cs="仿宋_GB2312"/>
                <w:b/>
                <w:bCs/>
                <w:i w:val="0"/>
                <w:iCs w:val="0"/>
                <w:color w:val="000000"/>
                <w:sz w:val="22"/>
                <w:szCs w:val="22"/>
                <w:highlight w:val="none"/>
                <w:u w:val="none"/>
              </w:rPr>
            </w:pPr>
            <w:r>
              <w:rPr>
                <w:rFonts w:hint="eastAsia" w:ascii="仿宋_GB2312" w:hAnsi="宋体" w:eastAsia="仿宋_GB2312" w:cs="仿宋_GB2312"/>
                <w:b/>
                <w:bCs/>
                <w:i w:val="0"/>
                <w:iCs w:val="0"/>
                <w:color w:val="000000"/>
                <w:kern w:val="0"/>
                <w:sz w:val="22"/>
                <w:szCs w:val="22"/>
                <w:u w:val="none"/>
                <w:lang w:val="en-US" w:eastAsia="zh-CN" w:bidi="ar"/>
              </w:rPr>
              <w:t>合计</w:t>
            </w:r>
          </w:p>
        </w:tc>
        <w:tc>
          <w:tcPr>
            <w:tcW w:w="10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等线" w:eastAsia="仿宋_GB2312" w:cs="仿宋_GB2312"/>
                <w:b/>
                <w:bCs/>
                <w:i w:val="0"/>
                <w:iCs w:val="0"/>
                <w:color w:val="000000"/>
                <w:sz w:val="22"/>
                <w:szCs w:val="22"/>
                <w:highlight w:val="none"/>
                <w:u w:val="none"/>
              </w:rPr>
            </w:pPr>
            <w:r>
              <w:rPr>
                <w:rFonts w:hint="eastAsia" w:ascii="仿宋_GB2312" w:hAnsi="宋体" w:eastAsia="仿宋_GB2312" w:cs="仿宋_GB2312"/>
                <w:b/>
                <w:bCs/>
                <w:i w:val="0"/>
                <w:iCs w:val="0"/>
                <w:color w:val="000000"/>
                <w:kern w:val="0"/>
                <w:sz w:val="22"/>
                <w:szCs w:val="22"/>
                <w:u w:val="none"/>
                <w:lang w:val="en-US" w:eastAsia="zh-CN" w:bidi="ar"/>
              </w:rPr>
              <w:t>100</w:t>
            </w:r>
          </w:p>
        </w:tc>
        <w:tc>
          <w:tcPr>
            <w:tcW w:w="131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等线" w:eastAsia="仿宋_GB2312" w:cs="仿宋_GB2312"/>
                <w:b/>
                <w:bCs/>
                <w:i w:val="0"/>
                <w:iCs w:val="0"/>
                <w:color w:val="000000"/>
                <w:sz w:val="22"/>
                <w:szCs w:val="22"/>
                <w:highlight w:val="none"/>
                <w:u w:val="none"/>
              </w:rPr>
            </w:pPr>
            <w:r>
              <w:rPr>
                <w:rFonts w:hint="eastAsia" w:ascii="仿宋_GB2312" w:hAnsi="宋体" w:eastAsia="仿宋_GB2312" w:cs="仿宋_GB2312"/>
                <w:b/>
                <w:bCs/>
                <w:i w:val="0"/>
                <w:iCs w:val="0"/>
                <w:color w:val="000000"/>
                <w:kern w:val="0"/>
                <w:sz w:val="22"/>
                <w:szCs w:val="22"/>
                <w:u w:val="none"/>
                <w:lang w:val="en-US" w:eastAsia="zh-CN" w:bidi="ar"/>
              </w:rPr>
              <w:t>-</w:t>
            </w:r>
          </w:p>
        </w:tc>
        <w:tc>
          <w:tcPr>
            <w:tcW w:w="6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等线" w:eastAsia="仿宋_GB2312" w:cs="仿宋_GB2312"/>
                <w:b/>
                <w:bCs/>
                <w:i w:val="0"/>
                <w:iCs w:val="0"/>
                <w:color w:val="000000"/>
                <w:sz w:val="22"/>
                <w:szCs w:val="22"/>
                <w:highlight w:val="none"/>
                <w:u w:val="none"/>
              </w:rPr>
            </w:pPr>
            <w:r>
              <w:rPr>
                <w:rFonts w:hint="eastAsia" w:ascii="仿宋_GB2312" w:hAnsi="宋体" w:eastAsia="仿宋_GB2312" w:cs="仿宋_GB2312"/>
                <w:b/>
                <w:bCs/>
                <w:i w:val="0"/>
                <w:iCs w:val="0"/>
                <w:color w:val="000000"/>
                <w:kern w:val="0"/>
                <w:sz w:val="22"/>
                <w:szCs w:val="22"/>
                <w:u w:val="none"/>
                <w:lang w:val="en-US" w:eastAsia="zh-CN" w:bidi="ar"/>
              </w:rPr>
              <w:t>100</w:t>
            </w:r>
          </w:p>
        </w:tc>
        <w:tc>
          <w:tcPr>
            <w:tcW w:w="37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b/>
                <w:bCs/>
                <w:i w:val="0"/>
                <w:iCs w:val="0"/>
                <w:color w:val="000000"/>
                <w:kern w:val="0"/>
                <w:sz w:val="22"/>
                <w:szCs w:val="22"/>
                <w:u w:val="none"/>
                <w:lang w:val="en-US" w:eastAsia="zh-CN" w:bidi="ar"/>
              </w:rPr>
              <w:t>-</w:t>
            </w:r>
          </w:p>
        </w:tc>
        <w:tc>
          <w:tcPr>
            <w:tcW w:w="71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b/>
                <w:bCs/>
                <w:i w:val="0"/>
                <w:iCs w:val="0"/>
                <w:color w:val="000000"/>
                <w:kern w:val="0"/>
                <w:sz w:val="22"/>
                <w:szCs w:val="22"/>
                <w:u w:val="none"/>
                <w:lang w:val="en-US" w:eastAsia="zh-CN" w:bidi="ar"/>
              </w:rPr>
              <w:t>100</w:t>
            </w:r>
          </w:p>
        </w:tc>
      </w:tr>
    </w:tbl>
    <w:p>
      <w:pPr>
        <w:keepNext w:val="0"/>
        <w:keepLines w:val="0"/>
        <w:pageBreakBefore w:val="0"/>
        <w:widowControl w:val="0"/>
        <w:kinsoku/>
        <w:wordWrap/>
        <w:overflowPunct/>
        <w:topLinePunct w:val="0"/>
        <w:autoSpaceDE/>
        <w:autoSpaceDN/>
        <w:bidi w:val="0"/>
        <w:adjustRightInd/>
        <w:snapToGrid/>
        <w:spacing w:beforeLines="0" w:line="320" w:lineRule="exact"/>
        <w:ind w:firstLine="640" w:firstLineChars="200"/>
        <w:jc w:val="both"/>
        <w:textAlignment w:val="auto"/>
        <w:outlineLvl w:val="9"/>
        <w:rPr>
          <w:rFonts w:hint="eastAsia" w:ascii="Times New Roman" w:hAnsi="Times New Roman" w:eastAsia="楷体_GB2312" w:cs="Times New Roman"/>
          <w:b w:val="0"/>
          <w:bCs/>
          <w:kern w:val="2"/>
          <w:sz w:val="32"/>
          <w:szCs w:val="24"/>
          <w:lang w:val="en-US" w:eastAsia="zh-CN" w:bidi="ar-SA"/>
        </w:rPr>
      </w:pPr>
    </w:p>
    <w:p>
      <w:pPr>
        <w:spacing w:beforeLines="0" w:line="560" w:lineRule="exact"/>
        <w:ind w:firstLine="640" w:firstLineChars="200"/>
        <w:jc w:val="both"/>
        <w:outlineLvl w:val="1"/>
        <w:rPr>
          <w:rFonts w:hint="eastAsia" w:ascii="仿宋_GB2312" w:hAnsi="Times New Roman" w:eastAsia="仿宋_GB2312" w:cs="Times New Roman"/>
          <w:sz w:val="32"/>
          <w:szCs w:val="32"/>
          <w:lang w:val="en-US" w:eastAsia="zh-CN"/>
        </w:rPr>
      </w:pPr>
      <w:bookmarkStart w:id="110" w:name="_Toc32173"/>
      <w:bookmarkStart w:id="111" w:name="_Toc18231"/>
      <w:bookmarkStart w:id="112" w:name="_Toc17611"/>
      <w:bookmarkStart w:id="113" w:name="_Toc23466"/>
      <w:r>
        <w:rPr>
          <w:rFonts w:hint="eastAsia" w:ascii="仿宋_GB2312" w:hAnsi="Times New Roman" w:eastAsia="仿宋_GB2312" w:cs="Times New Roman"/>
          <w:sz w:val="32"/>
          <w:szCs w:val="32"/>
          <w:lang w:val="en-US" w:eastAsia="zh-CN"/>
        </w:rPr>
        <w:t>3.绩效评价方法和标准</w:t>
      </w:r>
      <w:bookmarkEnd w:id="110"/>
      <w:bookmarkEnd w:id="111"/>
      <w:bookmarkEnd w:id="112"/>
      <w:bookmarkEnd w:id="113"/>
    </w:p>
    <w:p>
      <w:pPr>
        <w:keepNext w:val="0"/>
        <w:keepLines w:val="0"/>
        <w:pageBreakBefore w:val="0"/>
        <w:widowControl w:val="0"/>
        <w:kinsoku/>
        <w:wordWrap/>
        <w:overflowPunct/>
        <w:topLinePunct w:val="0"/>
        <w:autoSpaceDE/>
        <w:autoSpaceDN/>
        <w:bidi w:val="0"/>
        <w:adjustRightInd/>
        <w:snapToGrid/>
        <w:spacing w:beforeLines="0" w:line="560" w:lineRule="exact"/>
        <w:ind w:firstLine="640" w:firstLineChars="200"/>
        <w:jc w:val="both"/>
        <w:textAlignment w:val="auto"/>
        <w:outlineLvl w:val="9"/>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sz w:val="32"/>
          <w:szCs w:val="32"/>
          <w:highlight w:val="none"/>
        </w:rPr>
        <w:t>评价小组主要采用线下与线上相结合的方式，结合</w:t>
      </w:r>
      <w:r>
        <w:rPr>
          <w:rFonts w:hint="eastAsia" w:ascii="仿宋_GB2312" w:hAnsi="仿宋_GB2312" w:eastAsia="仿宋_GB2312" w:cs="仿宋_GB2312"/>
          <w:sz w:val="32"/>
          <w:szCs w:val="32"/>
          <w:highlight w:val="none"/>
          <w:lang w:eastAsia="zh-CN"/>
        </w:rPr>
        <w:t>案卷</w:t>
      </w:r>
      <w:r>
        <w:rPr>
          <w:rFonts w:hint="eastAsia" w:ascii="仿宋_GB2312" w:hAnsi="仿宋_GB2312" w:eastAsia="仿宋_GB2312" w:cs="仿宋_GB2312"/>
          <w:sz w:val="32"/>
          <w:szCs w:val="32"/>
          <w:highlight w:val="none"/>
        </w:rPr>
        <w:t>研究、对比分析、访谈和调查等方法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按照历史和计划标准，</w:t>
      </w:r>
      <w:r>
        <w:rPr>
          <w:rFonts w:hint="eastAsia" w:ascii="仿宋_GB2312" w:hAnsi="仿宋_GB2312" w:eastAsia="仿宋_GB2312" w:cs="仿宋_GB2312"/>
          <w:sz w:val="32"/>
          <w:szCs w:val="32"/>
          <w:highlight w:val="none"/>
        </w:rPr>
        <w:t>开展本次部门评价工作。评价小组通过查阅本项目序时账、支付令和付款凭证等财务资料，核查项目资金使用情况；通过复核项目立项文件、合同、会计凭证、交付成果、相关会议纪要</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验收报告</w:t>
      </w:r>
      <w:r>
        <w:rPr>
          <w:rFonts w:hint="eastAsia" w:ascii="仿宋_GB2312" w:hAnsi="仿宋_GB2312" w:eastAsia="仿宋_GB2312" w:cs="仿宋_GB2312"/>
          <w:sz w:val="32"/>
          <w:szCs w:val="32"/>
          <w:highlight w:val="none"/>
        </w:rPr>
        <w:t>等资料的完整性、合理性、效益性等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以佐证业务实际管理</w:t>
      </w:r>
      <w:r>
        <w:rPr>
          <w:rFonts w:hint="eastAsia" w:ascii="仿宋_GB2312" w:hAnsi="仿宋_GB2312" w:eastAsia="仿宋_GB2312" w:cs="仿宋_GB2312"/>
          <w:sz w:val="32"/>
          <w:szCs w:val="32"/>
          <w:highlight w:val="none"/>
          <w:lang w:val="en-US" w:eastAsia="zh-CN"/>
        </w:rPr>
        <w:t>和绩效</w:t>
      </w:r>
      <w:r>
        <w:rPr>
          <w:rFonts w:hint="eastAsia" w:ascii="仿宋_GB2312" w:hAnsi="仿宋_GB2312" w:eastAsia="仿宋_GB2312" w:cs="仿宋_GB2312"/>
          <w:sz w:val="32"/>
          <w:szCs w:val="32"/>
          <w:highlight w:val="none"/>
        </w:rPr>
        <w:t>水平</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通过对资料进行汇总、统计和对比分析，得出初步结论，经征求</w:t>
      </w:r>
      <w:r>
        <w:rPr>
          <w:rFonts w:hint="eastAsia" w:ascii="仿宋_GB2312" w:hAnsi="仿宋_GB2312" w:eastAsia="仿宋_GB2312" w:cs="仿宋_GB2312"/>
          <w:sz w:val="32"/>
          <w:szCs w:val="32"/>
          <w:highlight w:val="none"/>
          <w:lang w:val="en-US" w:eastAsia="zh-CN"/>
        </w:rPr>
        <w:t>单位</w:t>
      </w:r>
      <w:r>
        <w:rPr>
          <w:rFonts w:hint="eastAsia" w:ascii="仿宋_GB2312" w:hAnsi="仿宋_GB2312" w:eastAsia="仿宋_GB2312" w:cs="仿宋_GB2312"/>
          <w:sz w:val="32"/>
          <w:szCs w:val="32"/>
          <w:highlight w:val="none"/>
        </w:rPr>
        <w:t>意见后，得出最终评价结果。</w:t>
      </w:r>
      <w:r>
        <w:rPr>
          <w:rFonts w:hint="eastAsia" w:ascii="仿宋_GB2312" w:hAnsi="仿宋_GB2312" w:eastAsia="仿宋_GB2312" w:cs="仿宋_GB2312"/>
          <w:bCs/>
          <w:sz w:val="32"/>
          <w:szCs w:val="32"/>
          <w:highlight w:val="none"/>
          <w:lang w:val="en-US" w:eastAsia="zh-CN"/>
        </w:rPr>
        <w:t xml:space="preserve"> </w:t>
      </w:r>
    </w:p>
    <w:p>
      <w:pPr>
        <w:spacing w:beforeLines="0" w:line="560" w:lineRule="exact"/>
        <w:ind w:firstLine="640" w:firstLineChars="200"/>
        <w:jc w:val="both"/>
        <w:outlineLvl w:val="1"/>
        <w:rPr>
          <w:rFonts w:hint="eastAsia" w:ascii="Times New Roman" w:hAnsi="Times New Roman" w:eastAsia="楷体_GB2312" w:cs="Times New Roman"/>
          <w:b w:val="0"/>
          <w:bCs/>
          <w:kern w:val="2"/>
          <w:sz w:val="32"/>
          <w:szCs w:val="24"/>
          <w:lang w:val="en-US" w:eastAsia="zh-CN" w:bidi="ar-SA"/>
        </w:rPr>
      </w:pPr>
      <w:r>
        <w:rPr>
          <w:rFonts w:hint="eastAsia" w:ascii="Times New Roman" w:hAnsi="Times New Roman" w:eastAsia="楷体_GB2312" w:cs="Times New Roman"/>
          <w:b w:val="0"/>
          <w:bCs/>
          <w:kern w:val="2"/>
          <w:sz w:val="32"/>
          <w:szCs w:val="24"/>
          <w:lang w:val="en-US" w:eastAsia="zh-CN" w:bidi="ar-SA"/>
        </w:rPr>
        <w:t>（三）绩效评价工作流程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Cs/>
          <w:sz w:val="32"/>
          <w:szCs w:val="32"/>
          <w:highlight w:val="none"/>
          <w:lang w:val="en-US" w:eastAsia="zh-CN"/>
        </w:rPr>
      </w:pPr>
      <w:r>
        <w:rPr>
          <w:rFonts w:hint="eastAsia" w:ascii="仿宋_GB2312" w:hAnsi="仿宋_GB2312" w:eastAsia="仿宋_GB2312" w:cs="仿宋_GB2312"/>
          <w:sz w:val="32"/>
          <w:szCs w:val="32"/>
          <w:highlight w:val="none"/>
          <w:lang w:val="en-US" w:eastAsia="zh-CN"/>
        </w:rPr>
        <w:t>评价小组通过前期了解，</w:t>
      </w:r>
      <w:r>
        <w:rPr>
          <w:rFonts w:hint="eastAsia" w:ascii="仿宋_GB2312" w:hAnsi="仿宋_GB2312" w:eastAsia="仿宋_GB2312" w:cs="仿宋_GB2312"/>
          <w:sz w:val="32"/>
          <w:szCs w:val="32"/>
          <w:highlight w:val="none"/>
        </w:rPr>
        <w:t>设计与下发资料清单；收集、梳理和分析相关资料</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并进行相关政策解读</w:t>
      </w:r>
      <w:r>
        <w:rPr>
          <w:rFonts w:hint="eastAsia" w:ascii="仿宋_GB2312" w:hAnsi="仿宋_GB2312" w:eastAsia="仿宋_GB2312" w:cs="仿宋_GB2312"/>
          <w:sz w:val="32"/>
          <w:szCs w:val="32"/>
          <w:highlight w:val="none"/>
        </w:rPr>
        <w:t>；初步设计绩效评价指标体系；开展访谈和问卷调查工作；根据项目实际结合单位意见修改绩效评价指标体系并逐项打分；根据评价情况撰写报告初稿，提交至单位审核；根据业务部门反馈意见及补充资料完善报告，形成报告定稿。</w:t>
      </w:r>
    </w:p>
    <w:p>
      <w:pPr>
        <w:pStyle w:val="2"/>
        <w:spacing w:beforeLines="0" w:line="560" w:lineRule="exact"/>
        <w:ind w:firstLine="640" w:firstLineChars="200"/>
        <w:jc w:val="both"/>
        <w:rPr>
          <w:rFonts w:ascii="Calibri" w:hAnsi="Calibri" w:eastAsia="黑体"/>
          <w:sz w:val="32"/>
          <w:szCs w:val="24"/>
        </w:rPr>
      </w:pPr>
      <w:bookmarkStart w:id="114" w:name="_Toc27754"/>
      <w:bookmarkStart w:id="115" w:name="_Toc31365"/>
      <w:bookmarkStart w:id="116" w:name="_Toc1355"/>
      <w:bookmarkStart w:id="117" w:name="_Toc5131"/>
      <w:bookmarkStart w:id="118" w:name="_Toc31926"/>
      <w:bookmarkStart w:id="119" w:name="_Toc27194"/>
      <w:bookmarkStart w:id="120" w:name="_Toc28108"/>
      <w:bookmarkStart w:id="121" w:name="_Toc31534"/>
      <w:bookmarkStart w:id="122" w:name="_Toc21137"/>
      <w:bookmarkStart w:id="123" w:name="_Toc1489"/>
      <w:bookmarkStart w:id="124" w:name="_Toc30701"/>
      <w:bookmarkStart w:id="125" w:name="_Toc21051"/>
      <w:r>
        <w:rPr>
          <w:rFonts w:hint="eastAsia" w:ascii="Calibri" w:hAnsi="Calibri" w:eastAsia="黑体"/>
          <w:sz w:val="32"/>
          <w:szCs w:val="24"/>
          <w:lang w:val="en-US" w:eastAsia="zh-CN"/>
        </w:rPr>
        <w:t>三</w:t>
      </w:r>
      <w:r>
        <w:rPr>
          <w:rFonts w:hint="eastAsia" w:ascii="Calibri" w:hAnsi="Calibri" w:eastAsia="黑体"/>
          <w:sz w:val="32"/>
          <w:szCs w:val="24"/>
        </w:rPr>
        <w:t>、综合评价情况及评价结论</w:t>
      </w:r>
      <w:bookmarkEnd w:id="114"/>
      <w:bookmarkEnd w:id="115"/>
      <w:bookmarkEnd w:id="116"/>
      <w:bookmarkEnd w:id="117"/>
    </w:p>
    <w:p>
      <w:pPr>
        <w:keepNext w:val="0"/>
        <w:keepLines w:val="0"/>
        <w:pageBreakBefore w:val="0"/>
        <w:widowControl w:val="0"/>
        <w:kinsoku/>
        <w:wordWrap/>
        <w:overflowPunct/>
        <w:topLinePunct w:val="0"/>
        <w:autoSpaceDE/>
        <w:autoSpaceDN/>
        <w:bidi w:val="0"/>
        <w:adjustRightInd w:val="0"/>
        <w:snapToGrid w:val="0"/>
        <w:spacing w:beforeLines="0" w:after="0" w:afterAutospacing="0" w:line="560" w:lineRule="exact"/>
        <w:ind w:firstLine="640" w:firstLineChars="200"/>
        <w:jc w:val="both"/>
        <w:textAlignment w:val="auto"/>
        <w:rPr>
          <w:rFonts w:hint="eastAsia" w:ascii="仿宋_GB2312" w:eastAsia="仿宋_GB2312" w:cs="Times New Roman"/>
          <w:sz w:val="32"/>
          <w:szCs w:val="32"/>
          <w:lang w:val="en-US" w:eastAsia="zh-CN"/>
        </w:rPr>
      </w:pPr>
      <w:r>
        <w:rPr>
          <w:rFonts w:hint="eastAsia" w:ascii="仿宋_GB2312" w:eastAsia="仿宋_GB2312" w:cs="Times New Roman"/>
          <w:sz w:val="32"/>
          <w:szCs w:val="32"/>
        </w:rPr>
        <w:t>本次项目绩效自评的总得分为</w:t>
      </w:r>
      <w:r>
        <w:rPr>
          <w:rFonts w:hint="eastAsia" w:ascii="仿宋_GB2312" w:eastAsia="仿宋_GB2312" w:cs="Times New Roman"/>
          <w:sz w:val="32"/>
          <w:szCs w:val="32"/>
          <w:lang w:val="en-US" w:eastAsia="zh-CN"/>
        </w:rPr>
        <w:t>96.42</w:t>
      </w:r>
      <w:r>
        <w:rPr>
          <w:rFonts w:hint="eastAsia" w:ascii="仿宋_GB2312" w:eastAsia="仿宋_GB2312" w:cs="Times New Roman"/>
          <w:sz w:val="32"/>
          <w:szCs w:val="32"/>
        </w:rPr>
        <w:t>分，属于“</w:t>
      </w:r>
      <w:r>
        <w:rPr>
          <w:rFonts w:hint="eastAsia" w:ascii="仿宋_GB2312" w:eastAsia="仿宋_GB2312" w:cs="Times New Roman"/>
          <w:sz w:val="32"/>
          <w:szCs w:val="32"/>
          <w:lang w:val="en-US" w:eastAsia="zh-CN"/>
        </w:rPr>
        <w:t>优</w:t>
      </w:r>
      <w:r>
        <w:rPr>
          <w:rStyle w:val="24"/>
          <w:rFonts w:hint="eastAsia" w:ascii="仿宋_GB2312" w:eastAsia="仿宋_GB2312" w:cs="Times New Roman"/>
          <w:sz w:val="32"/>
          <w:szCs w:val="32"/>
          <w:lang w:val="en-US" w:eastAsia="zh-CN"/>
        </w:rPr>
        <w:footnoteReference w:id="1"/>
      </w:r>
      <w:r>
        <w:rPr>
          <w:rFonts w:hint="eastAsia" w:ascii="仿宋_GB2312" w:eastAsia="仿宋_GB2312" w:cs="Times New Roman"/>
          <w:sz w:val="32"/>
          <w:szCs w:val="32"/>
        </w:rPr>
        <w:t>”。其中项目决策指标权重2</w:t>
      </w:r>
      <w:r>
        <w:rPr>
          <w:rFonts w:hint="eastAsia" w:ascii="仿宋_GB2312" w:eastAsia="仿宋_GB2312" w:cs="Times New Roman"/>
          <w:sz w:val="32"/>
          <w:szCs w:val="32"/>
          <w:lang w:val="en-US" w:eastAsia="zh-CN"/>
        </w:rPr>
        <w:t>0</w:t>
      </w:r>
      <w:r>
        <w:rPr>
          <w:rFonts w:hint="eastAsia" w:ascii="仿宋_GB2312" w:eastAsia="仿宋_GB2312" w:cs="Times New Roman"/>
          <w:sz w:val="32"/>
          <w:szCs w:val="32"/>
        </w:rPr>
        <w:t>分，得</w:t>
      </w:r>
      <w:r>
        <w:rPr>
          <w:rFonts w:hint="eastAsia" w:ascii="仿宋_GB2312" w:eastAsia="仿宋_GB2312" w:cs="Times New Roman"/>
          <w:sz w:val="32"/>
          <w:szCs w:val="32"/>
          <w:lang w:val="en-US" w:eastAsia="zh-CN"/>
        </w:rPr>
        <w:t>20</w:t>
      </w:r>
      <w:r>
        <w:rPr>
          <w:rFonts w:hint="eastAsia" w:ascii="仿宋_GB2312" w:eastAsia="仿宋_GB2312" w:cs="Times New Roman"/>
          <w:sz w:val="32"/>
          <w:szCs w:val="32"/>
        </w:rPr>
        <w:t>分；项目</w:t>
      </w:r>
      <w:r>
        <w:rPr>
          <w:rFonts w:hint="eastAsia" w:ascii="仿宋_GB2312" w:eastAsia="仿宋_GB2312" w:cs="Times New Roman"/>
          <w:sz w:val="32"/>
          <w:szCs w:val="32"/>
          <w:lang w:val="en-US" w:eastAsia="zh-CN"/>
        </w:rPr>
        <w:t>过程</w:t>
      </w:r>
      <w:r>
        <w:rPr>
          <w:rFonts w:hint="eastAsia" w:ascii="仿宋_GB2312" w:eastAsia="仿宋_GB2312" w:cs="Times New Roman"/>
          <w:sz w:val="32"/>
          <w:szCs w:val="32"/>
        </w:rPr>
        <w:t>指标权重</w:t>
      </w:r>
      <w:r>
        <w:rPr>
          <w:rFonts w:hint="eastAsia" w:ascii="仿宋_GB2312" w:eastAsia="仿宋_GB2312" w:cs="Times New Roman"/>
          <w:sz w:val="32"/>
          <w:szCs w:val="32"/>
          <w:lang w:val="en-US" w:eastAsia="zh-CN"/>
        </w:rPr>
        <w:t>20</w:t>
      </w:r>
      <w:r>
        <w:rPr>
          <w:rFonts w:hint="eastAsia" w:ascii="仿宋_GB2312" w:eastAsia="仿宋_GB2312" w:cs="Times New Roman"/>
          <w:sz w:val="32"/>
          <w:szCs w:val="32"/>
        </w:rPr>
        <w:t>分，得</w:t>
      </w:r>
      <w:r>
        <w:rPr>
          <w:rFonts w:hint="eastAsia" w:ascii="仿宋_GB2312" w:eastAsia="仿宋_GB2312" w:cs="Times New Roman"/>
          <w:sz w:val="32"/>
          <w:szCs w:val="32"/>
          <w:lang w:val="en-US" w:eastAsia="zh-CN"/>
        </w:rPr>
        <w:t>20</w:t>
      </w:r>
      <w:r>
        <w:rPr>
          <w:rFonts w:hint="eastAsia" w:ascii="仿宋_GB2312" w:eastAsia="仿宋_GB2312" w:cs="Times New Roman"/>
          <w:sz w:val="32"/>
          <w:szCs w:val="32"/>
        </w:rPr>
        <w:t>分；项目绩效指标权重</w:t>
      </w:r>
      <w:r>
        <w:rPr>
          <w:rFonts w:hint="eastAsia" w:ascii="仿宋_GB2312" w:eastAsia="仿宋_GB2312" w:cs="Times New Roman"/>
          <w:sz w:val="32"/>
          <w:szCs w:val="32"/>
          <w:lang w:val="en-US" w:eastAsia="zh-CN"/>
        </w:rPr>
        <w:t>60</w:t>
      </w:r>
      <w:r>
        <w:rPr>
          <w:rFonts w:hint="eastAsia" w:ascii="仿宋_GB2312" w:eastAsia="仿宋_GB2312" w:cs="Times New Roman"/>
          <w:sz w:val="32"/>
          <w:szCs w:val="32"/>
        </w:rPr>
        <w:t>分，得</w:t>
      </w:r>
      <w:r>
        <w:rPr>
          <w:rFonts w:hint="eastAsia" w:ascii="仿宋_GB2312" w:eastAsia="仿宋_GB2312" w:cs="Times New Roman"/>
          <w:sz w:val="32"/>
          <w:szCs w:val="32"/>
          <w:lang w:val="en-US" w:eastAsia="zh-CN"/>
        </w:rPr>
        <w:t>56.42</w:t>
      </w:r>
      <w:r>
        <w:rPr>
          <w:rFonts w:hint="eastAsia" w:ascii="仿宋_GB2312" w:eastAsia="仿宋_GB2312" w:cs="Times New Roman"/>
          <w:sz w:val="32"/>
          <w:szCs w:val="32"/>
        </w:rPr>
        <w:t>分。具体各指标得分情况如下</w:t>
      </w:r>
      <w:r>
        <w:rPr>
          <w:rFonts w:hint="eastAsia" w:ascii="仿宋_GB2312" w:eastAsia="仿宋_GB2312" w:cs="Times New Roman"/>
          <w:sz w:val="32"/>
          <w:szCs w:val="32"/>
          <w:lang w:val="en-US" w:eastAsia="zh-CN"/>
        </w:rPr>
        <w:t>表3</w:t>
      </w:r>
      <w:bookmarkStart w:id="126" w:name="_Toc25740_WPSOffice_Level2"/>
      <w:bookmarkStart w:id="127" w:name="_Toc15950_WPSOffice_Level2"/>
      <w:bookmarkStart w:id="128" w:name="_Toc29615_WPSOffice_Level2"/>
      <w:bookmarkStart w:id="129" w:name="_Toc20372_WPSOffice_Level2"/>
      <w:r>
        <w:rPr>
          <w:rFonts w:hint="eastAsia" w:ascii="仿宋_GB2312"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beforeLines="0" w:after="0" w:afterAutospacing="0" w:line="560" w:lineRule="exact"/>
        <w:ind w:firstLine="560" w:firstLineChars="200"/>
        <w:jc w:val="center"/>
        <w:textAlignment w:val="auto"/>
        <w:rPr>
          <w:rFonts w:hint="eastAsia" w:ascii="黑体" w:hAnsi="黑体" w:eastAsia="黑体" w:cs="黑体"/>
          <w:sz w:val="28"/>
          <w:szCs w:val="28"/>
        </w:rPr>
      </w:pPr>
      <w:r>
        <w:rPr>
          <w:rFonts w:hint="eastAsia" w:ascii="黑体" w:hAnsi="黑体" w:eastAsia="黑体" w:cs="黑体"/>
          <w:sz w:val="28"/>
          <w:szCs w:val="28"/>
        </w:rPr>
        <w:t>表</w:t>
      </w:r>
      <w:r>
        <w:rPr>
          <w:rFonts w:hint="eastAsia" w:ascii="黑体" w:hAnsi="黑体" w:eastAsia="黑体" w:cs="黑体"/>
          <w:sz w:val="28"/>
          <w:szCs w:val="28"/>
          <w:lang w:val="en-US" w:eastAsia="zh-CN"/>
        </w:rPr>
        <w:t>3</w:t>
      </w:r>
      <w:r>
        <w:rPr>
          <w:rFonts w:hint="eastAsia" w:ascii="黑体" w:hAnsi="黑体" w:eastAsia="黑体" w:cs="黑体"/>
          <w:sz w:val="28"/>
          <w:szCs w:val="28"/>
        </w:rPr>
        <w:t xml:space="preserve"> </w:t>
      </w:r>
      <w:bookmarkEnd w:id="126"/>
      <w:bookmarkEnd w:id="127"/>
      <w:bookmarkEnd w:id="128"/>
      <w:bookmarkEnd w:id="129"/>
      <w:r>
        <w:rPr>
          <w:rFonts w:ascii="黑体" w:hAnsi="黑体" w:eastAsia="黑体" w:cs="黑体"/>
          <w:spacing w:val="-2"/>
          <w:sz w:val="28"/>
          <w:szCs w:val="28"/>
        </w:rPr>
        <w:t>项目绩效评价体系得分表</w:t>
      </w:r>
    </w:p>
    <w:tbl>
      <w:tblPr>
        <w:tblStyle w:val="18"/>
        <w:tblW w:w="85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222"/>
        <w:gridCol w:w="2460"/>
        <w:gridCol w:w="739"/>
        <w:gridCol w:w="1246"/>
        <w:gridCol w:w="1157"/>
        <w:gridCol w:w="7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95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b/>
                <w:bCs/>
                <w:color w:val="000000"/>
                <w:kern w:val="0"/>
                <w:sz w:val="22"/>
                <w:szCs w:val="22"/>
              </w:rPr>
            </w:pPr>
            <w:r>
              <w:rPr>
                <w:rFonts w:hint="eastAsia" w:ascii="仿宋_GB2312" w:hAnsi="仿宋_GB2312" w:eastAsia="仿宋_GB2312" w:cs="仿宋_GB2312"/>
                <w:b/>
                <w:bCs/>
                <w:i w:val="0"/>
                <w:iCs w:val="0"/>
                <w:color w:val="000000"/>
                <w:kern w:val="0"/>
                <w:sz w:val="22"/>
                <w:szCs w:val="22"/>
                <w:u w:val="none"/>
                <w:lang w:val="en-US" w:eastAsia="zh-CN" w:bidi="ar"/>
              </w:rPr>
              <w:t>一级指标</w:t>
            </w:r>
          </w:p>
        </w:tc>
        <w:tc>
          <w:tcPr>
            <w:tcW w:w="1222"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b/>
                <w:bCs/>
                <w:color w:val="000000"/>
                <w:kern w:val="0"/>
                <w:sz w:val="22"/>
                <w:szCs w:val="22"/>
              </w:rPr>
            </w:pPr>
            <w:r>
              <w:rPr>
                <w:rFonts w:hint="eastAsia" w:ascii="仿宋_GB2312" w:hAnsi="仿宋_GB2312" w:eastAsia="仿宋_GB2312" w:cs="仿宋_GB2312"/>
                <w:b/>
                <w:bCs/>
                <w:i w:val="0"/>
                <w:iCs w:val="0"/>
                <w:color w:val="000000"/>
                <w:kern w:val="0"/>
                <w:sz w:val="22"/>
                <w:szCs w:val="22"/>
                <w:u w:val="none"/>
                <w:lang w:val="en-US" w:eastAsia="zh-CN" w:bidi="ar"/>
              </w:rPr>
              <w:t>二级指标</w:t>
            </w: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b/>
                <w:bCs/>
                <w:color w:val="000000"/>
                <w:kern w:val="0"/>
                <w:sz w:val="22"/>
                <w:szCs w:val="22"/>
              </w:rPr>
            </w:pPr>
            <w:r>
              <w:rPr>
                <w:rFonts w:hint="eastAsia" w:ascii="仿宋_GB2312" w:hAnsi="仿宋_GB2312" w:eastAsia="仿宋_GB2312" w:cs="仿宋_GB2312"/>
                <w:b/>
                <w:bCs/>
                <w:i w:val="0"/>
                <w:iCs w:val="0"/>
                <w:color w:val="000000"/>
                <w:kern w:val="0"/>
                <w:sz w:val="22"/>
                <w:szCs w:val="22"/>
                <w:u w:val="none"/>
                <w:lang w:val="en-US" w:eastAsia="zh-CN" w:bidi="ar"/>
              </w:rPr>
              <w:t>三级指标</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b/>
                <w:bCs/>
                <w:color w:val="000000"/>
                <w:kern w:val="0"/>
                <w:sz w:val="22"/>
                <w:szCs w:val="22"/>
              </w:rPr>
            </w:pPr>
            <w:r>
              <w:rPr>
                <w:rFonts w:hint="eastAsia" w:ascii="仿宋_GB2312" w:hAnsi="仿宋_GB2312" w:eastAsia="仿宋_GB2312" w:cs="仿宋_GB2312"/>
                <w:b/>
                <w:bCs/>
                <w:i w:val="0"/>
                <w:iCs w:val="0"/>
                <w:color w:val="000000"/>
                <w:kern w:val="0"/>
                <w:sz w:val="22"/>
                <w:szCs w:val="22"/>
                <w:u w:val="none"/>
                <w:lang w:val="en-US" w:eastAsia="zh-CN" w:bidi="ar"/>
              </w:rPr>
              <w:t>权重</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b/>
                <w:bCs/>
                <w:color w:val="000000"/>
                <w:kern w:val="0"/>
                <w:sz w:val="22"/>
                <w:szCs w:val="22"/>
              </w:rPr>
            </w:pPr>
            <w:r>
              <w:rPr>
                <w:rFonts w:hint="eastAsia" w:ascii="仿宋_GB2312" w:hAnsi="仿宋_GB2312" w:eastAsia="仿宋_GB2312" w:cs="仿宋_GB2312"/>
                <w:b/>
                <w:bCs/>
                <w:i w:val="0"/>
                <w:iCs w:val="0"/>
                <w:color w:val="000000"/>
                <w:kern w:val="0"/>
                <w:sz w:val="22"/>
                <w:szCs w:val="22"/>
                <w:u w:val="none"/>
                <w:lang w:val="en-US" w:eastAsia="zh-CN" w:bidi="ar"/>
              </w:rPr>
              <w:t>目标值</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b/>
                <w:bCs/>
                <w:color w:val="000000"/>
                <w:kern w:val="0"/>
                <w:sz w:val="22"/>
                <w:szCs w:val="22"/>
              </w:rPr>
            </w:pPr>
            <w:r>
              <w:rPr>
                <w:rFonts w:hint="eastAsia" w:ascii="仿宋_GB2312" w:hAnsi="仿宋_GB2312" w:eastAsia="仿宋_GB2312" w:cs="仿宋_GB2312"/>
                <w:b/>
                <w:bCs/>
                <w:i w:val="0"/>
                <w:iCs w:val="0"/>
                <w:color w:val="000000"/>
                <w:kern w:val="0"/>
                <w:sz w:val="22"/>
                <w:szCs w:val="22"/>
                <w:u w:val="none"/>
                <w:lang w:val="en-US" w:eastAsia="zh-CN" w:bidi="ar"/>
              </w:rPr>
              <w:t>业绩值</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b/>
                <w:bCs/>
                <w:color w:val="000000"/>
                <w:kern w:val="0"/>
                <w:sz w:val="22"/>
                <w:szCs w:val="22"/>
              </w:rPr>
            </w:pPr>
            <w:r>
              <w:rPr>
                <w:rFonts w:hint="eastAsia" w:ascii="仿宋_GB2312" w:hAnsi="仿宋_GB2312" w:eastAsia="仿宋_GB2312" w:cs="仿宋_GB2312"/>
                <w:b/>
                <w:bCs/>
                <w:i w:val="0"/>
                <w:iCs w:val="0"/>
                <w:color w:val="000000"/>
                <w:kern w:val="0"/>
                <w:sz w:val="22"/>
                <w:szCs w:val="22"/>
                <w:u w:val="none"/>
                <w:lang w:val="en-US" w:eastAsia="zh-CN" w:bidi="ar"/>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59"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项目</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决策</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color w:val="000000"/>
                <w:kern w:val="0"/>
                <w:sz w:val="22"/>
                <w:szCs w:val="22"/>
                <w:lang w:val="en-US"/>
              </w:rPr>
            </w:pPr>
            <w:r>
              <w:rPr>
                <w:rFonts w:hint="eastAsia" w:ascii="仿宋_GB2312" w:hAnsi="仿宋_GB2312" w:eastAsia="仿宋_GB2312" w:cs="仿宋_GB2312"/>
                <w:i w:val="0"/>
                <w:iCs w:val="0"/>
                <w:color w:val="000000"/>
                <w:kern w:val="0"/>
                <w:sz w:val="22"/>
                <w:szCs w:val="22"/>
                <w:u w:val="none"/>
                <w:lang w:val="en-US" w:eastAsia="zh-CN" w:bidi="ar"/>
              </w:rPr>
              <w:t>（20分）</w:t>
            </w:r>
          </w:p>
        </w:tc>
        <w:tc>
          <w:tcPr>
            <w:tcW w:w="1222"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项目立项</w:t>
            </w: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立项依据充分性</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3</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充分</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充分</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5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1222"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立项程序规范性</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3</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规范</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规范</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5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1222"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绩效目标</w:t>
            </w: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绩效目标合理性</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4</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合理</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合理</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5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1222"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绩效指标明确性</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4</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明确</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明确</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5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1222"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资金投入</w:t>
            </w: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预算编制科学性</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4</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科学</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科学</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5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1222"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资金分配合理性</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2</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合理</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合理</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59"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项目</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过程</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（20分）</w:t>
            </w:r>
          </w:p>
        </w:tc>
        <w:tc>
          <w:tcPr>
            <w:tcW w:w="1222"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资金管理</w:t>
            </w: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资金到位率</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2</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100%</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100%</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5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1222"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预算执行率</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4</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≥95%</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99.53%</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5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1222"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资金使用合规性</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4</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合规</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合规</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5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1222"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组织实施</w:t>
            </w: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管理制度健全性</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5</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健全</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健全</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5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1222"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制度执行有效性</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5</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有效</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有效</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59"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项目</w:t>
            </w:r>
          </w:p>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绩效（60分）</w:t>
            </w:r>
          </w:p>
        </w:tc>
        <w:tc>
          <w:tcPr>
            <w:tcW w:w="1222"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产出数量</w:t>
            </w: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查违综合防控安保人员数量</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7</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≥29人</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29人</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5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1222"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设备配置完成率</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6</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100%</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100%</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1222"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产出质量</w:t>
            </w: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000000"/>
                <w:kern w:val="0"/>
                <w:sz w:val="22"/>
                <w:szCs w:val="22"/>
                <w:highlight w:val="none"/>
                <w:u w:val="none"/>
                <w:lang w:val="en-US" w:eastAsia="zh-CN" w:bidi="ar"/>
              </w:rPr>
              <w:t>查违综合防控服务考核达标率</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highlight w:val="none"/>
                <w:u w:val="none"/>
                <w:lang w:val="en" w:eastAsia="zh-CN" w:bidi="ar"/>
              </w:rPr>
            </w:pPr>
            <w:r>
              <w:rPr>
                <w:rFonts w:hint="eastAsia" w:ascii="仿宋_GB2312" w:hAnsi="仿宋_GB2312" w:eastAsia="仿宋_GB2312" w:cs="仿宋_GB2312"/>
                <w:i w:val="0"/>
                <w:iCs w:val="0"/>
                <w:color w:val="000000"/>
                <w:kern w:val="0"/>
                <w:sz w:val="22"/>
                <w:szCs w:val="22"/>
                <w:highlight w:val="none"/>
                <w:u w:val="none"/>
                <w:lang w:val="en-US" w:eastAsia="zh-CN" w:bidi="ar"/>
              </w:rPr>
              <w:t>7</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000000"/>
                <w:kern w:val="0"/>
                <w:sz w:val="22"/>
                <w:szCs w:val="22"/>
                <w:highlight w:val="none"/>
                <w:u w:val="none"/>
                <w:lang w:val="en-US" w:eastAsia="zh-CN" w:bidi="ar"/>
              </w:rPr>
              <w:t>100%</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000000"/>
                <w:kern w:val="0"/>
                <w:sz w:val="22"/>
                <w:szCs w:val="22"/>
                <w:highlight w:val="none"/>
                <w:u w:val="none"/>
                <w:lang w:val="en-US" w:eastAsia="zh-CN" w:bidi="ar"/>
              </w:rPr>
              <w:t>91.67%</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kern w:val="0"/>
                <w:sz w:val="22"/>
                <w:szCs w:val="22"/>
                <w:highlight w:val="none"/>
                <w:u w:val="none"/>
                <w:lang w:val="en-US" w:eastAsia="zh-CN" w:bidi="ar"/>
              </w:rPr>
            </w:pPr>
            <w:r>
              <w:rPr>
                <w:rFonts w:hint="eastAsia" w:ascii="仿宋_GB2312" w:hAnsi="仿宋_GB2312" w:eastAsia="仿宋_GB2312" w:cs="仿宋_GB2312"/>
                <w:i w:val="0"/>
                <w:iCs w:val="0"/>
                <w:color w:val="000000"/>
                <w:kern w:val="0"/>
                <w:sz w:val="22"/>
                <w:szCs w:val="22"/>
                <w:highlight w:val="none"/>
                <w:u w:val="none"/>
                <w:lang w:val="en-US" w:eastAsia="zh-CN" w:bidi="ar"/>
              </w:rPr>
              <w:t>6.42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1222" w:type="dxa"/>
            <w:vMerge w:val="continue"/>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全年累计漏检次数</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6</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≤12次</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9次</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5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1222"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产出时效</w:t>
            </w: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巡查资料上报及时率</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 w:eastAsia="zh-CN" w:bidi="ar"/>
              </w:rPr>
            </w:pPr>
            <w:r>
              <w:rPr>
                <w:rFonts w:hint="eastAsia" w:ascii="仿宋_GB2312" w:hAnsi="仿宋_GB2312" w:eastAsia="仿宋_GB2312" w:cs="仿宋_GB2312"/>
                <w:i w:val="0"/>
                <w:iCs w:val="0"/>
                <w:color w:val="000000"/>
                <w:kern w:val="0"/>
                <w:sz w:val="22"/>
                <w:szCs w:val="22"/>
                <w:u w:val="none"/>
                <w:lang w:val="en-US" w:eastAsia="zh-CN" w:bidi="ar"/>
              </w:rPr>
              <w:t>6</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100%</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50%</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5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1222"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产出成本</w:t>
            </w: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成本控制率</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 w:eastAsia="zh-CN" w:bidi="ar"/>
              </w:rPr>
            </w:pPr>
            <w:r>
              <w:rPr>
                <w:rFonts w:hint="eastAsia" w:ascii="仿宋_GB2312" w:hAnsi="仿宋_GB2312" w:eastAsia="仿宋_GB2312" w:cs="仿宋_GB2312"/>
                <w:i w:val="0"/>
                <w:iCs w:val="0"/>
                <w:color w:val="000000"/>
                <w:kern w:val="0"/>
                <w:sz w:val="22"/>
                <w:szCs w:val="22"/>
                <w:u w:val="none"/>
                <w:lang w:val="en-US" w:eastAsia="zh-CN" w:bidi="ar"/>
              </w:rPr>
              <w:t>6</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90%—100%</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99.53%</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5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1222" w:type="dxa"/>
            <w:vMerge w:val="restar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项目效益</w:t>
            </w: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违建“零增量、减存量”目标达成率</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12</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100%</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100%</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5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1222"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lang w:eastAsia="zh-CN"/>
              </w:rPr>
            </w:pP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查违综合防控服务履约评价等级</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 w:eastAsia="zh-CN" w:bidi="ar"/>
              </w:rPr>
            </w:pPr>
            <w:r>
              <w:rPr>
                <w:rFonts w:hint="eastAsia" w:ascii="仿宋_GB2312" w:hAnsi="仿宋_GB2312" w:eastAsia="仿宋_GB2312" w:cs="仿宋_GB2312"/>
                <w:i w:val="0"/>
                <w:iCs w:val="0"/>
                <w:color w:val="000000"/>
                <w:kern w:val="0"/>
                <w:sz w:val="22"/>
                <w:szCs w:val="22"/>
                <w:u w:val="none"/>
                <w:lang w:val="en-US" w:eastAsia="zh-CN" w:bidi="ar"/>
              </w:rPr>
              <w:t>5</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合格及以上</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合格</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9"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rPr>
            </w:pPr>
          </w:p>
        </w:tc>
        <w:tc>
          <w:tcPr>
            <w:tcW w:w="1222"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仿宋_GB2312" w:hAnsi="仿宋_GB2312" w:eastAsia="仿宋_GB2312" w:cs="仿宋_GB2312"/>
                <w:color w:val="000000"/>
                <w:kern w:val="0"/>
                <w:sz w:val="22"/>
                <w:szCs w:val="22"/>
                <w:lang w:eastAsia="zh-CN"/>
              </w:rPr>
            </w:pPr>
          </w:p>
        </w:tc>
        <w:tc>
          <w:tcPr>
            <w:tcW w:w="246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群众满意度</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 w:eastAsia="zh-CN" w:bidi="ar"/>
              </w:rPr>
            </w:pPr>
            <w:r>
              <w:rPr>
                <w:rFonts w:hint="eastAsia" w:ascii="仿宋_GB2312" w:hAnsi="仿宋_GB2312" w:eastAsia="仿宋_GB2312" w:cs="仿宋_GB2312"/>
                <w:i w:val="0"/>
                <w:iCs w:val="0"/>
                <w:color w:val="000000"/>
                <w:kern w:val="0"/>
                <w:sz w:val="22"/>
                <w:szCs w:val="22"/>
                <w:u w:val="none"/>
                <w:lang w:val="en-US" w:eastAsia="zh-CN" w:bidi="ar"/>
              </w:rPr>
              <w:t>5</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≥90%</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95.88%</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4641" w:type="dxa"/>
            <w:gridSpan w:val="3"/>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b/>
                <w:bCs/>
                <w:i w:val="0"/>
                <w:iCs w:val="0"/>
                <w:color w:val="000000"/>
                <w:kern w:val="0"/>
                <w:sz w:val="22"/>
                <w:szCs w:val="22"/>
                <w:u w:val="none"/>
                <w:lang w:val="en-US" w:eastAsia="zh-CN" w:bidi="ar"/>
              </w:rPr>
              <w:t>合计</w:t>
            </w:r>
          </w:p>
        </w:tc>
        <w:tc>
          <w:tcPr>
            <w:tcW w:w="73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color w:val="000000"/>
                <w:kern w:val="0"/>
                <w:sz w:val="22"/>
                <w:szCs w:val="22"/>
                <w:lang w:eastAsia="zh-CN"/>
              </w:rPr>
            </w:pPr>
            <w:r>
              <w:rPr>
                <w:rFonts w:hint="eastAsia" w:ascii="仿宋_GB2312" w:hAnsi="仿宋_GB2312" w:eastAsia="仿宋_GB2312" w:cs="仿宋_GB2312"/>
                <w:b/>
                <w:bCs/>
                <w:i w:val="0"/>
                <w:iCs w:val="0"/>
                <w:color w:val="000000"/>
                <w:kern w:val="0"/>
                <w:sz w:val="22"/>
                <w:szCs w:val="22"/>
                <w:u w:val="none"/>
                <w:lang w:val="en-US" w:eastAsia="zh-CN" w:bidi="ar"/>
              </w:rPr>
              <w:t>100</w:t>
            </w:r>
          </w:p>
        </w:tc>
        <w:tc>
          <w:tcPr>
            <w:tcW w:w="12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b/>
                <w:bCs/>
                <w:i w:val="0"/>
                <w:iCs w:val="0"/>
                <w:color w:val="000000"/>
                <w:kern w:val="0"/>
                <w:sz w:val="22"/>
                <w:szCs w:val="22"/>
                <w:u w:val="none"/>
                <w:lang w:val="en-US" w:eastAsia="zh-CN" w:bidi="ar"/>
              </w:rPr>
              <w:t>——</w:t>
            </w:r>
          </w:p>
        </w:tc>
        <w:tc>
          <w:tcPr>
            <w:tcW w:w="1157"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b/>
                <w:bCs/>
                <w:i w:val="0"/>
                <w:iCs w:val="0"/>
                <w:color w:val="000000"/>
                <w:kern w:val="0"/>
                <w:sz w:val="22"/>
                <w:szCs w:val="22"/>
                <w:u w:val="none"/>
                <w:lang w:val="en-US" w:eastAsia="zh-CN" w:bidi="ar"/>
              </w:rPr>
              <w:t>——</w:t>
            </w:r>
          </w:p>
        </w:tc>
        <w:tc>
          <w:tcPr>
            <w:tcW w:w="78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b/>
                <w:bCs/>
                <w:i w:val="0"/>
                <w:iCs w:val="0"/>
                <w:color w:val="000000"/>
                <w:kern w:val="0"/>
                <w:sz w:val="22"/>
                <w:szCs w:val="22"/>
                <w:u w:val="none"/>
                <w:lang w:val="en-US" w:eastAsia="zh-CN" w:bidi="ar"/>
              </w:rPr>
              <w:t>96.42</w:t>
            </w:r>
          </w:p>
        </w:tc>
      </w:tr>
    </w:tbl>
    <w:p>
      <w:pPr>
        <w:pStyle w:val="2"/>
        <w:numPr>
          <w:ilvl w:val="0"/>
          <w:numId w:val="0"/>
        </w:numPr>
        <w:spacing w:beforeLines="0" w:line="560" w:lineRule="exact"/>
        <w:ind w:firstLine="640" w:firstLineChars="200"/>
        <w:jc w:val="both"/>
        <w:rPr>
          <w:rFonts w:hint="eastAsia" w:ascii="Calibri" w:hAnsi="Calibri" w:eastAsia="黑体"/>
          <w:sz w:val="32"/>
          <w:szCs w:val="24"/>
        </w:rPr>
      </w:pPr>
      <w:r>
        <w:rPr>
          <w:rFonts w:hint="eastAsia" w:ascii="Calibri" w:hAnsi="Calibri" w:eastAsia="黑体"/>
          <w:sz w:val="32"/>
          <w:szCs w:val="24"/>
        </w:rPr>
        <w:t>四、绩效评价指标分析</w:t>
      </w:r>
      <w:bookmarkEnd w:id="118"/>
      <w:bookmarkEnd w:id="119"/>
      <w:bookmarkEnd w:id="120"/>
      <w:bookmarkEnd w:id="121"/>
    </w:p>
    <w:p>
      <w:pPr>
        <w:spacing w:beforeLines="0" w:line="560" w:lineRule="exact"/>
        <w:ind w:firstLine="640" w:firstLineChars="200"/>
        <w:jc w:val="both"/>
        <w:outlineLvl w:val="1"/>
        <w:rPr>
          <w:rFonts w:hint="eastAsia" w:ascii="Times New Roman" w:hAnsi="Times New Roman" w:eastAsia="楷体_GB2312" w:cs="Times New Roman"/>
          <w:b w:val="0"/>
          <w:bCs/>
          <w:kern w:val="2"/>
          <w:sz w:val="32"/>
          <w:szCs w:val="24"/>
          <w:lang w:val="en-US" w:eastAsia="zh-CN" w:bidi="ar-SA"/>
        </w:rPr>
      </w:pPr>
      <w:bookmarkStart w:id="130" w:name="_Toc13578"/>
      <w:bookmarkStart w:id="131" w:name="_Toc16194"/>
      <w:bookmarkStart w:id="132" w:name="_Toc4621"/>
      <w:r>
        <w:rPr>
          <w:rFonts w:hint="eastAsia" w:ascii="Times New Roman" w:hAnsi="Times New Roman" w:eastAsia="楷体_GB2312" w:cs="Times New Roman"/>
          <w:b w:val="0"/>
          <w:bCs/>
          <w:kern w:val="2"/>
          <w:sz w:val="32"/>
          <w:szCs w:val="24"/>
          <w:lang w:val="en-US" w:eastAsia="zh-CN" w:bidi="ar-SA"/>
        </w:rPr>
        <w:t>（一）项目决策情况分析</w:t>
      </w:r>
      <w:bookmarkEnd w:id="130"/>
      <w:bookmarkEnd w:id="131"/>
      <w:bookmarkEnd w:id="132"/>
    </w:p>
    <w:p>
      <w:pPr>
        <w:keepNext/>
        <w:keepLines/>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bCs w:val="0"/>
          <w:color w:val="auto"/>
          <w:kern w:val="2"/>
          <w:sz w:val="32"/>
          <w:szCs w:val="32"/>
          <w:highlight w:val="none"/>
          <w:lang w:val="en-US" w:eastAsia="zh-CN" w:bidi="ar-SA"/>
        </w:rPr>
      </w:pPr>
      <w:r>
        <w:rPr>
          <w:rFonts w:hint="eastAsia" w:ascii="仿宋_GB2312" w:hAnsi="仿宋_GB2312" w:eastAsia="仿宋_GB2312" w:cs="仿宋_GB2312"/>
          <w:bCs w:val="0"/>
          <w:color w:val="auto"/>
          <w:kern w:val="2"/>
          <w:sz w:val="32"/>
          <w:szCs w:val="32"/>
          <w:highlight w:val="none"/>
          <w:lang w:val="en-US" w:eastAsia="zh-CN" w:bidi="ar-SA"/>
        </w:rPr>
        <w:t>项目决策主要考核项目的立项依据充分性、立项程序规范性、绩效目标合理性、绩效指标明确性、预算编制科学性、资金分配合理性等方面。项目决策评价指标权重20分，得分20分。具体分析如下：</w:t>
      </w:r>
    </w:p>
    <w:p>
      <w:pPr>
        <w:keepNext w:val="0"/>
        <w:keepLines w:val="0"/>
        <w:pageBreakBefore w:val="0"/>
        <w:widowControl w:val="0"/>
        <w:kinsoku/>
        <w:wordWrap/>
        <w:overflowPunct/>
        <w:topLinePunct w:val="0"/>
        <w:autoSpaceDE/>
        <w:autoSpaceDN/>
        <w:bidi w:val="0"/>
        <w:adjustRightInd/>
        <w:snapToGrid/>
        <w:spacing w:beforeLines="0" w:line="560" w:lineRule="exact"/>
        <w:ind w:firstLine="640" w:firstLineChars="200"/>
        <w:jc w:val="both"/>
        <w:textAlignment w:val="auto"/>
        <w:outlineLvl w:val="1"/>
        <w:rPr>
          <w:rFonts w:hint="eastAsia" w:ascii="仿宋_GB2312" w:hAnsi="Times New Roman" w:eastAsia="仿宋_GB2312" w:cs="Times New Roman"/>
          <w:sz w:val="32"/>
          <w:szCs w:val="32"/>
          <w:lang w:val="en-US" w:eastAsia="zh-CN"/>
        </w:rPr>
      </w:pPr>
      <w:bookmarkStart w:id="133" w:name="_Toc20993"/>
      <w:bookmarkStart w:id="134" w:name="_Toc25516"/>
      <w:bookmarkStart w:id="135" w:name="_Toc1363"/>
      <w:r>
        <w:rPr>
          <w:rFonts w:hint="eastAsia" w:ascii="仿宋_GB2312" w:hAnsi="Times New Roman" w:eastAsia="仿宋_GB2312" w:cs="Times New Roman"/>
          <w:sz w:val="32"/>
          <w:szCs w:val="32"/>
          <w:lang w:val="en-US" w:eastAsia="zh-CN"/>
        </w:rPr>
        <w:t>1.项目立项</w:t>
      </w:r>
      <w:bookmarkEnd w:id="133"/>
      <w:bookmarkEnd w:id="134"/>
      <w:bookmarkEnd w:id="135"/>
    </w:p>
    <w:p>
      <w:pPr>
        <w:keepNext w:val="0"/>
        <w:keepLines w:val="0"/>
        <w:pageBreakBefore w:val="0"/>
        <w:widowControl w:val="0"/>
        <w:kinsoku/>
        <w:wordWrap/>
        <w:overflowPunct/>
        <w:topLinePunct w:val="0"/>
        <w:autoSpaceDE/>
        <w:autoSpaceDN/>
        <w:bidi w:val="0"/>
        <w:adjustRightInd/>
        <w:snapToGrid/>
        <w:spacing w:beforeLines="0" w:line="560" w:lineRule="exact"/>
        <w:ind w:firstLine="642" w:firstLineChars="200"/>
        <w:jc w:val="both"/>
        <w:textAlignment w:val="auto"/>
        <w:outlineLvl w:val="9"/>
        <w:rPr>
          <w:rFonts w:hint="eastAsia" w:ascii="仿宋_GB2312" w:hAnsi="仿宋_GB2312" w:eastAsia="仿宋_GB2312" w:cs="仿宋_GB2312"/>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立项依据充分性。</w:t>
      </w:r>
      <w:r>
        <w:rPr>
          <w:rFonts w:hint="eastAsia" w:ascii="仿宋_GB2312" w:hAnsi="仿宋_GB2312" w:eastAsia="仿宋_GB2312" w:cs="仿宋_GB2312"/>
          <w:bCs w:val="0"/>
          <w:color w:val="auto"/>
          <w:kern w:val="2"/>
          <w:sz w:val="32"/>
          <w:szCs w:val="32"/>
          <w:highlight w:val="none"/>
          <w:lang w:val="en-US" w:eastAsia="zh-CN" w:bidi="ar-SA"/>
        </w:rPr>
        <w:t>本项目立项符合国家法律法规、国民经济发展规划和相关政策；本项目为我街道履职项目，项目内容与上级政策要求、部门职责相匹配，属于公共财政支持范围；本项目与相关单位同类项目或部门内部相关项目不存在重复交叉。</w:t>
      </w:r>
    </w:p>
    <w:p>
      <w:pPr>
        <w:keepNext w:val="0"/>
        <w:keepLines w:val="0"/>
        <w:pageBreakBefore w:val="0"/>
        <w:widowControl w:val="0"/>
        <w:kinsoku/>
        <w:wordWrap/>
        <w:overflowPunct/>
        <w:topLinePunct w:val="0"/>
        <w:autoSpaceDE/>
        <w:autoSpaceDN/>
        <w:bidi w:val="0"/>
        <w:adjustRightInd/>
        <w:snapToGrid/>
        <w:spacing w:beforeLines="0" w:line="560" w:lineRule="exact"/>
        <w:ind w:firstLine="642" w:firstLineChars="200"/>
        <w:jc w:val="both"/>
        <w:textAlignment w:val="auto"/>
        <w:outlineLvl w:val="9"/>
        <w:rPr>
          <w:rFonts w:hint="default" w:ascii="仿宋_GB2312" w:hAnsi="仿宋_GB2312" w:eastAsia="仿宋_GB2312" w:cs="仿宋_GB2312"/>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立项程序规范性。</w:t>
      </w:r>
      <w:r>
        <w:rPr>
          <w:rFonts w:hint="eastAsia" w:ascii="仿宋_GB2312" w:hAnsi="仿宋_GB2312" w:eastAsia="仿宋_GB2312" w:cs="仿宋_GB2312"/>
          <w:bCs w:val="0"/>
          <w:color w:val="auto"/>
          <w:kern w:val="2"/>
          <w:sz w:val="32"/>
          <w:szCs w:val="32"/>
          <w:highlight w:val="none"/>
          <w:lang w:val="en-US" w:eastAsia="zh-CN" w:bidi="ar-SA"/>
        </w:rPr>
        <w:t>我街道将本项目纳入2025年部门整体预算编制范围，已经过区人大、区财政局等审批；严格按照我街道内控制度要求执行必要的需求分析、事前请示、集体决策等立项审批程序。</w:t>
      </w:r>
    </w:p>
    <w:p>
      <w:pPr>
        <w:spacing w:beforeLines="0" w:line="560" w:lineRule="exact"/>
        <w:ind w:firstLine="640" w:firstLineChars="200"/>
        <w:jc w:val="both"/>
        <w:outlineLvl w:val="1"/>
        <w:rPr>
          <w:rFonts w:hint="eastAsia" w:ascii="仿宋_GB2312" w:hAnsi="Times New Roman" w:eastAsia="仿宋_GB2312" w:cs="Times New Roman"/>
          <w:sz w:val="32"/>
          <w:szCs w:val="32"/>
          <w:lang w:val="en-US" w:eastAsia="zh-CN"/>
        </w:rPr>
      </w:pPr>
      <w:bookmarkStart w:id="136" w:name="_Toc18872"/>
      <w:bookmarkStart w:id="137" w:name="_Toc18911"/>
      <w:bookmarkStart w:id="138" w:name="_Toc23170"/>
      <w:r>
        <w:rPr>
          <w:rFonts w:hint="eastAsia" w:ascii="仿宋_GB2312" w:hAnsi="Times New Roman" w:eastAsia="仿宋_GB2312" w:cs="Times New Roman"/>
          <w:sz w:val="32"/>
          <w:szCs w:val="32"/>
          <w:lang w:val="en-US" w:eastAsia="zh-CN"/>
        </w:rPr>
        <w:t>2.绩效目标</w:t>
      </w:r>
      <w:bookmarkEnd w:id="136"/>
      <w:bookmarkEnd w:id="137"/>
      <w:bookmarkEnd w:id="138"/>
    </w:p>
    <w:p>
      <w:pPr>
        <w:spacing w:beforeLines="0" w:line="560" w:lineRule="exact"/>
        <w:ind w:firstLine="642" w:firstLineChars="200"/>
        <w:jc w:val="both"/>
        <w:outlineLvl w:val="9"/>
        <w:rPr>
          <w:rFonts w:hint="default" w:ascii="仿宋_GB2312" w:hAnsi="仿宋_GB2312" w:eastAsia="仿宋_GB2312" w:cs="仿宋_GB2312"/>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绩效目标合理性。</w:t>
      </w:r>
      <w:r>
        <w:rPr>
          <w:rFonts w:hint="eastAsia" w:ascii="仿宋_GB2312" w:hAnsi="仿宋_GB2312" w:eastAsia="仿宋_GB2312" w:cs="仿宋_GB2312"/>
          <w:bCs w:val="0"/>
          <w:color w:val="auto"/>
          <w:kern w:val="2"/>
          <w:sz w:val="32"/>
          <w:szCs w:val="32"/>
          <w:highlight w:val="none"/>
          <w:lang w:val="en-US" w:eastAsia="zh-CN" w:bidi="ar-SA"/>
        </w:rPr>
        <w:t>我街道按区财政局有关工作要求编制、申报本项目年度绩效指标。本项目绩效目标设置基本规范、具体明确，与部门履职要求以及查违综合防控服务内容密切相关，绩效目标设置全面，目标值合理可测，与项目资金量、使用方向相匹配。如：数量指标为“查违综合防控安保人员数量”，目标值为“≥29人”，与服务合同所约定的人员要求数量一致。</w:t>
      </w:r>
    </w:p>
    <w:p>
      <w:pPr>
        <w:keepNext/>
        <w:keepLines/>
        <w:pageBreakBefore w:val="0"/>
        <w:widowControl w:val="0"/>
        <w:kinsoku/>
        <w:wordWrap/>
        <w:overflowPunct/>
        <w:topLinePunct w:val="0"/>
        <w:autoSpaceDE/>
        <w:autoSpaceDN/>
        <w:bidi w:val="0"/>
        <w:adjustRightInd/>
        <w:snapToGrid/>
        <w:spacing w:line="560" w:lineRule="exact"/>
        <w:ind w:firstLine="642" w:firstLineChars="200"/>
        <w:jc w:val="both"/>
        <w:textAlignment w:val="auto"/>
        <w:outlineLvl w:val="9"/>
        <w:rPr>
          <w:rFonts w:hint="default" w:ascii="仿宋_GB2312" w:hAnsi="仿宋_GB2312" w:eastAsia="仿宋_GB2312" w:cs="仿宋_GB2312"/>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绩效指标明确性。</w:t>
      </w:r>
      <w:r>
        <w:rPr>
          <w:rFonts w:hint="eastAsia" w:ascii="仿宋_GB2312" w:hAnsi="仿宋_GB2312" w:eastAsia="仿宋_GB2312" w:cs="仿宋_GB2312"/>
          <w:bCs w:val="0"/>
          <w:color w:val="auto"/>
          <w:kern w:val="2"/>
          <w:sz w:val="32"/>
          <w:szCs w:val="32"/>
          <w:highlight w:val="none"/>
          <w:lang w:val="en-US" w:eastAsia="zh-CN" w:bidi="ar-SA"/>
        </w:rPr>
        <w:t>本项目根据年度整体绩效目标，细化分解为数量、质量、时效、成本、社会效益和满意度等6个三级指标，所设置的绩效指标通过清晰、可衡量的指标值予以体现，绩效指标与项目目标任务数相对应。本项目共设置了6个三级指标，其中5个均为定量指标，指标量化占比83.33%。</w:t>
      </w:r>
    </w:p>
    <w:p>
      <w:pPr>
        <w:spacing w:beforeLines="0" w:line="560" w:lineRule="exact"/>
        <w:ind w:firstLine="640" w:firstLineChars="200"/>
        <w:jc w:val="both"/>
        <w:outlineLvl w:val="1"/>
        <w:rPr>
          <w:rFonts w:hint="eastAsia" w:ascii="仿宋_GB2312" w:hAnsi="Times New Roman" w:eastAsia="仿宋_GB2312" w:cs="Times New Roman"/>
          <w:sz w:val="32"/>
          <w:szCs w:val="32"/>
          <w:lang w:val="en-US" w:eastAsia="zh-CN"/>
        </w:rPr>
      </w:pPr>
      <w:bookmarkStart w:id="139" w:name="_Toc9655"/>
      <w:bookmarkStart w:id="140" w:name="_Toc9291"/>
      <w:bookmarkStart w:id="141" w:name="_Toc9656"/>
      <w:r>
        <w:rPr>
          <w:rFonts w:hint="eastAsia" w:ascii="仿宋_GB2312" w:hAnsi="Times New Roman" w:eastAsia="仿宋_GB2312" w:cs="Times New Roman"/>
          <w:sz w:val="32"/>
          <w:szCs w:val="32"/>
          <w:lang w:val="en-US" w:eastAsia="zh-CN"/>
        </w:rPr>
        <w:t>3.资金投入</w:t>
      </w:r>
      <w:bookmarkEnd w:id="139"/>
      <w:bookmarkEnd w:id="140"/>
      <w:bookmarkEnd w:id="141"/>
    </w:p>
    <w:p>
      <w:pPr>
        <w:spacing w:beforeLines="0" w:line="560" w:lineRule="exact"/>
        <w:ind w:firstLine="642" w:firstLineChars="200"/>
        <w:jc w:val="both"/>
        <w:outlineLvl w:val="9"/>
        <w:rPr>
          <w:rFonts w:hint="eastAsia" w:ascii="仿宋_GB2312" w:hAnsi="仿宋_GB2312" w:eastAsia="仿宋_GB2312" w:cs="仿宋_GB2312"/>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预算编制科学性。</w:t>
      </w:r>
      <w:r>
        <w:rPr>
          <w:rFonts w:hint="eastAsia" w:ascii="仿宋_GB2312" w:hAnsi="仿宋_GB2312" w:eastAsia="仿宋_GB2312" w:cs="仿宋_GB2312"/>
          <w:bCs w:val="0"/>
          <w:color w:val="auto"/>
          <w:kern w:val="2"/>
          <w:sz w:val="32"/>
          <w:szCs w:val="32"/>
          <w:highlight w:val="none"/>
          <w:lang w:val="en-US" w:eastAsia="zh-CN" w:bidi="ar-SA"/>
        </w:rPr>
        <w:t>本项目预算编制符合区财政局当年度关于预算编制的原则和要求，预算内容与项目内容匹配，预算额度测算依据较为充分，并按照标准编制。年中未出现预算调整调剂的情况，项目实际支出金额与批复金额不存在较大偏离，项目预算编制科学合理。</w:t>
      </w:r>
    </w:p>
    <w:p>
      <w:pPr>
        <w:spacing w:beforeLines="0" w:line="560" w:lineRule="exact"/>
        <w:ind w:firstLine="642" w:firstLineChars="200"/>
        <w:jc w:val="both"/>
        <w:outlineLvl w:val="9"/>
        <w:rPr>
          <w:rFonts w:hint="eastAsia" w:ascii="仿宋_GB2312" w:hAnsi="仿宋_GB2312" w:eastAsia="仿宋_GB2312" w:cs="仿宋_GB2312"/>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资金分配合理性。</w:t>
      </w:r>
      <w:r>
        <w:rPr>
          <w:rFonts w:hint="eastAsia" w:ascii="仿宋_GB2312" w:hAnsi="仿宋_GB2312" w:eastAsia="仿宋_GB2312" w:cs="仿宋_GB2312"/>
          <w:bCs w:val="0"/>
          <w:color w:val="auto"/>
          <w:kern w:val="2"/>
          <w:sz w:val="32"/>
          <w:szCs w:val="32"/>
          <w:highlight w:val="none"/>
          <w:lang w:val="en-US" w:eastAsia="zh-CN" w:bidi="ar-SA"/>
        </w:rPr>
        <w:t>本项目资金用于支付招标代理服务费以及查违综合防控服务合同款项，我街道参照2024年度的服务合同价格、区财政局关于本项目合同额上限以及《深圳市光明区城市管理和综合执法局关于印发〈光明区查违综合防控购买服务项目指导意见〉的通知》，合理分配本年度预算资金。所有支出均为部门履职所需的刚性支出，资金分配依据充分，体现了厉行节约、从严从紧安排的导向。</w:t>
      </w:r>
    </w:p>
    <w:p>
      <w:pPr>
        <w:spacing w:beforeLines="0" w:line="560" w:lineRule="exact"/>
        <w:ind w:firstLine="640" w:firstLineChars="200"/>
        <w:jc w:val="both"/>
        <w:outlineLvl w:val="1"/>
        <w:rPr>
          <w:rFonts w:hint="eastAsia" w:ascii="Times New Roman" w:hAnsi="Times New Roman" w:eastAsia="楷体_GB2312" w:cs="Times New Roman"/>
          <w:b w:val="0"/>
          <w:bCs/>
          <w:kern w:val="2"/>
          <w:sz w:val="32"/>
          <w:szCs w:val="24"/>
          <w:lang w:val="en-US" w:eastAsia="zh-CN" w:bidi="ar-SA"/>
        </w:rPr>
      </w:pPr>
      <w:bookmarkStart w:id="142" w:name="_Toc30890"/>
      <w:bookmarkStart w:id="143" w:name="_Toc24858"/>
      <w:bookmarkStart w:id="144" w:name="_Toc22046"/>
      <w:r>
        <w:rPr>
          <w:rFonts w:hint="eastAsia" w:ascii="Times New Roman" w:hAnsi="Times New Roman" w:eastAsia="楷体_GB2312" w:cs="Times New Roman"/>
          <w:b w:val="0"/>
          <w:bCs/>
          <w:kern w:val="2"/>
          <w:sz w:val="32"/>
          <w:szCs w:val="24"/>
          <w:lang w:val="en-US" w:eastAsia="zh-CN" w:bidi="ar-SA"/>
        </w:rPr>
        <w:t>（二）项目过程情况分析</w:t>
      </w:r>
      <w:bookmarkEnd w:id="142"/>
      <w:bookmarkEnd w:id="143"/>
      <w:bookmarkEnd w:id="144"/>
    </w:p>
    <w:p>
      <w:pPr>
        <w:spacing w:beforeLines="0" w:line="560" w:lineRule="exact"/>
        <w:ind w:firstLine="640" w:firstLineChars="200"/>
        <w:jc w:val="both"/>
        <w:outlineLvl w:val="9"/>
        <w:rPr>
          <w:rFonts w:hint="eastAsia" w:ascii="仿宋_GB2312" w:hAnsi="仿宋_GB2312" w:eastAsia="仿宋_GB2312" w:cs="仿宋_GB2312"/>
          <w:bCs w:val="0"/>
          <w:color w:val="auto"/>
          <w:kern w:val="2"/>
          <w:sz w:val="32"/>
          <w:szCs w:val="32"/>
          <w:highlight w:val="none"/>
          <w:lang w:val="en-US" w:eastAsia="zh-CN" w:bidi="ar-SA"/>
        </w:rPr>
      </w:pPr>
      <w:r>
        <w:rPr>
          <w:rFonts w:hint="eastAsia" w:ascii="仿宋_GB2312" w:hAnsi="仿宋_GB2312" w:eastAsia="仿宋_GB2312" w:cs="仿宋_GB2312"/>
          <w:bCs w:val="0"/>
          <w:color w:val="auto"/>
          <w:kern w:val="2"/>
          <w:sz w:val="32"/>
          <w:szCs w:val="32"/>
          <w:highlight w:val="none"/>
          <w:lang w:val="en-US" w:eastAsia="zh-CN" w:bidi="ar-SA"/>
        </w:rPr>
        <w:t>项目过程情况从资金管理、组织实施2个角度评价项目的管理情况，主要考核项目资金到位率、预算执行率、资金使用合规性、管理制度健全性、制度执行有效性等方面。项目过程评价指标权重20分，得分20分。具体分析如下：</w:t>
      </w:r>
    </w:p>
    <w:p>
      <w:pPr>
        <w:spacing w:beforeLines="0" w:line="560" w:lineRule="exact"/>
        <w:ind w:firstLine="640" w:firstLineChars="200"/>
        <w:jc w:val="both"/>
        <w:outlineLvl w:val="1"/>
        <w:rPr>
          <w:rFonts w:hint="eastAsia" w:ascii="仿宋_GB2312" w:hAnsi="Times New Roman" w:eastAsia="仿宋_GB2312" w:cs="Times New Roman"/>
          <w:sz w:val="32"/>
          <w:szCs w:val="32"/>
          <w:lang w:val="en-US" w:eastAsia="zh-CN"/>
        </w:rPr>
      </w:pPr>
      <w:bookmarkStart w:id="145" w:name="_Toc25486"/>
      <w:bookmarkStart w:id="146" w:name="_Toc13910"/>
      <w:bookmarkStart w:id="147" w:name="_Toc1262"/>
      <w:r>
        <w:rPr>
          <w:rFonts w:hint="eastAsia" w:ascii="仿宋_GB2312" w:hAnsi="Times New Roman" w:eastAsia="仿宋_GB2312" w:cs="Times New Roman"/>
          <w:sz w:val="32"/>
          <w:szCs w:val="32"/>
          <w:lang w:val="en-US" w:eastAsia="zh-CN"/>
        </w:rPr>
        <w:t>1.资金管理</w:t>
      </w:r>
      <w:bookmarkEnd w:id="145"/>
      <w:bookmarkEnd w:id="146"/>
      <w:bookmarkEnd w:id="147"/>
    </w:p>
    <w:p>
      <w:pPr>
        <w:keepNext w:val="0"/>
        <w:keepLines w:val="0"/>
        <w:pageBreakBefore w:val="0"/>
        <w:widowControl/>
        <w:kinsoku/>
        <w:wordWrap/>
        <w:overflowPunct/>
        <w:topLinePunct w:val="0"/>
        <w:autoSpaceDE/>
        <w:autoSpaceDN/>
        <w:bidi w:val="0"/>
        <w:adjustRightInd/>
        <w:snapToGrid/>
        <w:spacing w:beforeLines="0" w:line="560" w:lineRule="exact"/>
        <w:ind w:firstLine="642" w:firstLineChars="200"/>
        <w:jc w:val="both"/>
        <w:textAlignment w:val="auto"/>
        <w:outlineLvl w:val="9"/>
        <w:rPr>
          <w:rFonts w:hint="eastAsia" w:ascii="仿宋_GB2312" w:hAnsi="仿宋_GB2312" w:eastAsia="仿宋_GB2312" w:cs="仿宋_GB2312"/>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资金到位率。</w:t>
      </w:r>
      <w:r>
        <w:rPr>
          <w:rFonts w:hint="eastAsia" w:ascii="仿宋_GB2312" w:hAnsi="仿宋_GB2312" w:eastAsia="仿宋_GB2312" w:cs="仿宋_GB2312"/>
          <w:bCs w:val="0"/>
          <w:color w:val="auto"/>
          <w:kern w:val="2"/>
          <w:sz w:val="32"/>
          <w:szCs w:val="32"/>
          <w:highlight w:val="none"/>
          <w:lang w:val="en-US" w:eastAsia="zh-CN" w:bidi="ar-SA"/>
        </w:rPr>
        <w:t>2025年本项目年初预算244万元，实际到位244万元，资金到位率100%，保障了项目的有效实施。</w:t>
      </w:r>
    </w:p>
    <w:p>
      <w:pPr>
        <w:keepNext w:val="0"/>
        <w:keepLines w:val="0"/>
        <w:pageBreakBefore w:val="0"/>
        <w:widowControl/>
        <w:kinsoku/>
        <w:wordWrap/>
        <w:overflowPunct/>
        <w:topLinePunct w:val="0"/>
        <w:autoSpaceDE/>
        <w:autoSpaceDN/>
        <w:bidi w:val="0"/>
        <w:adjustRightInd/>
        <w:snapToGrid/>
        <w:spacing w:beforeLines="0" w:line="560" w:lineRule="exact"/>
        <w:ind w:firstLine="642" w:firstLineChars="200"/>
        <w:jc w:val="both"/>
        <w:textAlignment w:val="auto"/>
        <w:outlineLvl w:val="9"/>
        <w:rPr>
          <w:rFonts w:hint="eastAsia" w:ascii="仿宋_GB2312" w:hAnsi="仿宋_GB2312" w:eastAsia="仿宋_GB2312" w:cs="仿宋_GB2312"/>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预算执行率。</w:t>
      </w:r>
      <w:r>
        <w:rPr>
          <w:rFonts w:hint="eastAsia" w:ascii="仿宋_GB2312" w:hAnsi="仿宋_GB2312" w:eastAsia="仿宋_GB2312" w:cs="仿宋_GB2312"/>
          <w:bCs w:val="0"/>
          <w:color w:val="auto"/>
          <w:kern w:val="2"/>
          <w:sz w:val="32"/>
          <w:szCs w:val="32"/>
          <w:highlight w:val="none"/>
          <w:lang w:val="en-US" w:eastAsia="zh-CN" w:bidi="ar-SA"/>
        </w:rPr>
        <w:t>2025年本项目年初预算244万元，全年实际支</w:t>
      </w:r>
      <w:r>
        <w:rPr>
          <w:rFonts w:hint="eastAsia" w:ascii="仿宋_GB2312" w:eastAsia="仿宋_GB2312" w:cs="Times New Roman"/>
          <w:sz w:val="32"/>
          <w:szCs w:val="32"/>
        </w:rPr>
        <w:t>出</w:t>
      </w:r>
      <w:r>
        <w:rPr>
          <w:rFonts w:hint="eastAsia" w:ascii="仿宋_GB2312" w:eastAsia="仿宋_GB2312" w:cs="Times New Roman"/>
          <w:sz w:val="32"/>
          <w:szCs w:val="32"/>
          <w:lang w:val="en-US" w:eastAsia="zh-CN"/>
        </w:rPr>
        <w:t>242.85万元</w:t>
      </w:r>
      <w:r>
        <w:rPr>
          <w:rFonts w:hint="eastAsia" w:ascii="仿宋_GB2312" w:hAnsi="仿宋_GB2312" w:eastAsia="仿宋_GB2312" w:cs="仿宋_GB2312"/>
          <w:bCs w:val="0"/>
          <w:color w:val="auto"/>
          <w:kern w:val="2"/>
          <w:sz w:val="32"/>
          <w:szCs w:val="32"/>
          <w:highlight w:val="none"/>
          <w:lang w:val="en-US" w:eastAsia="zh-CN" w:bidi="ar-SA"/>
        </w:rPr>
        <w:t>，预算执行率99.53%。</w:t>
      </w:r>
    </w:p>
    <w:p>
      <w:pPr>
        <w:keepNext w:val="0"/>
        <w:keepLines w:val="0"/>
        <w:pageBreakBefore w:val="0"/>
        <w:widowControl/>
        <w:kinsoku/>
        <w:wordWrap/>
        <w:overflowPunct/>
        <w:topLinePunct w:val="0"/>
        <w:autoSpaceDE/>
        <w:autoSpaceDN/>
        <w:bidi w:val="0"/>
        <w:adjustRightInd/>
        <w:snapToGrid/>
        <w:spacing w:beforeLines="0" w:line="560" w:lineRule="exact"/>
        <w:ind w:firstLine="642" w:firstLineChars="200"/>
        <w:jc w:val="both"/>
        <w:textAlignment w:val="auto"/>
        <w:outlineLvl w:val="9"/>
        <w:rPr>
          <w:rFonts w:hint="eastAsia" w:ascii="仿宋_GB2312" w:hAnsi="仿宋_GB2312" w:eastAsia="仿宋_GB2312" w:cs="仿宋_GB2312"/>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资金使用合规性。</w:t>
      </w:r>
      <w:r>
        <w:rPr>
          <w:rFonts w:hint="eastAsia" w:ascii="仿宋_GB2312" w:hAnsi="仿宋_GB2312" w:eastAsia="仿宋_GB2312" w:cs="仿宋_GB2312"/>
          <w:bCs w:val="0"/>
          <w:color w:val="auto"/>
          <w:kern w:val="2"/>
          <w:sz w:val="32"/>
          <w:szCs w:val="32"/>
          <w:highlight w:val="none"/>
          <w:lang w:val="en-US" w:eastAsia="zh-CN" w:bidi="ar-SA"/>
        </w:rPr>
        <w:t>本项目按照《新湖街道办事处财务管理办法（2025）修订版》《深圳市落实采购人主体责任实施办法》（深财购〔2022〕26号）等制度执行，严格按照审批程序及合同约定进行付款，资金的拨付有完整的审批程序和手续，资金使用符合预算批复和合同规定用途，不存在截留、挤占、挪用、虚列支出等情况。</w:t>
      </w:r>
    </w:p>
    <w:p>
      <w:pPr>
        <w:spacing w:beforeLines="0" w:line="560" w:lineRule="exact"/>
        <w:ind w:firstLine="640" w:firstLineChars="200"/>
        <w:jc w:val="both"/>
        <w:outlineLvl w:val="1"/>
        <w:rPr>
          <w:rFonts w:hint="eastAsia" w:ascii="仿宋_GB2312" w:hAnsi="Times New Roman" w:eastAsia="仿宋_GB2312" w:cs="Times New Roman"/>
          <w:sz w:val="32"/>
          <w:szCs w:val="32"/>
          <w:lang w:val="en-US" w:eastAsia="zh-CN"/>
        </w:rPr>
      </w:pPr>
      <w:bookmarkStart w:id="148" w:name="_Toc20695"/>
      <w:bookmarkStart w:id="149" w:name="_Toc17709"/>
      <w:bookmarkStart w:id="150" w:name="_Toc29214"/>
      <w:r>
        <w:rPr>
          <w:rFonts w:hint="eastAsia" w:ascii="仿宋_GB2312" w:hAnsi="Times New Roman" w:eastAsia="仿宋_GB2312" w:cs="Times New Roman"/>
          <w:sz w:val="32"/>
          <w:szCs w:val="32"/>
          <w:lang w:val="en-US" w:eastAsia="zh-CN"/>
        </w:rPr>
        <w:t>2.组织实施</w:t>
      </w:r>
      <w:bookmarkEnd w:id="148"/>
      <w:bookmarkEnd w:id="149"/>
      <w:bookmarkEnd w:id="150"/>
    </w:p>
    <w:p>
      <w:pPr>
        <w:spacing w:beforeLines="0" w:line="560" w:lineRule="exact"/>
        <w:ind w:firstLine="642" w:firstLineChars="200"/>
        <w:jc w:val="both"/>
        <w:outlineLvl w:val="9"/>
        <w:rPr>
          <w:rFonts w:hint="eastAsia" w:ascii="仿宋_GB2312" w:hAnsi="仿宋_GB2312" w:eastAsia="仿宋_GB2312" w:cs="仿宋_GB2312"/>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管理制度健全性。</w:t>
      </w:r>
      <w:r>
        <w:rPr>
          <w:rFonts w:hint="eastAsia" w:ascii="仿宋_GB2312" w:hAnsi="仿宋_GB2312" w:eastAsia="仿宋_GB2312" w:cs="仿宋_GB2312"/>
          <w:b w:val="0"/>
          <w:bCs w:val="0"/>
          <w:color w:val="auto"/>
          <w:kern w:val="2"/>
          <w:sz w:val="32"/>
          <w:szCs w:val="32"/>
          <w:highlight w:val="none"/>
          <w:lang w:val="en-US" w:eastAsia="zh-CN" w:bidi="ar-SA"/>
        </w:rPr>
        <w:t>为提高财政资金使用效益，适配街道办最新集中决策议事规则文件要求，以确保制度符合街道实际，我街道2025年对财务管理制度进行了两次修订</w:t>
      </w:r>
      <w:r>
        <w:rPr>
          <w:rFonts w:hint="eastAsia" w:ascii="仿宋_GB2312" w:hAnsi="仿宋_GB2312" w:eastAsia="仿宋_GB2312" w:cs="仿宋_GB2312"/>
          <w:bCs w:val="0"/>
          <w:color w:val="auto"/>
          <w:kern w:val="2"/>
          <w:sz w:val="32"/>
          <w:szCs w:val="32"/>
          <w:highlight w:val="none"/>
          <w:lang w:val="en-US" w:eastAsia="zh-CN" w:bidi="ar-SA"/>
        </w:rPr>
        <w:t>，制度涵盖了财务工作管理、预算管理、现金管理、收入管理、支出管理、事前审批等内容，体现了内部管理制度的完整性。为更好地推进本项目实施，我街道</w:t>
      </w:r>
      <w:r>
        <w:rPr>
          <w:rFonts w:hint="eastAsia" w:ascii="仿宋_GB2312" w:hAnsi="仿宋_GB2312" w:eastAsia="仿宋_GB2312" w:cs="仿宋_GB2312"/>
          <w:b w:val="0"/>
          <w:bCs w:val="0"/>
          <w:sz w:val="32"/>
          <w:szCs w:val="32"/>
          <w:highlight w:val="none"/>
          <w:lang w:val="en-US" w:eastAsia="zh-CN"/>
        </w:rPr>
        <w:t>健全查违防控工作机制。坚决落实最严格的耕地保护制度，建立“早发现、快制止、严查处”工作机制，实行网格化巡查与重点区域监管相结合，确保巡查全覆盖、监管无盲区</w:t>
      </w:r>
      <w:r>
        <w:rPr>
          <w:rFonts w:hint="eastAsia" w:ascii="仿宋_GB2312" w:hAnsi="仿宋_GB2312" w:eastAsia="仿宋_GB2312" w:cs="仿宋_GB2312"/>
          <w:bCs w:val="0"/>
          <w:color w:val="auto"/>
          <w:kern w:val="2"/>
          <w:sz w:val="32"/>
          <w:szCs w:val="32"/>
          <w:highlight w:val="none"/>
          <w:lang w:val="en-US" w:eastAsia="zh-CN" w:bidi="ar-SA"/>
        </w:rPr>
        <w:t>。</w:t>
      </w:r>
    </w:p>
    <w:p>
      <w:pPr>
        <w:keepNext w:val="0"/>
        <w:keepLines w:val="0"/>
        <w:pageBreakBefore w:val="0"/>
        <w:widowControl/>
        <w:kinsoku/>
        <w:wordWrap/>
        <w:overflowPunct/>
        <w:topLinePunct w:val="0"/>
        <w:autoSpaceDE/>
        <w:autoSpaceDN/>
        <w:bidi w:val="0"/>
        <w:adjustRightInd/>
        <w:snapToGrid/>
        <w:spacing w:beforeLines="0" w:line="560" w:lineRule="exact"/>
        <w:ind w:firstLine="642" w:firstLineChars="200"/>
        <w:jc w:val="both"/>
        <w:textAlignment w:val="auto"/>
        <w:outlineLvl w:val="9"/>
        <w:rPr>
          <w:rFonts w:hint="default" w:ascii="Calibri" w:hAnsi="Calibri" w:eastAsia="黑体"/>
          <w:bCs/>
          <w:kern w:val="44"/>
          <w:sz w:val="32"/>
          <w:szCs w:val="24"/>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制度执行有效性。</w:t>
      </w:r>
      <w:r>
        <w:rPr>
          <w:rFonts w:hint="eastAsia" w:ascii="仿宋_GB2312" w:hAnsi="仿宋_GB2312" w:eastAsia="仿宋_GB2312" w:cs="仿宋_GB2312"/>
          <w:b w:val="0"/>
          <w:bCs w:val="0"/>
          <w:color w:val="auto"/>
          <w:kern w:val="2"/>
          <w:sz w:val="32"/>
          <w:szCs w:val="32"/>
          <w:highlight w:val="none"/>
          <w:lang w:val="en-US" w:eastAsia="zh-CN" w:bidi="ar-SA"/>
        </w:rPr>
        <w:t>本项目严格按照</w:t>
      </w:r>
      <w:r>
        <w:rPr>
          <w:rFonts w:hint="eastAsia" w:ascii="仿宋_GB2312" w:hAnsi="仿宋_GB2312" w:eastAsia="仿宋_GB2312" w:cs="仿宋_GB2312"/>
          <w:bCs w:val="0"/>
          <w:color w:val="auto"/>
          <w:kern w:val="2"/>
          <w:sz w:val="32"/>
          <w:szCs w:val="32"/>
          <w:highlight w:val="none"/>
          <w:lang w:val="en-US" w:eastAsia="zh-CN" w:bidi="ar-SA"/>
        </w:rPr>
        <w:t>《深圳市落实采购人主体责任实施办法》（深财购〔2022〕26号）、</w:t>
      </w:r>
      <w:r>
        <w:rPr>
          <w:rFonts w:hint="eastAsia" w:ascii="仿宋_GB2312" w:hAnsi="仿宋_GB2312" w:eastAsia="仿宋_GB2312" w:cs="仿宋_GB2312"/>
          <w:b w:val="0"/>
          <w:bCs w:val="0"/>
          <w:color w:val="auto"/>
          <w:kern w:val="2"/>
          <w:sz w:val="32"/>
          <w:szCs w:val="32"/>
          <w:highlight w:val="none"/>
          <w:lang w:val="en-US" w:eastAsia="zh-CN" w:bidi="ar-SA"/>
        </w:rPr>
        <w:t>《光明区财政局关于规范开展政府采购项目增购和延期审批事项的提醒函》、街道财务管理办法等要求开展工作经费的审批与执行，按要求组织签订合同，合同条款合理、规范，符合项目实际；项目的事前申请表、采购需求书、上会请示件、服务合同书、发票、履约评价等资料齐全并及时归档。在项目实施过程中，我街道按照《光明区查违综合防控购买服务项目指导意见》的监管要求，落实项目履约考核监管机制，采用月度和年度考核相结合的形式对服务质量进行考核监管，确保项目的人员条件、场地设备、信息支撑等落实到位。</w:t>
      </w:r>
    </w:p>
    <w:p>
      <w:pPr>
        <w:spacing w:beforeLines="0" w:line="560" w:lineRule="exact"/>
        <w:ind w:firstLine="640" w:firstLineChars="200"/>
        <w:jc w:val="both"/>
        <w:outlineLvl w:val="1"/>
        <w:rPr>
          <w:rFonts w:hint="eastAsia" w:ascii="Times New Roman" w:hAnsi="Times New Roman" w:eastAsia="楷体_GB2312" w:cs="Times New Roman"/>
          <w:b w:val="0"/>
          <w:bCs/>
          <w:kern w:val="2"/>
          <w:sz w:val="32"/>
          <w:szCs w:val="24"/>
          <w:lang w:val="en-US" w:eastAsia="zh-CN" w:bidi="ar-SA"/>
        </w:rPr>
      </w:pPr>
      <w:bookmarkStart w:id="151" w:name="_Toc10599"/>
      <w:bookmarkStart w:id="152" w:name="_Toc16117"/>
      <w:bookmarkStart w:id="153" w:name="_Toc13440"/>
      <w:r>
        <w:rPr>
          <w:rFonts w:hint="eastAsia" w:ascii="Times New Roman" w:hAnsi="Times New Roman" w:eastAsia="楷体_GB2312" w:cs="Times New Roman"/>
          <w:b w:val="0"/>
          <w:bCs/>
          <w:kern w:val="2"/>
          <w:sz w:val="32"/>
          <w:szCs w:val="24"/>
          <w:lang w:val="en-US" w:eastAsia="zh-CN" w:bidi="ar-SA"/>
        </w:rPr>
        <w:t>（三）项目绩效情况分析</w:t>
      </w:r>
      <w:bookmarkEnd w:id="151"/>
      <w:bookmarkEnd w:id="152"/>
      <w:bookmarkEnd w:id="153"/>
    </w:p>
    <w:p>
      <w:pPr>
        <w:spacing w:beforeLines="0" w:line="560" w:lineRule="exact"/>
        <w:ind w:firstLine="640" w:firstLineChars="200"/>
        <w:jc w:val="both"/>
        <w:outlineLvl w:val="9"/>
        <w:rPr>
          <w:rFonts w:hint="eastAsia" w:ascii="仿宋_GB2312" w:hAnsi="Times New Roman" w:eastAsia="仿宋_GB2312" w:cs="Times New Roman"/>
          <w:sz w:val="32"/>
          <w:szCs w:val="32"/>
          <w:lang w:val="en-US" w:eastAsia="zh-CN"/>
        </w:rPr>
      </w:pPr>
      <w:bookmarkStart w:id="154" w:name="_Toc10381"/>
      <w:bookmarkStart w:id="155" w:name="_Toc520"/>
      <w:r>
        <w:rPr>
          <w:rFonts w:hint="eastAsia" w:ascii="仿宋_GB2312" w:hAnsi="仿宋_GB2312" w:eastAsia="仿宋_GB2312" w:cs="仿宋_GB2312"/>
          <w:bCs w:val="0"/>
          <w:color w:val="auto"/>
          <w:kern w:val="2"/>
          <w:sz w:val="32"/>
          <w:szCs w:val="32"/>
          <w:highlight w:val="none"/>
          <w:lang w:val="en-US" w:eastAsia="zh-CN" w:bidi="ar-SA"/>
        </w:rPr>
        <w:t>项目绩效情况从产出、效益2个角度评价项目的管理情况，主要考核产出数量、产出质量、产出时效和产出成本、社会效益、服务对象满意度等方面。项目绩效评价指标权重60分，得分</w:t>
      </w:r>
      <w:r>
        <w:rPr>
          <w:rFonts w:hint="eastAsia" w:ascii="仿宋_GB2312" w:eastAsia="仿宋_GB2312" w:cs="Times New Roman"/>
          <w:sz w:val="32"/>
          <w:szCs w:val="32"/>
          <w:lang w:val="en-US" w:eastAsia="zh-CN"/>
        </w:rPr>
        <w:t>56.42</w:t>
      </w:r>
      <w:r>
        <w:rPr>
          <w:rFonts w:hint="eastAsia" w:ascii="仿宋_GB2312" w:hAnsi="仿宋_GB2312" w:eastAsia="仿宋_GB2312" w:cs="仿宋_GB2312"/>
          <w:bCs w:val="0"/>
          <w:color w:val="auto"/>
          <w:kern w:val="2"/>
          <w:sz w:val="32"/>
          <w:szCs w:val="32"/>
          <w:highlight w:val="none"/>
          <w:lang w:val="en-US" w:eastAsia="zh-CN" w:bidi="ar-SA"/>
        </w:rPr>
        <w:t>分。具体分析如下：</w:t>
      </w:r>
    </w:p>
    <w:p>
      <w:pPr>
        <w:spacing w:beforeLines="0" w:line="560" w:lineRule="exact"/>
        <w:ind w:firstLine="640" w:firstLineChars="200"/>
        <w:jc w:val="both"/>
        <w:outlineLvl w:val="1"/>
        <w:rPr>
          <w:rFonts w:hint="eastAsia" w:ascii="仿宋_GB2312" w:hAnsi="Times New Roman" w:eastAsia="仿宋_GB2312" w:cs="Times New Roman"/>
          <w:sz w:val="32"/>
          <w:szCs w:val="32"/>
          <w:lang w:val="en-US" w:eastAsia="zh-CN"/>
        </w:rPr>
      </w:pPr>
      <w:bookmarkStart w:id="156" w:name="_Toc10469"/>
      <w:r>
        <w:rPr>
          <w:rFonts w:hint="eastAsia" w:ascii="仿宋_GB2312" w:hAnsi="Times New Roman" w:eastAsia="仿宋_GB2312" w:cs="Times New Roman"/>
          <w:sz w:val="32"/>
          <w:szCs w:val="32"/>
          <w:lang w:val="en-US" w:eastAsia="zh-CN"/>
        </w:rPr>
        <w:t>1.数量指标</w:t>
      </w:r>
      <w:bookmarkEnd w:id="154"/>
      <w:bookmarkEnd w:id="155"/>
      <w:bookmarkEnd w:id="156"/>
    </w:p>
    <w:p>
      <w:pPr>
        <w:spacing w:beforeLines="0" w:line="560" w:lineRule="exact"/>
        <w:ind w:firstLine="642" w:firstLineChars="200"/>
        <w:jc w:val="both"/>
        <w:outlineLvl w:val="9"/>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Times New Roman" w:eastAsia="仿宋_GB2312" w:cs="Times New Roman"/>
          <w:b/>
          <w:bCs/>
          <w:color w:val="auto"/>
          <w:kern w:val="2"/>
          <w:sz w:val="32"/>
          <w:szCs w:val="32"/>
          <w:highlight w:val="none"/>
          <w:lang w:val="en-US" w:eastAsia="zh-CN" w:bidi="ar-SA"/>
        </w:rPr>
        <w:t>一是查违综合防控安保人员数量情况。</w:t>
      </w:r>
      <w:r>
        <w:rPr>
          <w:rFonts w:hint="eastAsia" w:ascii="仿宋_GB2312" w:eastAsia="仿宋_GB2312" w:cs="Times New Roman"/>
          <w:b w:val="0"/>
          <w:bCs w:val="0"/>
          <w:color w:val="auto"/>
          <w:kern w:val="2"/>
          <w:sz w:val="32"/>
          <w:szCs w:val="32"/>
          <w:highlight w:val="none"/>
          <w:lang w:val="en-US" w:eastAsia="zh-CN" w:bidi="ar-SA"/>
        </w:rPr>
        <w:t>2025年1月—12月，服务方广东蓝水特卫保安服务有限公司、广东深南后勤城市保安服务有限公司均按照合同约定提供29名安保人员</w:t>
      </w:r>
      <w:r>
        <w:rPr>
          <w:rFonts w:hint="eastAsia" w:ascii="仿宋_GB2312" w:eastAsia="仿宋_GB2312" w:cs="Times New Roman"/>
          <w:color w:val="auto"/>
          <w:kern w:val="2"/>
          <w:sz w:val="32"/>
          <w:szCs w:val="32"/>
          <w:highlight w:val="none"/>
          <w:lang w:val="en-US" w:eastAsia="zh-CN" w:bidi="ar-SA"/>
        </w:rPr>
        <w:t>。</w:t>
      </w:r>
      <w:r>
        <w:rPr>
          <w:rFonts w:hint="eastAsia" w:ascii="仿宋_GB2312" w:hAnsi="Times New Roman" w:eastAsia="仿宋_GB2312" w:cs="Times New Roman"/>
          <w:color w:val="auto"/>
          <w:kern w:val="2"/>
          <w:sz w:val="32"/>
          <w:szCs w:val="32"/>
          <w:highlight w:val="none"/>
          <w:lang w:val="en-US" w:eastAsia="zh-CN" w:bidi="ar-SA"/>
        </w:rPr>
        <w:t>指标“查违综合防控安保人员数量”实际完成值为</w:t>
      </w:r>
      <w:r>
        <w:rPr>
          <w:rFonts w:hint="eastAsia" w:ascii="仿宋_GB2312" w:eastAsia="仿宋_GB2312" w:cs="Times New Roman"/>
          <w:color w:val="auto"/>
          <w:kern w:val="2"/>
          <w:sz w:val="32"/>
          <w:szCs w:val="32"/>
          <w:highlight w:val="none"/>
          <w:lang w:val="en-US" w:eastAsia="zh-CN" w:bidi="ar-SA"/>
        </w:rPr>
        <w:t>29人</w:t>
      </w:r>
      <w:r>
        <w:rPr>
          <w:rFonts w:hint="eastAsia" w:ascii="仿宋_GB2312" w:hAnsi="Times New Roman" w:eastAsia="仿宋_GB2312" w:cs="Times New Roman"/>
          <w:color w:val="auto"/>
          <w:kern w:val="2"/>
          <w:sz w:val="32"/>
          <w:szCs w:val="32"/>
          <w:highlight w:val="none"/>
          <w:lang w:val="en-US" w:eastAsia="zh-CN" w:bidi="ar-SA"/>
        </w:rPr>
        <w:t>，达到目标</w:t>
      </w:r>
      <w:r>
        <w:rPr>
          <w:rFonts w:hint="eastAsia" w:ascii="仿宋_GB2312" w:eastAsia="仿宋_GB2312" w:cs="Times New Roman"/>
          <w:color w:val="auto"/>
          <w:kern w:val="2"/>
          <w:sz w:val="32"/>
          <w:szCs w:val="32"/>
          <w:highlight w:val="none"/>
          <w:lang w:val="en-US" w:eastAsia="zh-CN" w:bidi="ar-SA"/>
        </w:rPr>
        <w:t>值</w:t>
      </w:r>
      <w:r>
        <w:rPr>
          <w:rFonts w:hint="eastAsia" w:ascii="仿宋_GB2312" w:hAnsi="Times New Roman" w:eastAsia="仿宋_GB2312" w:cs="Times New Roman"/>
          <w:color w:val="auto"/>
          <w:kern w:val="2"/>
          <w:sz w:val="32"/>
          <w:szCs w:val="32"/>
          <w:highlight w:val="none"/>
          <w:lang w:val="en-US" w:eastAsia="zh-CN" w:bidi="ar-SA"/>
        </w:rPr>
        <w:t>“≥</w:t>
      </w:r>
      <w:r>
        <w:rPr>
          <w:rFonts w:hint="eastAsia" w:ascii="仿宋_GB2312" w:eastAsia="仿宋_GB2312" w:cs="Times New Roman"/>
          <w:color w:val="auto"/>
          <w:kern w:val="2"/>
          <w:sz w:val="32"/>
          <w:szCs w:val="32"/>
          <w:highlight w:val="none"/>
          <w:lang w:val="en-US" w:eastAsia="zh-CN" w:bidi="ar-SA"/>
        </w:rPr>
        <w:t>29人</w:t>
      </w:r>
      <w:r>
        <w:rPr>
          <w:rFonts w:hint="eastAsia" w:ascii="仿宋_GB2312" w:hAnsi="Times New Roman" w:eastAsia="仿宋_GB2312" w:cs="Times New Roman"/>
          <w:color w:val="auto"/>
          <w:kern w:val="2"/>
          <w:sz w:val="32"/>
          <w:szCs w:val="32"/>
          <w:highlight w:val="none"/>
          <w:lang w:val="en-US" w:eastAsia="zh-CN" w:bidi="ar-SA"/>
        </w:rPr>
        <w:t>”。</w:t>
      </w:r>
    </w:p>
    <w:p>
      <w:pPr>
        <w:spacing w:beforeLines="0" w:line="560" w:lineRule="exact"/>
        <w:ind w:firstLine="642" w:firstLineChars="200"/>
        <w:jc w:val="both"/>
        <w:outlineLvl w:val="9"/>
        <w:rPr>
          <w:rFonts w:hint="default" w:ascii="仿宋_GB2312" w:hAnsi="仿宋_GB2312" w:eastAsia="仿宋_GB2312" w:cs="仿宋_GB2312"/>
          <w:bCs w:val="0"/>
          <w:color w:val="auto"/>
          <w:kern w:val="2"/>
          <w:sz w:val="32"/>
          <w:szCs w:val="32"/>
          <w:highlight w:val="none"/>
          <w:lang w:val="en-US" w:eastAsia="zh-CN" w:bidi="ar-SA"/>
        </w:rPr>
      </w:pPr>
      <w:r>
        <w:rPr>
          <w:rFonts w:hint="eastAsia" w:ascii="仿宋_GB2312" w:hAnsi="Times New Roman" w:eastAsia="仿宋_GB2312" w:cs="Times New Roman"/>
          <w:b/>
          <w:bCs/>
          <w:color w:val="auto"/>
          <w:kern w:val="2"/>
          <w:sz w:val="32"/>
          <w:szCs w:val="32"/>
          <w:highlight w:val="none"/>
          <w:lang w:val="en-US" w:eastAsia="zh-CN" w:bidi="ar-SA"/>
        </w:rPr>
        <w:t>二是设备配置完成情况。</w:t>
      </w:r>
      <w:r>
        <w:rPr>
          <w:rFonts w:hint="eastAsia" w:ascii="仿宋_GB2312" w:eastAsia="仿宋_GB2312" w:cs="Times New Roman"/>
          <w:b w:val="0"/>
          <w:bCs w:val="0"/>
          <w:color w:val="auto"/>
          <w:kern w:val="2"/>
          <w:sz w:val="32"/>
          <w:szCs w:val="32"/>
          <w:highlight w:val="none"/>
          <w:lang w:val="en-US" w:eastAsia="zh-CN" w:bidi="ar-SA"/>
        </w:rPr>
        <w:t>2025年1月—12月，服务方广东蓝水特卫保安服务有限公司、广东深南后勤城市保安服务有限公司均按照合同约定提供至少3辆工作车辆、3台行车记录仪、3台执法记录仪</w:t>
      </w:r>
      <w:r>
        <w:rPr>
          <w:rFonts w:hint="eastAsia" w:ascii="仿宋_GB2312" w:hAnsi="Times New Roman" w:eastAsia="仿宋_GB2312" w:cs="Times New Roman"/>
          <w:color w:val="auto"/>
          <w:kern w:val="2"/>
          <w:sz w:val="32"/>
          <w:szCs w:val="32"/>
          <w:highlight w:val="none"/>
          <w:lang w:val="en-US" w:eastAsia="zh-CN" w:bidi="ar-SA"/>
        </w:rPr>
        <w:t>。</w:t>
      </w:r>
      <w:r>
        <w:rPr>
          <w:rFonts w:hint="eastAsia" w:ascii="仿宋_GB2312" w:eastAsia="仿宋_GB2312" w:cs="Times New Roman"/>
          <w:color w:val="auto"/>
          <w:kern w:val="2"/>
          <w:sz w:val="32"/>
          <w:szCs w:val="32"/>
          <w:highlight w:val="none"/>
          <w:lang w:val="en-US" w:eastAsia="zh-CN" w:bidi="ar-SA"/>
        </w:rPr>
        <w:t>经查阅2025年1—12月月度考核表，指标“设备配置”均未出现扣分现象，</w:t>
      </w:r>
      <w:r>
        <w:rPr>
          <w:rFonts w:hint="eastAsia" w:ascii="仿宋_GB2312" w:hAnsi="Times New Roman" w:eastAsia="仿宋_GB2312" w:cs="Times New Roman"/>
          <w:color w:val="auto"/>
          <w:kern w:val="2"/>
          <w:sz w:val="32"/>
          <w:szCs w:val="32"/>
          <w:highlight w:val="none"/>
          <w:lang w:val="en-US" w:eastAsia="zh-CN" w:bidi="ar-SA"/>
        </w:rPr>
        <w:t>指标“设备配置完成</w:t>
      </w:r>
      <w:r>
        <w:rPr>
          <w:rFonts w:hint="eastAsia" w:ascii="仿宋_GB2312" w:eastAsia="仿宋_GB2312" w:cs="Times New Roman"/>
          <w:color w:val="auto"/>
          <w:kern w:val="2"/>
          <w:sz w:val="32"/>
          <w:szCs w:val="32"/>
          <w:highlight w:val="none"/>
          <w:lang w:val="en-US" w:eastAsia="zh-CN" w:bidi="ar-SA"/>
        </w:rPr>
        <w:t>率</w:t>
      </w:r>
      <w:r>
        <w:rPr>
          <w:rFonts w:hint="eastAsia" w:ascii="仿宋_GB2312" w:hAnsi="Times New Roman" w:eastAsia="仿宋_GB2312" w:cs="Times New Roman"/>
          <w:color w:val="auto"/>
          <w:kern w:val="2"/>
          <w:sz w:val="32"/>
          <w:szCs w:val="32"/>
          <w:highlight w:val="none"/>
          <w:lang w:val="en-US" w:eastAsia="zh-CN" w:bidi="ar-SA"/>
        </w:rPr>
        <w:t>”实际完成值为</w:t>
      </w:r>
      <w:r>
        <w:rPr>
          <w:rFonts w:hint="eastAsia" w:ascii="仿宋_GB2312" w:eastAsia="仿宋_GB2312" w:cs="Times New Roman"/>
          <w:color w:val="auto"/>
          <w:kern w:val="2"/>
          <w:sz w:val="32"/>
          <w:szCs w:val="32"/>
          <w:highlight w:val="none"/>
          <w:lang w:val="en-US" w:eastAsia="zh-CN" w:bidi="ar-SA"/>
        </w:rPr>
        <w:t>100%</w:t>
      </w:r>
      <w:r>
        <w:rPr>
          <w:rFonts w:hint="eastAsia" w:ascii="仿宋_GB2312" w:hAnsi="Times New Roman" w:eastAsia="仿宋_GB2312" w:cs="Times New Roman"/>
          <w:color w:val="auto"/>
          <w:kern w:val="2"/>
          <w:sz w:val="32"/>
          <w:szCs w:val="32"/>
          <w:highlight w:val="none"/>
          <w:lang w:val="en-US" w:eastAsia="zh-CN" w:bidi="ar-SA"/>
        </w:rPr>
        <w:t>，达到目标</w:t>
      </w:r>
      <w:r>
        <w:rPr>
          <w:rFonts w:hint="eastAsia" w:ascii="仿宋_GB2312" w:eastAsia="仿宋_GB2312" w:cs="Times New Roman"/>
          <w:color w:val="auto"/>
          <w:kern w:val="2"/>
          <w:sz w:val="32"/>
          <w:szCs w:val="32"/>
          <w:highlight w:val="none"/>
          <w:lang w:val="en-US" w:eastAsia="zh-CN" w:bidi="ar-SA"/>
        </w:rPr>
        <w:t>值</w:t>
      </w:r>
      <w:r>
        <w:rPr>
          <w:rFonts w:hint="eastAsia" w:ascii="仿宋_GB2312" w:hAnsi="Times New Roman" w:eastAsia="仿宋_GB2312" w:cs="Times New Roman"/>
          <w:color w:val="auto"/>
          <w:kern w:val="2"/>
          <w:sz w:val="32"/>
          <w:szCs w:val="32"/>
          <w:highlight w:val="none"/>
          <w:lang w:val="en-US" w:eastAsia="zh-CN" w:bidi="ar-SA"/>
        </w:rPr>
        <w:t>“</w:t>
      </w:r>
      <w:r>
        <w:rPr>
          <w:rFonts w:hint="eastAsia" w:ascii="仿宋_GB2312" w:eastAsia="仿宋_GB2312" w:cs="Times New Roman"/>
          <w:color w:val="auto"/>
          <w:kern w:val="2"/>
          <w:sz w:val="32"/>
          <w:szCs w:val="32"/>
          <w:highlight w:val="none"/>
          <w:lang w:val="en-US" w:eastAsia="zh-CN" w:bidi="ar-SA"/>
        </w:rPr>
        <w:t>100%</w:t>
      </w:r>
      <w:r>
        <w:rPr>
          <w:rFonts w:hint="eastAsia" w:ascii="仿宋_GB2312" w:hAnsi="Times New Roman" w:eastAsia="仿宋_GB2312" w:cs="Times New Roman"/>
          <w:color w:val="auto"/>
          <w:kern w:val="2"/>
          <w:sz w:val="32"/>
          <w:szCs w:val="32"/>
          <w:highlight w:val="none"/>
          <w:lang w:val="en-US" w:eastAsia="zh-CN" w:bidi="ar-SA"/>
        </w:rPr>
        <w:t>”。</w:t>
      </w:r>
    </w:p>
    <w:p>
      <w:pPr>
        <w:spacing w:beforeLines="0" w:line="560" w:lineRule="exact"/>
        <w:ind w:firstLine="640" w:firstLineChars="200"/>
        <w:jc w:val="both"/>
        <w:outlineLvl w:val="1"/>
        <w:rPr>
          <w:rFonts w:hint="eastAsia" w:ascii="仿宋_GB2312" w:hAnsi="Times New Roman" w:eastAsia="仿宋_GB2312" w:cs="Times New Roman"/>
          <w:sz w:val="32"/>
          <w:szCs w:val="32"/>
          <w:lang w:val="en-US" w:eastAsia="zh-CN"/>
        </w:rPr>
      </w:pPr>
      <w:bookmarkStart w:id="157" w:name="_Toc4685"/>
      <w:bookmarkStart w:id="158" w:name="_Toc18089"/>
      <w:bookmarkStart w:id="159" w:name="_Toc980"/>
      <w:r>
        <w:rPr>
          <w:rFonts w:hint="eastAsia" w:ascii="仿宋_GB2312" w:hAnsi="Times New Roman" w:eastAsia="仿宋_GB2312" w:cs="Times New Roman"/>
          <w:sz w:val="32"/>
          <w:szCs w:val="32"/>
          <w:lang w:val="en-US" w:eastAsia="zh-CN"/>
        </w:rPr>
        <w:t>2.质量指标</w:t>
      </w:r>
      <w:bookmarkEnd w:id="157"/>
      <w:bookmarkEnd w:id="158"/>
      <w:bookmarkEnd w:id="159"/>
    </w:p>
    <w:p>
      <w:pPr>
        <w:keepNext w:val="0"/>
        <w:keepLines w:val="0"/>
        <w:pageBreakBefore w:val="0"/>
        <w:widowControl/>
        <w:kinsoku/>
        <w:wordWrap/>
        <w:overflowPunct/>
        <w:topLinePunct w:val="0"/>
        <w:autoSpaceDE/>
        <w:autoSpaceDN/>
        <w:bidi w:val="0"/>
        <w:adjustRightInd/>
        <w:snapToGrid/>
        <w:spacing w:beforeLines="0" w:line="560" w:lineRule="exact"/>
        <w:ind w:firstLine="642" w:firstLineChars="200"/>
        <w:jc w:val="both"/>
        <w:textAlignment w:val="auto"/>
        <w:outlineLvl w:val="9"/>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一是查违综合防控服务考核情况。</w:t>
      </w:r>
      <w:r>
        <w:rPr>
          <w:rFonts w:hint="eastAsia" w:ascii="仿宋_GB2312" w:hAnsi="Times New Roman" w:eastAsia="仿宋_GB2312" w:cs="Times New Roman"/>
          <w:color w:val="auto"/>
          <w:kern w:val="2"/>
          <w:sz w:val="32"/>
          <w:szCs w:val="32"/>
          <w:highlight w:val="none"/>
          <w:lang w:val="en-US" w:eastAsia="zh-CN" w:bidi="ar-SA"/>
        </w:rPr>
        <w:t>2025年我街道</w:t>
      </w:r>
      <w:r>
        <w:rPr>
          <w:rFonts w:hint="eastAsia" w:ascii="仿宋_GB2312" w:eastAsia="仿宋_GB2312" w:cs="Times New Roman"/>
          <w:color w:val="auto"/>
          <w:kern w:val="2"/>
          <w:sz w:val="32"/>
          <w:szCs w:val="32"/>
          <w:highlight w:val="none"/>
          <w:lang w:val="en-US" w:eastAsia="zh-CN" w:bidi="ar-SA"/>
        </w:rPr>
        <w:t>落实查违综合防控服务考核监管机制，经查阅2025年1—12月月度考核表，全年未发现考核为“不及格”的情况，有11个月考核达“合格”，1个月考核为“基本及格”。根据评分标准，指标“查违综合防控服务考核达标率”</w:t>
      </w:r>
      <w:r>
        <w:rPr>
          <w:rFonts w:hint="eastAsia" w:ascii="仿宋_GB2312" w:hAnsi="Times New Roman" w:eastAsia="仿宋_GB2312" w:cs="Times New Roman"/>
          <w:color w:val="auto"/>
          <w:sz w:val="32"/>
          <w:szCs w:val="32"/>
          <w:highlight w:val="none"/>
          <w:lang w:val="en-US" w:eastAsia="zh-CN"/>
        </w:rPr>
        <w:t>实际完成值为</w:t>
      </w:r>
      <w:r>
        <w:rPr>
          <w:rFonts w:hint="eastAsia" w:ascii="仿宋_GB2312" w:eastAsia="仿宋_GB2312" w:cs="Times New Roman"/>
          <w:color w:val="auto"/>
          <w:sz w:val="32"/>
          <w:szCs w:val="32"/>
          <w:highlight w:val="none"/>
          <w:lang w:val="en-US" w:eastAsia="zh-CN"/>
        </w:rPr>
        <w:t>91.67</w:t>
      </w:r>
      <w:r>
        <w:rPr>
          <w:rFonts w:hint="eastAsia" w:ascii="仿宋_GB2312" w:hAnsi="Times New Roman" w:eastAsia="仿宋_GB2312" w:cs="Times New Roman"/>
          <w:color w:val="auto"/>
          <w:sz w:val="32"/>
          <w:szCs w:val="32"/>
          <w:highlight w:val="none"/>
          <w:lang w:val="en-US" w:eastAsia="zh-CN"/>
        </w:rPr>
        <w:t>%</w:t>
      </w:r>
      <w:r>
        <w:rPr>
          <w:rFonts w:hint="eastAsia" w:ascii="仿宋_GB2312" w:eastAsia="仿宋_GB2312" w:cs="Times New Roman"/>
          <w:color w:val="auto"/>
          <w:sz w:val="32"/>
          <w:szCs w:val="32"/>
          <w:highlight w:val="none"/>
          <w:lang w:val="en-US" w:eastAsia="zh-CN"/>
        </w:rPr>
        <w:t>（11/12*100%）</w:t>
      </w:r>
      <w:r>
        <w:rPr>
          <w:rFonts w:hint="eastAsia" w:ascii="仿宋_GB2312" w:hAnsi="Times New Roman" w:eastAsia="仿宋_GB2312" w:cs="Times New Roman"/>
          <w:color w:val="auto"/>
          <w:sz w:val="32"/>
          <w:szCs w:val="32"/>
          <w:highlight w:val="none"/>
          <w:lang w:val="en-US" w:eastAsia="zh-CN"/>
        </w:rPr>
        <w:t>，</w:t>
      </w:r>
      <w:r>
        <w:rPr>
          <w:rFonts w:hint="eastAsia" w:ascii="仿宋_GB2312" w:eastAsia="仿宋_GB2312" w:cs="Times New Roman"/>
          <w:color w:val="auto"/>
          <w:sz w:val="32"/>
          <w:szCs w:val="32"/>
          <w:highlight w:val="none"/>
          <w:lang w:val="en-US" w:eastAsia="zh-CN"/>
        </w:rPr>
        <w:t>未达到</w:t>
      </w:r>
      <w:r>
        <w:rPr>
          <w:rFonts w:hint="eastAsia" w:ascii="仿宋_GB2312" w:hAnsi="Times New Roman" w:eastAsia="仿宋_GB2312" w:cs="Times New Roman"/>
          <w:color w:val="auto"/>
          <w:kern w:val="2"/>
          <w:sz w:val="32"/>
          <w:szCs w:val="32"/>
          <w:highlight w:val="none"/>
          <w:lang w:val="en-US" w:eastAsia="zh-CN" w:bidi="ar-SA"/>
        </w:rPr>
        <w:t>目标</w:t>
      </w:r>
      <w:r>
        <w:rPr>
          <w:rFonts w:hint="eastAsia" w:ascii="仿宋_GB2312" w:eastAsia="仿宋_GB2312" w:cs="Times New Roman"/>
          <w:color w:val="auto"/>
          <w:kern w:val="2"/>
          <w:sz w:val="32"/>
          <w:szCs w:val="32"/>
          <w:highlight w:val="none"/>
          <w:lang w:val="en-US" w:eastAsia="zh-CN" w:bidi="ar-SA"/>
        </w:rPr>
        <w:t>值</w:t>
      </w:r>
      <w:r>
        <w:rPr>
          <w:rFonts w:hint="eastAsia" w:ascii="仿宋_GB2312" w:hAnsi="Times New Roman" w:eastAsia="仿宋_GB2312" w:cs="Times New Roman"/>
          <w:color w:val="auto"/>
          <w:kern w:val="2"/>
          <w:sz w:val="32"/>
          <w:szCs w:val="32"/>
          <w:highlight w:val="none"/>
          <w:lang w:val="en-US" w:eastAsia="zh-CN" w:bidi="ar-SA"/>
        </w:rPr>
        <w:t>“</w:t>
      </w:r>
      <w:r>
        <w:rPr>
          <w:rFonts w:hint="eastAsia" w:ascii="仿宋_GB2312" w:eastAsia="仿宋_GB2312" w:cs="Times New Roman"/>
          <w:color w:val="auto"/>
          <w:kern w:val="2"/>
          <w:sz w:val="32"/>
          <w:szCs w:val="32"/>
          <w:highlight w:val="none"/>
          <w:lang w:val="en-US" w:eastAsia="zh-CN" w:bidi="ar-SA"/>
        </w:rPr>
        <w:t>100%</w:t>
      </w:r>
      <w:r>
        <w:rPr>
          <w:rFonts w:hint="eastAsia" w:ascii="仿宋_GB2312" w:hAnsi="Times New Roman" w:eastAsia="仿宋_GB2312" w:cs="Times New Roman"/>
          <w:color w:val="auto"/>
          <w:kern w:val="2"/>
          <w:sz w:val="32"/>
          <w:szCs w:val="32"/>
          <w:highlight w:val="none"/>
          <w:lang w:val="en-US" w:eastAsia="zh-CN" w:bidi="ar-SA"/>
        </w:rPr>
        <w:t>”</w:t>
      </w:r>
      <w:r>
        <w:rPr>
          <w:rFonts w:hint="eastAsia" w:ascii="仿宋_GB2312" w:eastAsia="仿宋_GB2312" w:cs="Times New Roman"/>
          <w:color w:val="auto"/>
          <w:kern w:val="2"/>
          <w:sz w:val="32"/>
          <w:szCs w:val="32"/>
          <w:highlight w:val="none"/>
          <w:lang w:val="en-US" w:eastAsia="zh-CN" w:bidi="ar-SA"/>
        </w:rPr>
        <w:t>，本指标扣0.58分。</w:t>
      </w:r>
    </w:p>
    <w:p>
      <w:pPr>
        <w:keepNext w:val="0"/>
        <w:keepLines w:val="0"/>
        <w:pageBreakBefore w:val="0"/>
        <w:widowControl/>
        <w:kinsoku/>
        <w:wordWrap/>
        <w:overflowPunct/>
        <w:topLinePunct w:val="0"/>
        <w:autoSpaceDE/>
        <w:autoSpaceDN/>
        <w:bidi w:val="0"/>
        <w:adjustRightInd/>
        <w:snapToGrid/>
        <w:spacing w:beforeLines="0" w:line="560" w:lineRule="exact"/>
        <w:ind w:firstLine="642" w:firstLineChars="200"/>
        <w:jc w:val="both"/>
        <w:textAlignment w:val="auto"/>
        <w:outlineLvl w:val="9"/>
        <w:rPr>
          <w:rFonts w:hint="default" w:ascii="仿宋_GB2312" w:hAnsi="仿宋_GB2312" w:eastAsia="仿宋_GB2312" w:cs="仿宋_GB2312"/>
          <w:bCs w:val="0"/>
          <w:color w:val="auto"/>
          <w:kern w:val="2"/>
          <w:sz w:val="32"/>
          <w:szCs w:val="32"/>
          <w:highlight w:val="none"/>
          <w:lang w:val="en-US" w:eastAsia="zh-CN" w:bidi="ar-SA"/>
        </w:rPr>
      </w:pPr>
      <w:r>
        <w:rPr>
          <w:rFonts w:hint="eastAsia" w:ascii="仿宋_GB2312" w:eastAsia="仿宋_GB2312" w:cs="Times New Roman"/>
          <w:b/>
          <w:bCs/>
          <w:color w:val="auto"/>
          <w:kern w:val="2"/>
          <w:sz w:val="32"/>
          <w:szCs w:val="32"/>
          <w:highlight w:val="none"/>
          <w:lang w:val="en-US" w:eastAsia="zh-CN" w:bidi="ar-SA"/>
        </w:rPr>
        <w:t>二是全年累计漏检次数情况</w:t>
      </w:r>
      <w:r>
        <w:rPr>
          <w:rFonts w:hint="eastAsia" w:ascii="仿宋_GB2312" w:hAnsi="Times New Roman" w:eastAsia="仿宋_GB2312" w:cs="Times New Roman"/>
          <w:color w:val="auto"/>
          <w:kern w:val="2"/>
          <w:sz w:val="32"/>
          <w:szCs w:val="32"/>
          <w:highlight w:val="none"/>
          <w:lang w:val="en-US" w:eastAsia="zh-CN" w:bidi="ar-SA"/>
        </w:rPr>
        <w:t>。</w:t>
      </w:r>
      <w:r>
        <w:rPr>
          <w:rFonts w:hint="eastAsia" w:ascii="仿宋_GB2312" w:eastAsia="仿宋_GB2312" w:cs="Times New Roman"/>
          <w:color w:val="auto"/>
          <w:kern w:val="2"/>
          <w:sz w:val="32"/>
          <w:szCs w:val="32"/>
          <w:highlight w:val="none"/>
          <w:lang w:val="en-US" w:eastAsia="zh-CN" w:bidi="ar-SA"/>
        </w:rPr>
        <w:t>通过查阅2025年1—12月月度考核表中指标“服务质量及工作台账情况”的得分情况，统计得出全年累计漏检次数实际为9次，根据评分标准，实际完成值达到</w:t>
      </w:r>
      <w:r>
        <w:rPr>
          <w:rFonts w:hint="eastAsia" w:ascii="仿宋_GB2312" w:hAnsi="Times New Roman" w:eastAsia="仿宋_GB2312" w:cs="Times New Roman"/>
          <w:color w:val="auto"/>
          <w:kern w:val="2"/>
          <w:sz w:val="32"/>
          <w:szCs w:val="32"/>
          <w:highlight w:val="none"/>
          <w:lang w:val="en-US" w:eastAsia="zh-CN" w:bidi="ar-SA"/>
        </w:rPr>
        <w:t>目标</w:t>
      </w:r>
      <w:r>
        <w:rPr>
          <w:rFonts w:hint="eastAsia" w:ascii="仿宋_GB2312" w:eastAsia="仿宋_GB2312" w:cs="Times New Roman"/>
          <w:color w:val="auto"/>
          <w:kern w:val="2"/>
          <w:sz w:val="32"/>
          <w:szCs w:val="32"/>
          <w:highlight w:val="none"/>
          <w:lang w:val="en-US" w:eastAsia="zh-CN" w:bidi="ar-SA"/>
        </w:rPr>
        <w:t>值“≤12次”。</w:t>
      </w:r>
    </w:p>
    <w:p>
      <w:pPr>
        <w:spacing w:beforeLines="0" w:line="560" w:lineRule="exact"/>
        <w:ind w:firstLine="640" w:firstLineChars="200"/>
        <w:jc w:val="both"/>
        <w:outlineLvl w:val="1"/>
        <w:rPr>
          <w:rFonts w:hint="eastAsia" w:ascii="仿宋_GB2312" w:hAnsi="Times New Roman" w:eastAsia="仿宋_GB2312" w:cs="Times New Roman"/>
          <w:sz w:val="32"/>
          <w:szCs w:val="32"/>
          <w:lang w:val="en-US" w:eastAsia="zh-CN"/>
        </w:rPr>
      </w:pPr>
      <w:bookmarkStart w:id="160" w:name="_Toc23786"/>
      <w:bookmarkStart w:id="161" w:name="_Toc886"/>
      <w:bookmarkStart w:id="162" w:name="_Toc30291"/>
      <w:r>
        <w:rPr>
          <w:rFonts w:hint="eastAsia" w:ascii="仿宋_GB2312" w:hAnsi="Times New Roman" w:eastAsia="仿宋_GB2312" w:cs="Times New Roman"/>
          <w:sz w:val="32"/>
          <w:szCs w:val="32"/>
          <w:lang w:val="en-US" w:eastAsia="zh-CN"/>
        </w:rPr>
        <w:t>3.时效指标</w:t>
      </w:r>
      <w:bookmarkEnd w:id="160"/>
      <w:bookmarkEnd w:id="161"/>
      <w:bookmarkEnd w:id="162"/>
    </w:p>
    <w:p>
      <w:pPr>
        <w:spacing w:beforeLines="0" w:line="560" w:lineRule="exact"/>
        <w:ind w:firstLine="642" w:firstLineChars="200"/>
        <w:jc w:val="both"/>
        <w:outlineLvl w:val="9"/>
        <w:rPr>
          <w:rFonts w:hint="default" w:ascii="仿宋_GB2312" w:hAnsi="仿宋_GB2312" w:eastAsia="仿宋_GB2312" w:cs="仿宋_GB2312"/>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巡查资料上报及时性情况。</w:t>
      </w:r>
      <w:r>
        <w:rPr>
          <w:rFonts w:hint="eastAsia" w:ascii="仿宋_GB2312" w:hAnsi="仿宋_GB2312" w:eastAsia="仿宋_GB2312" w:cs="仿宋_GB2312"/>
          <w:b w:val="0"/>
          <w:bCs w:val="0"/>
          <w:color w:val="auto"/>
          <w:kern w:val="2"/>
          <w:sz w:val="32"/>
          <w:szCs w:val="32"/>
          <w:highlight w:val="none"/>
          <w:lang w:val="en-US" w:eastAsia="zh-CN" w:bidi="ar-SA"/>
        </w:rPr>
        <w:t>通过</w:t>
      </w:r>
      <w:r>
        <w:rPr>
          <w:rFonts w:hint="eastAsia" w:ascii="仿宋_GB2312" w:eastAsia="仿宋_GB2312" w:cs="Times New Roman"/>
          <w:color w:val="auto"/>
          <w:kern w:val="2"/>
          <w:sz w:val="32"/>
          <w:szCs w:val="32"/>
          <w:highlight w:val="none"/>
          <w:lang w:val="en-US" w:eastAsia="zh-CN" w:bidi="ar-SA"/>
        </w:rPr>
        <w:t>查阅2025年1—12月月度考核表中指标“服务质量及工作台账情况”的得分情况</w:t>
      </w:r>
      <w:r>
        <w:rPr>
          <w:rFonts w:hint="eastAsia" w:ascii="仿宋_GB2312" w:hAnsi="仿宋_GB2312" w:eastAsia="仿宋_GB2312" w:cs="仿宋_GB2312"/>
          <w:bCs w:val="0"/>
          <w:color w:val="auto"/>
          <w:kern w:val="2"/>
          <w:sz w:val="32"/>
          <w:szCs w:val="32"/>
          <w:highlight w:val="none"/>
          <w:lang w:val="en-US" w:eastAsia="zh-CN" w:bidi="ar-SA"/>
        </w:rPr>
        <w:t>，</w:t>
      </w:r>
      <w:r>
        <w:rPr>
          <w:rFonts w:hint="eastAsia" w:ascii="仿宋_GB2312" w:eastAsia="仿宋_GB2312" w:cs="Times New Roman"/>
          <w:color w:val="auto"/>
          <w:kern w:val="2"/>
          <w:sz w:val="32"/>
          <w:szCs w:val="32"/>
          <w:highlight w:val="none"/>
          <w:lang w:val="en-US" w:eastAsia="zh-CN" w:bidi="ar-SA"/>
        </w:rPr>
        <w:t>统计得出有6个月存在未能做好或未及时上报巡视记录、台账的情况，根据评分标准，</w:t>
      </w:r>
      <w:r>
        <w:rPr>
          <w:rFonts w:hint="eastAsia" w:ascii="仿宋_GB2312" w:hAnsi="仿宋_GB2312" w:eastAsia="仿宋_GB2312" w:cs="仿宋_GB2312"/>
          <w:bCs w:val="0"/>
          <w:color w:val="auto"/>
          <w:kern w:val="2"/>
          <w:sz w:val="32"/>
          <w:szCs w:val="32"/>
          <w:highlight w:val="none"/>
          <w:lang w:val="en-US" w:eastAsia="zh-CN" w:bidi="ar-SA"/>
        </w:rPr>
        <w:t>指标“巡查资料上报及时率”实际完成值为50%（6/12*100%），未</w:t>
      </w:r>
      <w:r>
        <w:rPr>
          <w:rFonts w:hint="eastAsia" w:ascii="仿宋_GB2312" w:hAnsi="Times New Roman" w:eastAsia="仿宋_GB2312" w:cs="Times New Roman"/>
          <w:color w:val="auto"/>
          <w:kern w:val="2"/>
          <w:sz w:val="32"/>
          <w:szCs w:val="32"/>
          <w:highlight w:val="none"/>
          <w:lang w:val="en-US" w:eastAsia="zh-CN" w:bidi="ar-SA"/>
        </w:rPr>
        <w:t>达到目标</w:t>
      </w:r>
      <w:r>
        <w:rPr>
          <w:rFonts w:hint="eastAsia" w:ascii="仿宋_GB2312" w:eastAsia="仿宋_GB2312" w:cs="Times New Roman"/>
          <w:color w:val="auto"/>
          <w:kern w:val="2"/>
          <w:sz w:val="32"/>
          <w:szCs w:val="32"/>
          <w:highlight w:val="none"/>
          <w:lang w:val="en-US" w:eastAsia="zh-CN" w:bidi="ar-SA"/>
        </w:rPr>
        <w:t>值</w:t>
      </w:r>
      <w:r>
        <w:rPr>
          <w:rFonts w:hint="eastAsia" w:ascii="仿宋_GB2312" w:hAnsi="Times New Roman" w:eastAsia="仿宋_GB2312" w:cs="Times New Roman"/>
          <w:color w:val="auto"/>
          <w:kern w:val="2"/>
          <w:sz w:val="32"/>
          <w:szCs w:val="32"/>
          <w:highlight w:val="none"/>
          <w:lang w:val="en-US" w:eastAsia="zh-CN" w:bidi="ar-SA"/>
        </w:rPr>
        <w:t>“100%”</w:t>
      </w:r>
      <w:r>
        <w:rPr>
          <w:rFonts w:hint="eastAsia" w:ascii="仿宋_GB2312" w:eastAsia="仿宋_GB2312" w:cs="Times New Roman"/>
          <w:color w:val="auto"/>
          <w:kern w:val="2"/>
          <w:sz w:val="32"/>
          <w:szCs w:val="32"/>
          <w:highlight w:val="none"/>
          <w:lang w:val="en-US" w:eastAsia="zh-CN" w:bidi="ar-SA"/>
        </w:rPr>
        <w:t>，本指标扣3分</w:t>
      </w:r>
      <w:r>
        <w:rPr>
          <w:rFonts w:hint="eastAsia" w:ascii="仿宋_GB2312" w:hAnsi="Times New Roman" w:eastAsia="仿宋_GB2312" w:cs="Times New Roman"/>
          <w:color w:val="auto"/>
          <w:kern w:val="2"/>
          <w:sz w:val="32"/>
          <w:szCs w:val="32"/>
          <w:highlight w:val="none"/>
          <w:lang w:val="en-US" w:eastAsia="zh-CN" w:bidi="ar-SA"/>
        </w:rPr>
        <w:t>。</w:t>
      </w:r>
    </w:p>
    <w:p>
      <w:pPr>
        <w:spacing w:beforeLines="0" w:line="560" w:lineRule="exact"/>
        <w:ind w:firstLine="640" w:firstLineChars="200"/>
        <w:jc w:val="both"/>
        <w:outlineLvl w:val="1"/>
        <w:rPr>
          <w:rFonts w:hint="eastAsia" w:ascii="仿宋_GB2312" w:hAnsi="Times New Roman" w:eastAsia="仿宋_GB2312" w:cs="Times New Roman"/>
          <w:sz w:val="32"/>
          <w:szCs w:val="32"/>
          <w:lang w:val="en-US" w:eastAsia="zh-CN"/>
        </w:rPr>
      </w:pPr>
      <w:bookmarkStart w:id="163" w:name="_Toc26861"/>
      <w:bookmarkStart w:id="164" w:name="_Toc14692"/>
      <w:bookmarkStart w:id="165" w:name="_Toc27943"/>
      <w:r>
        <w:rPr>
          <w:rFonts w:hint="eastAsia" w:ascii="仿宋_GB2312" w:hAnsi="Times New Roman" w:eastAsia="仿宋_GB2312" w:cs="Times New Roman"/>
          <w:sz w:val="32"/>
          <w:szCs w:val="32"/>
          <w:lang w:val="en-US" w:eastAsia="zh-CN"/>
        </w:rPr>
        <w:t>4.成本指标</w:t>
      </w:r>
      <w:bookmarkEnd w:id="163"/>
      <w:bookmarkEnd w:id="164"/>
      <w:bookmarkEnd w:id="165"/>
    </w:p>
    <w:p>
      <w:pPr>
        <w:spacing w:beforeLines="0" w:line="560" w:lineRule="exact"/>
        <w:ind w:firstLine="642" w:firstLineChars="200"/>
        <w:jc w:val="both"/>
        <w:outlineLvl w:val="9"/>
        <w:rPr>
          <w:rFonts w:hint="default" w:ascii="仿宋_GB2312" w:hAnsi="仿宋_GB2312" w:eastAsia="仿宋_GB2312" w:cs="仿宋_GB2312"/>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成本控制率情况。</w:t>
      </w:r>
      <w:r>
        <w:rPr>
          <w:rFonts w:hint="eastAsia" w:ascii="仿宋_GB2312" w:hAnsi="仿宋_GB2312" w:eastAsia="仿宋_GB2312" w:cs="仿宋_GB2312"/>
          <w:bCs w:val="0"/>
          <w:color w:val="auto"/>
          <w:kern w:val="2"/>
          <w:sz w:val="32"/>
          <w:szCs w:val="32"/>
          <w:highlight w:val="none"/>
          <w:lang w:val="en-US" w:eastAsia="zh-CN" w:bidi="ar-SA"/>
        </w:rPr>
        <w:t>2025年本项目年初预算244万元，全年实际支</w:t>
      </w:r>
      <w:r>
        <w:rPr>
          <w:rFonts w:hint="eastAsia" w:ascii="仿宋_GB2312" w:eastAsia="仿宋_GB2312" w:cs="Times New Roman"/>
          <w:sz w:val="32"/>
          <w:szCs w:val="32"/>
        </w:rPr>
        <w:t>出</w:t>
      </w:r>
      <w:r>
        <w:rPr>
          <w:rFonts w:hint="eastAsia" w:ascii="仿宋_GB2312" w:eastAsia="仿宋_GB2312" w:cs="Times New Roman"/>
          <w:sz w:val="32"/>
          <w:szCs w:val="32"/>
          <w:lang w:val="en-US" w:eastAsia="zh-CN"/>
        </w:rPr>
        <w:t>242.85万元</w:t>
      </w:r>
      <w:r>
        <w:rPr>
          <w:rFonts w:hint="eastAsia" w:ascii="仿宋_GB2312" w:hAnsi="仿宋_GB2312" w:eastAsia="仿宋_GB2312" w:cs="仿宋_GB2312"/>
          <w:bCs w:val="0"/>
          <w:color w:val="auto"/>
          <w:kern w:val="2"/>
          <w:sz w:val="32"/>
          <w:szCs w:val="32"/>
          <w:highlight w:val="none"/>
          <w:lang w:val="en-US" w:eastAsia="zh-CN" w:bidi="ar-SA"/>
        </w:rPr>
        <w:t>，所有款项均按合同约定标准据实结算。指标“成本控制率”实际完成值为99.53%，</w:t>
      </w:r>
      <w:r>
        <w:rPr>
          <w:rFonts w:hint="eastAsia" w:ascii="仿宋_GB2312" w:hAnsi="Times New Roman" w:eastAsia="仿宋_GB2312" w:cs="Times New Roman"/>
          <w:color w:val="auto"/>
          <w:kern w:val="2"/>
          <w:sz w:val="32"/>
          <w:szCs w:val="32"/>
          <w:highlight w:val="none"/>
          <w:lang w:val="en-US" w:eastAsia="zh-CN" w:bidi="ar-SA"/>
        </w:rPr>
        <w:t>达到目标</w:t>
      </w:r>
      <w:r>
        <w:rPr>
          <w:rFonts w:hint="eastAsia" w:ascii="仿宋_GB2312" w:eastAsia="仿宋_GB2312" w:cs="Times New Roman"/>
          <w:color w:val="auto"/>
          <w:kern w:val="2"/>
          <w:sz w:val="32"/>
          <w:szCs w:val="32"/>
          <w:highlight w:val="none"/>
          <w:lang w:val="en-US" w:eastAsia="zh-CN" w:bidi="ar-SA"/>
        </w:rPr>
        <w:t>值</w:t>
      </w:r>
      <w:r>
        <w:rPr>
          <w:rFonts w:hint="eastAsia" w:ascii="仿宋_GB2312" w:hAnsi="Times New Roman" w:eastAsia="仿宋_GB2312" w:cs="Times New Roman"/>
          <w:color w:val="auto"/>
          <w:kern w:val="2"/>
          <w:sz w:val="32"/>
          <w:szCs w:val="32"/>
          <w:highlight w:val="none"/>
          <w:lang w:val="en-US" w:eastAsia="zh-CN" w:bidi="ar-SA"/>
        </w:rPr>
        <w:t>“</w:t>
      </w:r>
      <w:r>
        <w:rPr>
          <w:rFonts w:hint="eastAsia" w:ascii="仿宋_GB2312" w:eastAsia="仿宋_GB2312" w:cs="Times New Roman"/>
          <w:color w:val="auto"/>
          <w:kern w:val="2"/>
          <w:sz w:val="32"/>
          <w:szCs w:val="32"/>
          <w:highlight w:val="none"/>
          <w:lang w:val="en-US" w:eastAsia="zh-CN" w:bidi="ar-SA"/>
        </w:rPr>
        <w:t>90%—100%</w:t>
      </w:r>
      <w:r>
        <w:rPr>
          <w:rFonts w:hint="eastAsia" w:ascii="仿宋_GB2312" w:hAnsi="Times New Roman" w:eastAsia="仿宋_GB2312" w:cs="Times New Roman"/>
          <w:color w:val="auto"/>
          <w:kern w:val="2"/>
          <w:sz w:val="32"/>
          <w:szCs w:val="32"/>
          <w:highlight w:val="none"/>
          <w:lang w:val="en-US" w:eastAsia="zh-CN" w:bidi="ar-SA"/>
        </w:rPr>
        <w:t>”。</w:t>
      </w:r>
    </w:p>
    <w:p>
      <w:pPr>
        <w:spacing w:beforeLines="0" w:line="560" w:lineRule="exact"/>
        <w:ind w:firstLine="640" w:firstLineChars="200"/>
        <w:jc w:val="both"/>
        <w:outlineLvl w:val="1"/>
        <w:rPr>
          <w:rFonts w:hint="eastAsia" w:ascii="仿宋_GB2312" w:hAnsi="Times New Roman" w:eastAsia="仿宋_GB2312" w:cs="Times New Roman"/>
          <w:sz w:val="32"/>
          <w:szCs w:val="32"/>
          <w:lang w:val="en-US" w:eastAsia="zh-CN"/>
        </w:rPr>
      </w:pPr>
      <w:bookmarkStart w:id="166" w:name="_Toc28960"/>
      <w:bookmarkStart w:id="167" w:name="_Toc29499"/>
      <w:bookmarkStart w:id="168" w:name="_Toc5409"/>
      <w:r>
        <w:rPr>
          <w:rFonts w:hint="eastAsia" w:ascii="仿宋_GB2312" w:hAnsi="Times New Roman" w:eastAsia="仿宋_GB2312" w:cs="Times New Roman"/>
          <w:sz w:val="32"/>
          <w:szCs w:val="32"/>
          <w:lang w:val="en-US" w:eastAsia="zh-CN"/>
        </w:rPr>
        <w:t>5.社会效益指标</w:t>
      </w:r>
      <w:bookmarkEnd w:id="166"/>
      <w:bookmarkEnd w:id="167"/>
      <w:bookmarkEnd w:id="168"/>
    </w:p>
    <w:p>
      <w:pPr>
        <w:keepNext w:val="0"/>
        <w:keepLines w:val="0"/>
        <w:pageBreakBefore w:val="0"/>
        <w:widowControl/>
        <w:kinsoku/>
        <w:wordWrap/>
        <w:overflowPunct/>
        <w:topLinePunct w:val="0"/>
        <w:autoSpaceDE/>
        <w:autoSpaceDN/>
        <w:bidi w:val="0"/>
        <w:adjustRightInd/>
        <w:snapToGrid/>
        <w:spacing w:beforeLines="0" w:line="560" w:lineRule="exact"/>
        <w:ind w:firstLine="642" w:firstLineChars="200"/>
        <w:jc w:val="both"/>
        <w:textAlignment w:val="auto"/>
        <w:outlineLvl w:val="9"/>
        <w:rPr>
          <w:rFonts w:hint="default" w:ascii="仿宋_GB2312" w:hAnsi="仿宋_GB2312" w:eastAsia="仿宋_GB2312" w:cs="仿宋_GB2312"/>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违建“零增量、减存量”目标完成情况。</w:t>
      </w:r>
      <w:r>
        <w:rPr>
          <w:rFonts w:hint="eastAsia" w:ascii="仿宋_GB2312" w:hAnsi="仿宋_GB2312" w:eastAsia="仿宋_GB2312" w:cs="仿宋_GB2312"/>
          <w:bCs w:val="0"/>
          <w:color w:val="auto"/>
          <w:kern w:val="2"/>
          <w:sz w:val="32"/>
          <w:szCs w:val="32"/>
          <w:highlight w:val="none"/>
          <w:lang w:val="en-US" w:eastAsia="zh-CN" w:bidi="ar-SA"/>
        </w:rPr>
        <w:t>2025年我</w:t>
      </w:r>
      <w:r>
        <w:rPr>
          <w:rFonts w:hint="eastAsia" w:ascii="仿宋_GB2312" w:hAnsi="仿宋_GB2312" w:eastAsia="仿宋_GB2312" w:cs="仿宋_GB2312"/>
          <w:b w:val="0"/>
          <w:bCs w:val="0"/>
          <w:color w:val="auto"/>
          <w:kern w:val="2"/>
          <w:sz w:val="32"/>
          <w:szCs w:val="32"/>
          <w:highlight w:val="none"/>
          <w:lang w:val="en-US" w:eastAsia="zh-CN" w:bidi="ar-SA"/>
        </w:rPr>
        <w:t>街道持续严守违建“零增量、减存量”底线。一方面，我街道</w:t>
      </w:r>
      <w:r>
        <w:rPr>
          <w:rFonts w:hint="eastAsia" w:ascii="仿宋_GB2312" w:hAnsi="仿宋_GB2312" w:eastAsia="仿宋_GB2312" w:cs="仿宋_GB2312"/>
          <w:b w:val="0"/>
          <w:bCs w:val="0"/>
          <w:sz w:val="32"/>
          <w:szCs w:val="32"/>
          <w:highlight w:val="none"/>
          <w:lang w:val="en-US" w:eastAsia="zh-CN"/>
        </w:rPr>
        <w:t>织密“零增量”防控网。完善“人巡+技巡”监管体系，强化重点区域、重点类型违建常态巡查与快速处置，核查无人机案件555宗；巡查小散工程565宗，控停无报备项目183处；执法拆除违建</w:t>
      </w:r>
      <w:r>
        <w:rPr>
          <w:rFonts w:hint="default" w:ascii="仿宋_GB2312" w:hAnsi="仿宋_GB2312" w:eastAsia="仿宋_GB2312" w:cs="仿宋_GB2312"/>
          <w:b w:val="0"/>
          <w:bCs w:val="0"/>
          <w:sz w:val="32"/>
          <w:szCs w:val="32"/>
          <w:highlight w:val="none"/>
          <w:lang w:val="en-US" w:eastAsia="zh-CN"/>
        </w:rPr>
        <w:t>40</w:t>
      </w:r>
      <w:r>
        <w:rPr>
          <w:rFonts w:hint="eastAsia" w:ascii="仿宋_GB2312" w:hAnsi="仿宋_GB2312" w:eastAsia="仿宋_GB2312" w:cs="仿宋_GB2312"/>
          <w:b w:val="0"/>
          <w:bCs w:val="0"/>
          <w:sz w:val="32"/>
          <w:szCs w:val="32"/>
          <w:highlight w:val="none"/>
          <w:lang w:val="en-US" w:eastAsia="zh-CN"/>
        </w:rPr>
        <w:t>处，拆除面积</w:t>
      </w:r>
      <w:r>
        <w:rPr>
          <w:rFonts w:hint="default" w:ascii="仿宋_GB2312" w:hAnsi="仿宋_GB2312" w:eastAsia="仿宋_GB2312" w:cs="仿宋_GB2312"/>
          <w:b w:val="0"/>
          <w:bCs w:val="0"/>
          <w:sz w:val="32"/>
          <w:szCs w:val="32"/>
          <w:highlight w:val="none"/>
          <w:lang w:val="en-US" w:eastAsia="zh-CN"/>
        </w:rPr>
        <w:t>2147</w:t>
      </w:r>
      <w:r>
        <w:rPr>
          <w:rFonts w:hint="eastAsia" w:ascii="仿宋_GB2312" w:hAnsi="仿宋_GB2312" w:eastAsia="仿宋_GB2312" w:cs="仿宋_GB2312"/>
          <w:b w:val="0"/>
          <w:bCs w:val="0"/>
          <w:sz w:val="32"/>
          <w:szCs w:val="32"/>
          <w:highlight w:val="none"/>
          <w:lang w:val="en-US" w:eastAsia="zh-CN"/>
        </w:rPr>
        <w:t>平方米。另一方面，我街道率先超额完成2025年光明区违法建设治理“减存量”任务。</w:t>
      </w:r>
      <w:r>
        <w:rPr>
          <w:rFonts w:hint="eastAsia" w:ascii="仿宋_GB2312" w:hAnsi="仿宋_GB2312" w:eastAsia="仿宋_GB2312" w:cs="仿宋_GB2312"/>
          <w:b w:val="0"/>
          <w:bCs w:val="0"/>
          <w:color w:val="auto"/>
          <w:kern w:val="2"/>
          <w:sz w:val="32"/>
          <w:szCs w:val="32"/>
          <w:highlight w:val="none"/>
          <w:lang w:val="en-US" w:eastAsia="zh-CN" w:bidi="ar-SA"/>
        </w:rPr>
        <w:t>以高压态势推进查违工作，通过铁腕执法、依法拆违拓展城市发展空间，2025年违法建设治理减存量任务为6.96万平方米，目前已完成7.58万平方米，率先超额完成年度任务目标</w:t>
      </w:r>
      <w:r>
        <w:rPr>
          <w:rFonts w:hint="eastAsia" w:ascii="仿宋_GB2312" w:hAnsi="仿宋_GB2312" w:eastAsia="仿宋_GB2312" w:cs="仿宋_GB2312"/>
          <w:bCs w:val="0"/>
          <w:color w:val="auto"/>
          <w:kern w:val="2"/>
          <w:sz w:val="32"/>
          <w:szCs w:val="32"/>
          <w:highlight w:val="none"/>
          <w:lang w:val="en-US" w:eastAsia="zh-CN" w:bidi="ar-SA"/>
        </w:rPr>
        <w:t>。指标“</w:t>
      </w:r>
      <w:r>
        <w:rPr>
          <w:rFonts w:hint="eastAsia" w:ascii="仿宋_GB2312" w:hAnsi="仿宋_GB2312" w:eastAsia="仿宋_GB2312" w:cs="仿宋_GB2312"/>
          <w:b w:val="0"/>
          <w:bCs w:val="0"/>
          <w:color w:val="auto"/>
          <w:kern w:val="2"/>
          <w:sz w:val="32"/>
          <w:szCs w:val="32"/>
          <w:highlight w:val="none"/>
          <w:lang w:val="en-US" w:eastAsia="zh-CN" w:bidi="ar-SA"/>
        </w:rPr>
        <w:t>违建‘零增量、减存量’目标达成率</w:t>
      </w:r>
      <w:r>
        <w:rPr>
          <w:rFonts w:hint="eastAsia" w:ascii="仿宋_GB2312" w:hAnsi="仿宋_GB2312" w:eastAsia="仿宋_GB2312" w:cs="仿宋_GB2312"/>
          <w:bCs w:val="0"/>
          <w:color w:val="auto"/>
          <w:kern w:val="2"/>
          <w:sz w:val="32"/>
          <w:szCs w:val="32"/>
          <w:highlight w:val="none"/>
          <w:lang w:val="en-US" w:eastAsia="zh-CN" w:bidi="ar-SA"/>
        </w:rPr>
        <w:t>”实际完成值为100%，</w:t>
      </w:r>
      <w:r>
        <w:rPr>
          <w:rFonts w:hint="eastAsia" w:ascii="仿宋_GB2312" w:hAnsi="Times New Roman" w:eastAsia="仿宋_GB2312" w:cs="Times New Roman"/>
          <w:color w:val="auto"/>
          <w:kern w:val="2"/>
          <w:sz w:val="32"/>
          <w:szCs w:val="32"/>
          <w:highlight w:val="none"/>
          <w:lang w:val="en-US" w:eastAsia="zh-CN" w:bidi="ar-SA"/>
        </w:rPr>
        <w:t>达到目标</w:t>
      </w:r>
      <w:r>
        <w:rPr>
          <w:rFonts w:hint="eastAsia" w:ascii="仿宋_GB2312" w:eastAsia="仿宋_GB2312" w:cs="Times New Roman"/>
          <w:color w:val="auto"/>
          <w:kern w:val="2"/>
          <w:sz w:val="32"/>
          <w:szCs w:val="32"/>
          <w:highlight w:val="none"/>
          <w:lang w:val="en-US" w:eastAsia="zh-CN" w:bidi="ar-SA"/>
        </w:rPr>
        <w:t>值</w:t>
      </w:r>
      <w:r>
        <w:rPr>
          <w:rFonts w:hint="eastAsia" w:ascii="仿宋_GB2312" w:hAnsi="Times New Roman" w:eastAsia="仿宋_GB2312" w:cs="Times New Roman"/>
          <w:color w:val="auto"/>
          <w:kern w:val="2"/>
          <w:sz w:val="32"/>
          <w:szCs w:val="32"/>
          <w:highlight w:val="none"/>
          <w:lang w:val="en-US" w:eastAsia="zh-CN" w:bidi="ar-SA"/>
        </w:rPr>
        <w:t>“100%”。</w:t>
      </w:r>
    </w:p>
    <w:p>
      <w:pPr>
        <w:spacing w:beforeLines="0" w:line="560" w:lineRule="exact"/>
        <w:ind w:firstLine="640" w:firstLineChars="200"/>
        <w:jc w:val="both"/>
        <w:outlineLvl w:val="1"/>
        <w:rPr>
          <w:rFonts w:hint="default" w:ascii="仿宋_GB2312" w:hAnsi="Times New Roman" w:eastAsia="仿宋_GB2312" w:cs="Times New Roman"/>
          <w:sz w:val="32"/>
          <w:szCs w:val="32"/>
          <w:lang w:val="en-US" w:eastAsia="zh-CN"/>
        </w:rPr>
      </w:pPr>
      <w:bookmarkStart w:id="169" w:name="_Toc15796"/>
      <w:bookmarkStart w:id="170" w:name="_Toc4359"/>
      <w:bookmarkStart w:id="171" w:name="_Toc22612"/>
      <w:r>
        <w:rPr>
          <w:rFonts w:hint="eastAsia" w:ascii="仿宋_GB2312" w:hAnsi="Times New Roman" w:eastAsia="仿宋_GB2312" w:cs="Times New Roman"/>
          <w:sz w:val="32"/>
          <w:szCs w:val="32"/>
          <w:lang w:val="en-US" w:eastAsia="zh-CN"/>
        </w:rPr>
        <w:t>6.满意度指标</w:t>
      </w:r>
      <w:bookmarkEnd w:id="169"/>
      <w:bookmarkEnd w:id="170"/>
      <w:bookmarkEnd w:id="171"/>
    </w:p>
    <w:p>
      <w:pPr>
        <w:numPr>
          <w:ilvl w:val="0"/>
          <w:numId w:val="0"/>
        </w:numPr>
        <w:spacing w:beforeLines="0" w:line="560" w:lineRule="exact"/>
        <w:ind w:firstLine="642" w:firstLineChars="200"/>
        <w:jc w:val="both"/>
        <w:outlineLvl w:val="9"/>
        <w:rPr>
          <w:rFonts w:hint="eastAsia" w:ascii="仿宋_GB2312" w:hAnsi="Times New Roman" w:eastAsia="仿宋_GB2312" w:cs="Times New Roman"/>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一是查违综合防控服务履约评价情况。</w:t>
      </w:r>
      <w:r>
        <w:rPr>
          <w:rFonts w:hint="eastAsia" w:ascii="仿宋_GB2312" w:hAnsi="仿宋_GB2312" w:eastAsia="仿宋_GB2312" w:cs="仿宋_GB2312"/>
          <w:bCs w:val="0"/>
          <w:color w:val="auto"/>
          <w:kern w:val="2"/>
          <w:sz w:val="32"/>
          <w:szCs w:val="32"/>
          <w:highlight w:val="none"/>
          <w:lang w:val="en-US" w:eastAsia="zh-CN" w:bidi="ar-SA"/>
        </w:rPr>
        <w:t>根据合同履约后评价表、政府采购项目验收单，我街道对服务期限内的查违综合防控服务总体评价均为合格，故“查违综合防控服务履约评价等级”为合格，</w:t>
      </w:r>
      <w:r>
        <w:rPr>
          <w:rFonts w:hint="eastAsia" w:ascii="仿宋_GB2312" w:hAnsi="Times New Roman" w:eastAsia="仿宋_GB2312" w:cs="Times New Roman"/>
          <w:color w:val="auto"/>
          <w:kern w:val="2"/>
          <w:sz w:val="32"/>
          <w:szCs w:val="32"/>
          <w:highlight w:val="none"/>
          <w:lang w:val="en-US" w:eastAsia="zh-CN" w:bidi="ar-SA"/>
        </w:rPr>
        <w:t>达到</w:t>
      </w:r>
      <w:r>
        <w:rPr>
          <w:rFonts w:hint="eastAsia" w:ascii="仿宋_GB2312" w:eastAsia="仿宋_GB2312" w:cs="Times New Roman"/>
          <w:color w:val="auto"/>
          <w:kern w:val="2"/>
          <w:sz w:val="32"/>
          <w:szCs w:val="32"/>
          <w:highlight w:val="none"/>
          <w:lang w:val="en-US" w:eastAsia="zh-CN" w:bidi="ar-SA"/>
        </w:rPr>
        <w:t>目标值</w:t>
      </w:r>
      <w:r>
        <w:rPr>
          <w:rFonts w:hint="eastAsia" w:ascii="仿宋_GB2312" w:hAnsi="Times New Roman" w:eastAsia="仿宋_GB2312" w:cs="Times New Roman"/>
          <w:color w:val="auto"/>
          <w:kern w:val="2"/>
          <w:sz w:val="32"/>
          <w:szCs w:val="32"/>
          <w:highlight w:val="none"/>
          <w:lang w:val="en-US" w:eastAsia="zh-CN" w:bidi="ar-SA"/>
        </w:rPr>
        <w:t>“</w:t>
      </w:r>
      <w:r>
        <w:rPr>
          <w:rFonts w:hint="eastAsia" w:ascii="仿宋_GB2312" w:eastAsia="仿宋_GB2312" w:cs="Times New Roman"/>
          <w:color w:val="auto"/>
          <w:kern w:val="2"/>
          <w:sz w:val="32"/>
          <w:szCs w:val="32"/>
          <w:highlight w:val="none"/>
          <w:lang w:val="en-US" w:eastAsia="zh-CN" w:bidi="ar-SA"/>
        </w:rPr>
        <w:t>合格及以上</w:t>
      </w:r>
      <w:r>
        <w:rPr>
          <w:rFonts w:hint="eastAsia" w:ascii="仿宋_GB2312" w:hAnsi="Times New Roman" w:eastAsia="仿宋_GB2312" w:cs="Times New Roman"/>
          <w:color w:val="auto"/>
          <w:kern w:val="2"/>
          <w:sz w:val="32"/>
          <w:szCs w:val="32"/>
          <w:highlight w:val="none"/>
          <w:lang w:val="en-US" w:eastAsia="zh-CN" w:bidi="ar-SA"/>
        </w:rPr>
        <w:t>”</w:t>
      </w:r>
      <w:r>
        <w:rPr>
          <w:rFonts w:hint="eastAsia" w:ascii="仿宋_GB2312" w:eastAsia="仿宋_GB2312" w:cs="Times New Roman"/>
          <w:color w:val="auto"/>
          <w:kern w:val="2"/>
          <w:sz w:val="32"/>
          <w:szCs w:val="32"/>
          <w:highlight w:val="none"/>
          <w:lang w:val="en-US" w:eastAsia="zh-CN" w:bidi="ar-SA"/>
        </w:rPr>
        <w:t>。</w:t>
      </w:r>
    </w:p>
    <w:p>
      <w:pPr>
        <w:numPr>
          <w:ilvl w:val="0"/>
          <w:numId w:val="0"/>
        </w:numPr>
        <w:spacing w:beforeLines="0" w:line="560" w:lineRule="exact"/>
        <w:ind w:firstLine="642" w:firstLineChars="200"/>
        <w:jc w:val="both"/>
        <w:outlineLvl w:val="9"/>
        <w:rPr>
          <w:rFonts w:hint="default" w:ascii="仿宋_GB2312" w:hAnsi="仿宋_GB2312" w:eastAsia="仿宋_GB2312" w:cs="仿宋_GB2312"/>
          <w:bCs w:val="0"/>
          <w:color w:val="auto"/>
          <w:kern w:val="2"/>
          <w:sz w:val="32"/>
          <w:szCs w:val="32"/>
          <w:highlight w:val="none"/>
          <w:lang w:val="en-US" w:eastAsia="zh-CN" w:bidi="ar-SA"/>
        </w:rPr>
      </w:pPr>
      <w:r>
        <w:rPr>
          <w:rFonts w:hint="eastAsia" w:ascii="仿宋_GB2312" w:eastAsia="仿宋_GB2312" w:cs="Times New Roman"/>
          <w:b/>
          <w:bCs/>
          <w:color w:val="auto"/>
          <w:kern w:val="2"/>
          <w:sz w:val="32"/>
          <w:szCs w:val="32"/>
          <w:highlight w:val="none"/>
          <w:lang w:val="en-US" w:eastAsia="zh-CN" w:bidi="ar-SA"/>
        </w:rPr>
        <w:t>二是群众满意度情况</w:t>
      </w:r>
      <w:r>
        <w:rPr>
          <w:rFonts w:hint="eastAsia" w:ascii="仿宋_GB2312" w:hAnsi="仿宋_GB2312" w:eastAsia="仿宋_GB2312" w:cs="仿宋_GB2312"/>
          <w:bCs w:val="0"/>
          <w:color w:val="auto"/>
          <w:kern w:val="2"/>
          <w:sz w:val="32"/>
          <w:szCs w:val="32"/>
          <w:highlight w:val="none"/>
          <w:lang w:val="en-US" w:eastAsia="zh-CN" w:bidi="ar-SA"/>
        </w:rPr>
        <w:t>。</w:t>
      </w:r>
      <w:r>
        <w:rPr>
          <w:rFonts w:hint="eastAsia" w:ascii="仿宋_GB2312" w:hAnsi="仿宋_GB2312" w:eastAsia="仿宋_GB2312" w:cs="仿宋_GB2312"/>
          <w:b w:val="0"/>
          <w:bCs w:val="0"/>
          <w:sz w:val="32"/>
          <w:szCs w:val="32"/>
          <w:lang w:val="en-US" w:eastAsia="zh-CN"/>
        </w:rPr>
        <w:t>2025年，我街道</w:t>
      </w:r>
      <w:r>
        <w:rPr>
          <w:rFonts w:hint="eastAsia" w:ascii="仿宋_GB2312" w:hAnsi="仿宋_GB2312" w:eastAsia="仿宋_GB2312" w:cs="仿宋_GB2312"/>
          <w:b w:val="0"/>
          <w:bCs w:val="0"/>
          <w:sz w:val="32"/>
          <w:szCs w:val="32"/>
          <w:highlight w:val="none"/>
          <w:lang w:val="en-US" w:eastAsia="zh-CN"/>
        </w:rPr>
        <w:t>强化重点区域、重点类型违建常态巡查与快速处置，期间累计处理信访投诉件165宗、治理通案件71宗，均及时处置回复。根据民生云投诉案件满意度反馈，群众满意度达95.88%</w:t>
      </w:r>
      <w:r>
        <w:rPr>
          <w:rFonts w:hint="eastAsia" w:ascii="仿宋_GB2312" w:hAnsi="仿宋_GB2312" w:eastAsia="仿宋_GB2312" w:cs="仿宋_GB2312"/>
          <w:sz w:val="32"/>
          <w:szCs w:val="32"/>
          <w:lang w:val="en-US" w:eastAsia="zh-CN"/>
        </w:rPr>
        <w:t>。</w:t>
      </w:r>
    </w:p>
    <w:bookmarkEnd w:id="83"/>
    <w:bookmarkEnd w:id="84"/>
    <w:bookmarkEnd w:id="85"/>
    <w:bookmarkEnd w:id="86"/>
    <w:bookmarkEnd w:id="87"/>
    <w:bookmarkEnd w:id="88"/>
    <w:bookmarkEnd w:id="89"/>
    <w:bookmarkEnd w:id="90"/>
    <w:bookmarkEnd w:id="91"/>
    <w:bookmarkEnd w:id="122"/>
    <w:bookmarkEnd w:id="123"/>
    <w:bookmarkEnd w:id="124"/>
    <w:bookmarkEnd w:id="125"/>
    <w:p>
      <w:pPr>
        <w:pStyle w:val="2"/>
        <w:numPr>
          <w:ilvl w:val="0"/>
          <w:numId w:val="0"/>
        </w:numPr>
        <w:spacing w:beforeLines="0" w:line="560" w:lineRule="exact"/>
        <w:ind w:firstLine="640" w:firstLineChars="200"/>
        <w:jc w:val="both"/>
        <w:rPr>
          <w:rFonts w:hint="eastAsia" w:ascii="Calibri" w:hAnsi="Calibri" w:eastAsia="黑体"/>
          <w:bCs/>
          <w:kern w:val="44"/>
          <w:sz w:val="32"/>
          <w:szCs w:val="24"/>
          <w:lang w:val="en-US" w:eastAsia="zh-CN" w:bidi="ar-SA"/>
        </w:rPr>
      </w:pPr>
      <w:bookmarkStart w:id="172" w:name="_Toc19912"/>
      <w:bookmarkStart w:id="173" w:name="_Toc6239"/>
      <w:bookmarkStart w:id="174" w:name="_Toc15270"/>
      <w:bookmarkStart w:id="175" w:name="_Toc20575"/>
      <w:r>
        <w:rPr>
          <w:rFonts w:hint="eastAsia" w:ascii="Calibri" w:hAnsi="Calibri" w:eastAsia="黑体"/>
          <w:bCs/>
          <w:kern w:val="44"/>
          <w:sz w:val="32"/>
          <w:szCs w:val="24"/>
          <w:lang w:val="en-US" w:eastAsia="zh-CN" w:bidi="ar-SA"/>
        </w:rPr>
        <w:t>五、主要经验及做法</w:t>
      </w:r>
      <w:bookmarkEnd w:id="172"/>
      <w:bookmarkEnd w:id="173"/>
      <w:bookmarkEnd w:id="174"/>
      <w:bookmarkEnd w:id="17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（一）党建引领强基固本，锻造过硬执法队伍</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一是</w:t>
      </w:r>
      <w:r>
        <w:rPr>
          <w:rFonts w:hint="eastAsia" w:ascii="仿宋_GB2312" w:hAnsi="仿宋_GB2312" w:eastAsia="仿宋_GB2312" w:cs="仿宋_GB2312"/>
          <w:b w:val="0"/>
          <w:bCs w:val="0"/>
          <w:sz w:val="32"/>
          <w:szCs w:val="32"/>
          <w:highlight w:val="none"/>
          <w:lang w:val="en-US" w:eastAsia="zh-CN"/>
        </w:rPr>
        <w:t>强化理论武装。2025年以来累计召开学习会议24次</w:t>
      </w:r>
      <w:bookmarkStart w:id="188" w:name="_GoBack"/>
      <w:bookmarkEnd w:id="188"/>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bCs/>
          <w:sz w:val="32"/>
          <w:szCs w:val="32"/>
          <w:highlight w:val="none"/>
          <w:lang w:val="en-US" w:eastAsia="zh-CN"/>
        </w:rPr>
        <w:t>二是</w:t>
      </w:r>
      <w:r>
        <w:rPr>
          <w:rFonts w:hint="eastAsia" w:ascii="仿宋_GB2312" w:hAnsi="仿宋_GB2312" w:eastAsia="仿宋_GB2312" w:cs="仿宋_GB2312"/>
          <w:b w:val="0"/>
          <w:bCs w:val="0"/>
          <w:sz w:val="32"/>
          <w:szCs w:val="32"/>
          <w:highlight w:val="none"/>
          <w:lang w:val="en-US" w:eastAsia="zh-CN"/>
        </w:rPr>
        <w:t>提升业务能力。2025年以来累计组织执法队伍开展政策法规学习和业务能力培训5次，切实增强队伍履职本领。</w:t>
      </w:r>
      <w:r>
        <w:rPr>
          <w:rFonts w:hint="eastAsia" w:ascii="仿宋_GB2312" w:hAnsi="仿宋_GB2312" w:eastAsia="仿宋_GB2312" w:cs="仿宋_GB2312"/>
          <w:b/>
          <w:bCs/>
          <w:sz w:val="32"/>
          <w:szCs w:val="32"/>
          <w:highlight w:val="none"/>
          <w:lang w:val="en-US" w:eastAsia="zh-CN"/>
        </w:rPr>
        <w:t>三是</w:t>
      </w:r>
      <w:r>
        <w:rPr>
          <w:rFonts w:hint="eastAsia" w:ascii="仿宋_GB2312" w:hAnsi="仿宋_GB2312" w:eastAsia="仿宋_GB2312" w:cs="仿宋_GB2312"/>
          <w:b w:val="0"/>
          <w:bCs w:val="0"/>
          <w:sz w:val="32"/>
          <w:szCs w:val="32"/>
          <w:highlight w:val="none"/>
          <w:lang w:val="en-US" w:eastAsia="zh-CN"/>
        </w:rPr>
        <w:t>筑牢廉政防线。深化廉政建设，常态化开展风险排查与警示教育，结合工作例会强调廉政要求，与队员开展谈心谈话，督促查违队员和特保队员严守廉政底线。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（二）稳妥处置历史遗留问题，推进项目合规划进程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alibri" w:hAnsi="Calibri" w:eastAsia="黑体"/>
          <w:b w:val="0"/>
          <w:bCs/>
          <w:sz w:val="32"/>
          <w:szCs w:val="24"/>
          <w:highlight w:val="none"/>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2025年，我街道重点推进公明实业公司左岸高新产业园项目，该项目涉及占地面积27248.81平方米，建筑面积共48600.61平方米。截至2025年12月，我街道已完成公明实业公司左岸高新产业园项目街道初审工作，并已按照处理流程将有关卷宗资料移交至区城管和综合执法局，后续也将</w:t>
      </w:r>
      <w:r>
        <w:rPr>
          <w:rFonts w:hint="eastAsia" w:ascii="仿宋_GB2312" w:hAnsi="仿宋_GB2312" w:eastAsia="仿宋_GB2312" w:cs="仿宋_GB2312"/>
          <w:kern w:val="2"/>
          <w:sz w:val="32"/>
          <w:szCs w:val="32"/>
          <w:highlight w:val="none"/>
          <w:lang w:val="en-US" w:eastAsia="zh-CN" w:bidi="ar-SA"/>
        </w:rPr>
        <w:t>配合相关部门单位推进项目有关工作</w:t>
      </w:r>
      <w:r>
        <w:rPr>
          <w:rFonts w:hint="eastAsia" w:ascii="仿宋_GB2312" w:hAnsi="仿宋_GB2312" w:eastAsia="仿宋_GB2312" w:cs="仿宋_GB2312"/>
          <w:b w:val="0"/>
          <w:bCs w:val="0"/>
          <w:color w:val="auto"/>
          <w:sz w:val="32"/>
          <w:szCs w:val="32"/>
          <w:highlight w:val="none"/>
          <w:shd w:val="clear" w:color="auto" w:fill="auto"/>
          <w:lang w:val="en-US" w:eastAsia="zh-CN"/>
        </w:rPr>
        <w:t>。</w:t>
      </w:r>
    </w:p>
    <w:p>
      <w:pPr>
        <w:pStyle w:val="2"/>
        <w:numPr>
          <w:ilvl w:val="0"/>
          <w:numId w:val="0"/>
        </w:numPr>
        <w:spacing w:beforeLines="0" w:line="560" w:lineRule="exact"/>
        <w:ind w:firstLine="640" w:firstLineChars="200"/>
        <w:jc w:val="both"/>
        <w:rPr>
          <w:rFonts w:hint="eastAsia" w:ascii="Calibri" w:hAnsi="Calibri" w:eastAsia="黑体"/>
          <w:b w:val="0"/>
          <w:bCs/>
          <w:sz w:val="32"/>
          <w:szCs w:val="24"/>
          <w:highlight w:val="none"/>
          <w:lang w:val="en-US" w:eastAsia="zh-CN"/>
        </w:rPr>
      </w:pPr>
      <w:bookmarkStart w:id="176" w:name="_Toc23762"/>
      <w:bookmarkStart w:id="177" w:name="_Toc22542"/>
      <w:bookmarkStart w:id="178" w:name="_Toc7928"/>
      <w:bookmarkStart w:id="179" w:name="_Toc7473"/>
      <w:r>
        <w:rPr>
          <w:rFonts w:hint="eastAsia" w:ascii="Calibri" w:hAnsi="Calibri" w:eastAsia="黑体"/>
          <w:b w:val="0"/>
          <w:bCs/>
          <w:sz w:val="32"/>
          <w:szCs w:val="24"/>
          <w:highlight w:val="none"/>
          <w:lang w:val="en-US" w:eastAsia="zh-CN"/>
        </w:rPr>
        <w:t>六、存在的问题及原因分析</w:t>
      </w:r>
      <w:bookmarkEnd w:id="176"/>
      <w:bookmarkEnd w:id="177"/>
      <w:bookmarkEnd w:id="178"/>
      <w:bookmarkEnd w:id="179"/>
    </w:p>
    <w:p>
      <w:pPr>
        <w:numPr>
          <w:ilvl w:val="0"/>
          <w:numId w:val="0"/>
        </w:numPr>
        <w:spacing w:beforeLines="0" w:line="560" w:lineRule="exact"/>
        <w:ind w:firstLine="640" w:firstLineChars="200"/>
        <w:jc w:val="both"/>
        <w:outlineLvl w:val="9"/>
        <w:rPr>
          <w:rFonts w:hint="eastAsia" w:ascii="仿宋_GB2312" w:hAnsi="仿宋_GB2312" w:eastAsia="仿宋_GB2312" w:cs="仿宋_GB2312"/>
          <w:bCs w:val="0"/>
          <w:color w:val="auto"/>
          <w:kern w:val="2"/>
          <w:sz w:val="32"/>
          <w:szCs w:val="32"/>
          <w:highlight w:val="none"/>
          <w:lang w:val="en-US" w:eastAsia="zh-CN" w:bidi="ar-SA"/>
        </w:rPr>
      </w:pPr>
      <w:r>
        <w:rPr>
          <w:rFonts w:hint="eastAsia" w:ascii="仿宋_GB2312" w:hAnsi="仿宋_GB2312" w:eastAsia="仿宋_GB2312" w:cs="仿宋_GB2312"/>
          <w:bCs w:val="0"/>
          <w:color w:val="auto"/>
          <w:kern w:val="2"/>
          <w:sz w:val="32"/>
          <w:szCs w:val="32"/>
          <w:highlight w:val="none"/>
          <w:lang w:val="en-US" w:eastAsia="zh-CN" w:bidi="ar-SA"/>
        </w:rPr>
        <w:t>查违综合防控服务质量与时效性存在短板。2025年度，街道查违综合防控服务考核达标率为91.67%（11个月合格、1个月基本及格）；同时，巡查资料上报及时率仅为50%，全年有6个月存在巡查记录、台账未及时上报或上报不到位情形。由此体现了查违综合防控服务质量和信息报送时效性未达到要求，日常监管与整改落实仍有待进一步加强。</w:t>
      </w:r>
    </w:p>
    <w:p>
      <w:pPr>
        <w:ind w:firstLine="640" w:firstLineChars="200"/>
        <w:outlineLvl w:val="0"/>
        <w:rPr>
          <w:rFonts w:hint="eastAsia" w:ascii="Calibri" w:hAnsi="Calibri" w:eastAsia="黑体"/>
          <w:b w:val="0"/>
          <w:bCs/>
          <w:sz w:val="32"/>
          <w:szCs w:val="24"/>
          <w:highlight w:val="none"/>
          <w:lang w:val="en-US" w:eastAsia="zh-CN"/>
        </w:rPr>
      </w:pPr>
      <w:bookmarkStart w:id="180" w:name="_Toc17667"/>
      <w:bookmarkStart w:id="181" w:name="_Toc21703"/>
      <w:bookmarkStart w:id="182" w:name="_Toc16802"/>
      <w:bookmarkStart w:id="183" w:name="_Toc16048"/>
      <w:r>
        <w:rPr>
          <w:rFonts w:hint="eastAsia" w:ascii="Calibri" w:hAnsi="Calibri" w:eastAsia="黑体"/>
          <w:b w:val="0"/>
          <w:bCs/>
          <w:sz w:val="32"/>
          <w:szCs w:val="24"/>
          <w:highlight w:val="none"/>
          <w:lang w:val="en-US" w:eastAsia="zh-CN"/>
        </w:rPr>
        <w:t>七、有关建议</w:t>
      </w:r>
      <w:bookmarkEnd w:id="180"/>
      <w:bookmarkEnd w:id="181"/>
      <w:bookmarkEnd w:id="182"/>
      <w:bookmarkEnd w:id="183"/>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加强日常监督与培训，强化考核结果运用。一方面，定期组织服务人员开展业务培训和纪律教育，明确巡查台账报送时限与格式要求，规范报送制度；同时随机抽查巡查记录和台账，对屡次迟报、漏报的，按合同约定更换服务人员。另一方面，严格落实月度考核机制，将考核结果与服务费用支付挂钩；同时对“基本合格”的月份进行重点分析，建立问题台账，督促服务单位限期整改，避免同类问题重复发生，切实提升服务质量稳定性</w:t>
      </w:r>
      <w:r>
        <w:rPr>
          <w:rFonts w:hint="eastAsia" w:ascii="仿宋_GB2312" w:hAnsi="仿宋_GB2312" w:eastAsia="仿宋_GB2312" w:cs="仿宋_GB2312"/>
          <w:bCs w:val="0"/>
          <w:color w:val="auto"/>
          <w:kern w:val="2"/>
          <w:sz w:val="32"/>
          <w:szCs w:val="32"/>
          <w:highlight w:val="none"/>
          <w:lang w:val="en-US" w:eastAsia="zh-CN" w:bidi="ar-SA"/>
        </w:rPr>
        <w:t>。</w:t>
      </w:r>
    </w:p>
    <w:p>
      <w:pPr>
        <w:pStyle w:val="2"/>
        <w:ind w:firstLine="420" w:firstLineChars="0"/>
        <w:jc w:val="both"/>
        <w:outlineLvl w:val="9"/>
        <w:rPr>
          <w:rFonts w:hint="eastAsia" w:eastAsia="方正小标宋简体"/>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spacing w:before="101" w:line="226" w:lineRule="auto"/>
        <w:ind w:left="558"/>
        <w:outlineLvl w:val="0"/>
        <w:rPr>
          <w:rFonts w:hint="eastAsia"/>
        </w:rPr>
      </w:pPr>
      <w:bookmarkStart w:id="184" w:name="_Toc21355"/>
      <w:bookmarkStart w:id="185" w:name="_Toc557"/>
      <w:bookmarkStart w:id="186" w:name="_Toc25477"/>
      <w:bookmarkStart w:id="187" w:name="_Toc14844"/>
      <w:r>
        <w:rPr>
          <w:rFonts w:ascii="黑体" w:hAnsi="黑体" w:eastAsia="黑体" w:cs="黑体"/>
          <w:spacing w:val="7"/>
          <w:sz w:val="31"/>
          <w:szCs w:val="31"/>
        </w:rPr>
        <w:t>附件：项目支出绩效评价评分表</w:t>
      </w:r>
      <w:bookmarkEnd w:id="184"/>
      <w:bookmarkEnd w:id="185"/>
      <w:bookmarkEnd w:id="186"/>
      <w:bookmarkEnd w:id="187"/>
    </w:p>
    <w:tbl>
      <w:tblPr>
        <w:tblStyle w:val="18"/>
        <w:tblW w:w="496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29"/>
        <w:gridCol w:w="1274"/>
        <w:gridCol w:w="1477"/>
        <w:gridCol w:w="692"/>
        <w:gridCol w:w="2628"/>
        <w:gridCol w:w="5649"/>
        <w:gridCol w:w="11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blHeader/>
        </w:trPr>
        <w:tc>
          <w:tcPr>
            <w:tcW w:w="43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一级指标</w:t>
            </w:r>
          </w:p>
        </w:tc>
        <w:tc>
          <w:tcPr>
            <w:tcW w:w="45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二级指标</w:t>
            </w:r>
          </w:p>
        </w:tc>
        <w:tc>
          <w:tcPr>
            <w:tcW w:w="5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三级指标</w:t>
            </w:r>
          </w:p>
        </w:tc>
        <w:tc>
          <w:tcPr>
            <w:tcW w:w="24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权重</w:t>
            </w:r>
          </w:p>
        </w:tc>
        <w:tc>
          <w:tcPr>
            <w:tcW w:w="93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指标解释</w:t>
            </w:r>
          </w:p>
        </w:tc>
        <w:tc>
          <w:tcPr>
            <w:tcW w:w="2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评分标准</w:t>
            </w:r>
          </w:p>
        </w:tc>
        <w:tc>
          <w:tcPr>
            <w:tcW w:w="39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437" w:type="pct"/>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决策</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（20分）</w:t>
            </w:r>
          </w:p>
        </w:tc>
        <w:tc>
          <w:tcPr>
            <w:tcW w:w="453" w:type="pct"/>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项目立项</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（6分）</w:t>
            </w:r>
          </w:p>
        </w:tc>
        <w:tc>
          <w:tcPr>
            <w:tcW w:w="525" w:type="pct"/>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立项依据充分性</w:t>
            </w:r>
          </w:p>
        </w:tc>
        <w:tc>
          <w:tcPr>
            <w:tcW w:w="246" w:type="pct"/>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3</w:t>
            </w:r>
          </w:p>
        </w:tc>
        <w:tc>
          <w:tcPr>
            <w:tcW w:w="934" w:type="pct"/>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项目立项是否符合法律法规、相关政策、发展规划以及部门职责，用以反映和考核项目立项依据情况。</w:t>
            </w:r>
          </w:p>
        </w:tc>
        <w:tc>
          <w:tcPr>
            <w:tcW w:w="2008" w:type="pct"/>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①项目立项是否符合国家法律法规、国民经济发展规划和相关政策（0.5分）；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②项目立项是否符合行业发展规划和政策要求（0.5分）；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③项目立项与部门职责范围相符，属于部门履职所需（1分）；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④项目属于公共财政支持范围，符合中央、地方事权支出责任划分原则（0.5分）；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⑤项目与相关部门同类项目或部门内部相关项目不重复（0.5分）。</w:t>
            </w:r>
          </w:p>
        </w:tc>
        <w:tc>
          <w:tcPr>
            <w:tcW w:w="395" w:type="pct"/>
            <w:vMerge w:val="restart"/>
            <w:tcBorders>
              <w:top w:val="single" w:color="auto" w:sz="4" w:space="0"/>
              <w:left w:val="single" w:color="000000" w:sz="4" w:space="0"/>
              <w:bottom w:val="single" w:color="auto"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rPr>
            </w:pPr>
            <w:r>
              <w:rPr>
                <w:rFonts w:hint="eastAsia" w:ascii="仿宋_GB2312" w:hAnsi="宋体" w:eastAsia="仿宋_GB2312" w:cs="仿宋_GB2312"/>
                <w:i w:val="0"/>
                <w:iCs w:val="0"/>
                <w:color w:val="000000"/>
                <w:kern w:val="0"/>
                <w:sz w:val="22"/>
                <w:szCs w:val="22"/>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437" w:type="pct"/>
            <w:vMerge w:val="continue"/>
            <w:tcBorders>
              <w:top w:val="single" w:color="auto"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auto"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auto"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auto"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auto" w:sz="4" w:space="0"/>
              <w:left w:val="single" w:color="000000" w:sz="4" w:space="0"/>
              <w:bottom w:val="single" w:color="auto" w:sz="4" w:space="0"/>
              <w:right w:val="single" w:color="000000" w:sz="4" w:space="0"/>
            </w:tcBorders>
            <w:noWrap w:val="0"/>
            <w:vAlign w:val="center"/>
          </w:tcPr>
          <w:p>
            <w:pPr>
              <w:jc w:val="left"/>
              <w:rPr>
                <w:rFonts w:hint="eastAsia" w:ascii="仿宋_GB2312" w:hAnsi="仿宋_GB2312" w:eastAsia="仿宋_GB2312" w:cs="仿宋_GB2312"/>
                <w:i w:val="0"/>
                <w:iCs w:val="0"/>
                <w:color w:val="000000"/>
                <w:sz w:val="22"/>
                <w:szCs w:val="22"/>
                <w:u w:val="none"/>
              </w:rPr>
            </w:pPr>
          </w:p>
        </w:tc>
        <w:tc>
          <w:tcPr>
            <w:tcW w:w="2008" w:type="pct"/>
            <w:vMerge w:val="continue"/>
            <w:tcBorders>
              <w:top w:val="single" w:color="auto" w:sz="4" w:space="0"/>
              <w:left w:val="single" w:color="000000" w:sz="4" w:space="0"/>
              <w:bottom w:val="single" w:color="auto" w:sz="4" w:space="0"/>
              <w:right w:val="single" w:color="000000" w:sz="4" w:space="0"/>
            </w:tcBorders>
            <w:noWrap w:val="0"/>
            <w:vAlign w:val="center"/>
          </w:tcPr>
          <w:p>
            <w:pPr>
              <w:jc w:val="left"/>
              <w:rPr>
                <w:rFonts w:hint="eastAsia" w:ascii="仿宋_GB2312" w:hAnsi="仿宋_GB2312" w:eastAsia="仿宋_GB2312" w:cs="仿宋_GB2312"/>
                <w:i w:val="0"/>
                <w:iCs w:val="0"/>
                <w:color w:val="000000"/>
                <w:sz w:val="22"/>
                <w:szCs w:val="22"/>
                <w:u w:val="none"/>
              </w:rPr>
            </w:pPr>
          </w:p>
        </w:tc>
        <w:tc>
          <w:tcPr>
            <w:tcW w:w="395" w:type="pct"/>
            <w:vMerge w:val="continue"/>
            <w:tcBorders>
              <w:top w:val="single" w:color="auto" w:sz="4" w:space="0"/>
              <w:left w:val="single" w:color="000000" w:sz="4" w:space="0"/>
              <w:bottom w:val="single" w:color="auto" w:sz="4" w:space="0"/>
              <w:right w:val="single" w:color="000000" w:sz="4" w:space="0"/>
            </w:tcBorders>
            <w:noWrap/>
            <w:vAlign w:val="center"/>
          </w:tcPr>
          <w:p>
            <w:pPr>
              <w:jc w:val="center"/>
              <w:rPr>
                <w:rFonts w:hint="eastAsia" w:ascii="仿宋_GB2312" w:hAnsi="宋体"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437" w:type="pct"/>
            <w:vMerge w:val="continue"/>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立项程序规范性</w:t>
            </w:r>
          </w:p>
        </w:tc>
        <w:tc>
          <w:tcPr>
            <w:tcW w:w="246" w:type="pct"/>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3</w:t>
            </w:r>
          </w:p>
        </w:tc>
        <w:tc>
          <w:tcPr>
            <w:tcW w:w="934" w:type="pct"/>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项目申请、设立过程是否符合相关要求，用以反映和考核项目立项的规范情况。</w:t>
            </w:r>
          </w:p>
        </w:tc>
        <w:tc>
          <w:tcPr>
            <w:tcW w:w="2008" w:type="pct"/>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①本项目按照规定的程序申请设立（1分）；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②审批文件、材料符合相关要求（1分）；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③事前已经过必要的可行性研究、专家论证、风险评估、绩效评估、集体决策（1分）</w:t>
            </w:r>
          </w:p>
        </w:tc>
        <w:tc>
          <w:tcPr>
            <w:tcW w:w="395"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2"/>
                <w:szCs w:val="22"/>
                <w:u w:val="none"/>
                <w:lang w:val="en-US"/>
              </w:rPr>
            </w:pPr>
            <w:r>
              <w:rPr>
                <w:rFonts w:hint="eastAsia" w:ascii="仿宋_GB2312" w:hAnsi="宋体" w:eastAsia="仿宋_GB2312" w:cs="仿宋_GB2312"/>
                <w:i w:val="0"/>
                <w:iCs w:val="0"/>
                <w:color w:val="auto"/>
                <w:kern w:val="0"/>
                <w:sz w:val="22"/>
                <w:szCs w:val="22"/>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绩效目标</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（8分）</w:t>
            </w:r>
          </w:p>
        </w:tc>
        <w:tc>
          <w:tcPr>
            <w:tcW w:w="525"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绩效目标合理性</w:t>
            </w:r>
          </w:p>
        </w:tc>
        <w:tc>
          <w:tcPr>
            <w:tcW w:w="246"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4</w:t>
            </w:r>
          </w:p>
        </w:tc>
        <w:tc>
          <w:tcPr>
            <w:tcW w:w="934"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项目所设定的绩效目标是否依据充分，是否符合客观实际，用以反映和考核项目绩效目标与项目实施的相符情况。</w:t>
            </w:r>
          </w:p>
        </w:tc>
        <w:tc>
          <w:tcPr>
            <w:tcW w:w="200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①本项目绩效目标设置规范完整、具体明确（1分）；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②本项目绩效目标与实际工作内容密切相关（1分）；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③本项目绩效目标的预期绩效合理可测，与项目资金量、使用方向相匹配（1分）；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④绩效目标设置可行，实现的可能性充分（1分）。</w:t>
            </w:r>
          </w:p>
        </w:tc>
        <w:tc>
          <w:tcPr>
            <w:tcW w:w="395"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2"/>
                <w:szCs w:val="22"/>
                <w:u w:val="none"/>
                <w:lang w:val="en-US"/>
              </w:rPr>
            </w:pPr>
            <w:r>
              <w:rPr>
                <w:rFonts w:hint="eastAsia" w:ascii="仿宋_GB2312" w:hAnsi="宋体" w:cs="仿宋_GB2312"/>
                <w:i w:val="0"/>
                <w:iCs w:val="0"/>
                <w:color w:val="auto"/>
                <w:kern w:val="0"/>
                <w:sz w:val="22"/>
                <w:szCs w:val="22"/>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i w:val="0"/>
                <w:iCs w:val="0"/>
                <w:color w:val="000000"/>
                <w:sz w:val="22"/>
                <w:szCs w:val="22"/>
                <w:u w:val="none"/>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i w:val="0"/>
                <w:iCs w:val="0"/>
                <w:color w:val="000000"/>
                <w:sz w:val="22"/>
                <w:szCs w:val="22"/>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i w:val="0"/>
                <w:iCs w:val="0"/>
                <w:color w:val="000000"/>
                <w:sz w:val="22"/>
                <w:szCs w:val="22"/>
                <w:u w:val="none"/>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i w:val="0"/>
                <w:iCs w:val="0"/>
                <w:color w:val="000000"/>
                <w:sz w:val="22"/>
                <w:szCs w:val="22"/>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i w:val="0"/>
                <w:iCs w:val="0"/>
                <w:color w:val="000000"/>
                <w:sz w:val="22"/>
                <w:szCs w:val="22"/>
                <w:u w:val="none"/>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i w:val="0"/>
                <w:iCs w:val="0"/>
                <w:color w:val="000000"/>
                <w:sz w:val="22"/>
                <w:szCs w:val="22"/>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绩效指标明确性</w:t>
            </w:r>
          </w:p>
        </w:tc>
        <w:tc>
          <w:tcPr>
            <w:tcW w:w="246"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4</w:t>
            </w:r>
          </w:p>
        </w:tc>
        <w:tc>
          <w:tcPr>
            <w:tcW w:w="934"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依据绩效目标设定的绩效指标是否清晰、细化、可衡量等，用以反映和考核项目绩效目标的明细化情况。</w:t>
            </w:r>
          </w:p>
        </w:tc>
        <w:tc>
          <w:tcPr>
            <w:tcW w:w="200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①本项目设置的绩效指标将项目总体绩效目标细化分解（1分）；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②本项目设置的绩效指标通过清晰、可衡量的指标值予以体现（1分）；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③本项目设置的绩效指标与项目目标任务数或计划数相对应（2分）。</w:t>
            </w:r>
          </w:p>
        </w:tc>
        <w:tc>
          <w:tcPr>
            <w:tcW w:w="395"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2"/>
                <w:szCs w:val="22"/>
                <w:u w:val="none"/>
                <w:lang w:val="en-US"/>
              </w:rPr>
            </w:pPr>
            <w:r>
              <w:rPr>
                <w:rFonts w:hint="eastAsia" w:ascii="仿宋_GB2312" w:hAnsi="宋体" w:cs="仿宋_GB2312"/>
                <w:i w:val="0"/>
                <w:iCs w:val="0"/>
                <w:color w:val="auto"/>
                <w:kern w:val="0"/>
                <w:sz w:val="22"/>
                <w:szCs w:val="22"/>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仿宋_GB2312" w:hAnsi="仿宋_GB2312" w:eastAsia="仿宋_GB2312" w:cs="仿宋_GB2312"/>
                <w:i w:val="0"/>
                <w:iCs w:val="0"/>
                <w:color w:val="000000"/>
                <w:sz w:val="22"/>
                <w:szCs w:val="22"/>
                <w:u w:val="none"/>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仿宋_GB2312" w:hAnsi="仿宋_GB2312" w:eastAsia="仿宋_GB2312" w:cs="仿宋_GB2312"/>
                <w:i w:val="0"/>
                <w:iCs w:val="0"/>
                <w:color w:val="000000"/>
                <w:sz w:val="22"/>
                <w:szCs w:val="22"/>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仿宋_GB2312" w:hAnsi="仿宋_GB2312" w:eastAsia="仿宋_GB2312" w:cs="仿宋_GB2312"/>
                <w:i w:val="0"/>
                <w:iCs w:val="0"/>
                <w:color w:val="000000"/>
                <w:sz w:val="22"/>
                <w:szCs w:val="22"/>
                <w:u w:val="none"/>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仿宋_GB2312" w:hAnsi="仿宋_GB2312" w:eastAsia="仿宋_GB2312" w:cs="仿宋_GB2312"/>
                <w:i w:val="0"/>
                <w:iCs w:val="0"/>
                <w:color w:val="000000"/>
                <w:sz w:val="22"/>
                <w:szCs w:val="22"/>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资金投入</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（6分）</w:t>
            </w:r>
          </w:p>
        </w:tc>
        <w:tc>
          <w:tcPr>
            <w:tcW w:w="525"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预算编制科学性</w:t>
            </w:r>
          </w:p>
        </w:tc>
        <w:tc>
          <w:tcPr>
            <w:tcW w:w="246"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4</w:t>
            </w:r>
          </w:p>
        </w:tc>
        <w:tc>
          <w:tcPr>
            <w:tcW w:w="934"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项目预算编制是否经过科学论证、有明确标准，资金额度与年度目标是否相适应，用以反映和考核项目预算编制的科学性、合理性情况。</w:t>
            </w:r>
          </w:p>
        </w:tc>
        <w:tc>
          <w:tcPr>
            <w:tcW w:w="200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①本项目预算编制符合区财政部门当年度关于预算编制的原则和要求（1分）；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②本项目预算内容与项目内容匹配（1分）；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③本项目预算额度测算依据充分，并按照标准编制（1分）；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④本项目预算确定的项目资金量与工作任务相匹配（1分）；</w:t>
            </w:r>
          </w:p>
        </w:tc>
        <w:tc>
          <w:tcPr>
            <w:tcW w:w="395"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2"/>
                <w:szCs w:val="22"/>
                <w:u w:val="none"/>
                <w:lang w:val="en-US"/>
              </w:rPr>
            </w:pPr>
            <w:r>
              <w:rPr>
                <w:rFonts w:hint="eastAsia" w:ascii="仿宋_GB2312" w:hAnsi="宋体" w:eastAsia="仿宋_GB2312" w:cs="仿宋_GB2312"/>
                <w:i w:val="0"/>
                <w:iCs w:val="0"/>
                <w:color w:val="auto"/>
                <w:kern w:val="0"/>
                <w:sz w:val="22"/>
                <w:szCs w:val="22"/>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仿宋_GB2312" w:hAnsi="仿宋_GB2312" w:eastAsia="仿宋_GB2312" w:cs="仿宋_GB2312"/>
                <w:i w:val="0"/>
                <w:iCs w:val="0"/>
                <w:color w:val="000000"/>
                <w:sz w:val="22"/>
                <w:szCs w:val="22"/>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仿宋_GB2312" w:hAnsi="仿宋_GB2312" w:eastAsia="仿宋_GB2312" w:cs="仿宋_GB2312"/>
                <w:i w:val="0"/>
                <w:iCs w:val="0"/>
                <w:color w:val="000000"/>
                <w:sz w:val="22"/>
                <w:szCs w:val="22"/>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资金分配合理性</w:t>
            </w:r>
          </w:p>
        </w:tc>
        <w:tc>
          <w:tcPr>
            <w:tcW w:w="246"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2</w:t>
            </w:r>
          </w:p>
        </w:tc>
        <w:tc>
          <w:tcPr>
            <w:tcW w:w="934"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项目预算资金分配是否有测算依据，与补助单位或地方实际是否相适应，用以反映和考核项目预算资金分配的科学性、合理性情况。</w:t>
            </w:r>
          </w:p>
        </w:tc>
        <w:tc>
          <w:tcPr>
            <w:tcW w:w="200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①预算资金分配依据充分，体现厉行节约从严从紧安排的导向（1分）；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②资金分配额度合理，与项目实际情况相适应（1分）。</w:t>
            </w:r>
          </w:p>
        </w:tc>
        <w:tc>
          <w:tcPr>
            <w:tcW w:w="395"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2"/>
                <w:szCs w:val="22"/>
                <w:u w:val="none"/>
                <w:lang w:val="en-US"/>
              </w:rPr>
            </w:pPr>
            <w:r>
              <w:rPr>
                <w:rFonts w:hint="eastAsia" w:ascii="仿宋_GB2312" w:hAnsi="宋体" w:eastAsia="仿宋_GB2312" w:cs="仿宋_GB2312"/>
                <w:i w:val="0"/>
                <w:iCs w:val="0"/>
                <w:color w:val="auto"/>
                <w:kern w:val="0"/>
                <w:sz w:val="22"/>
                <w:szCs w:val="22"/>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仿宋_GB2312" w:hAnsi="仿宋_GB2312" w:eastAsia="仿宋_GB2312" w:cs="仿宋_GB2312"/>
                <w:i w:val="0"/>
                <w:iCs w:val="0"/>
                <w:color w:val="000000"/>
                <w:sz w:val="22"/>
                <w:szCs w:val="22"/>
                <w:u w:val="none"/>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仿宋_GB2312" w:hAnsi="仿宋_GB2312" w:eastAsia="仿宋_GB2312" w:cs="仿宋_GB2312"/>
                <w:i w:val="0"/>
                <w:iCs w:val="0"/>
                <w:color w:val="000000"/>
                <w:sz w:val="22"/>
                <w:szCs w:val="22"/>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437"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过程</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（20分）</w:t>
            </w:r>
          </w:p>
        </w:tc>
        <w:tc>
          <w:tcPr>
            <w:tcW w:w="453"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资金管理（10分）</w:t>
            </w:r>
          </w:p>
        </w:tc>
        <w:tc>
          <w:tcPr>
            <w:tcW w:w="52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资金到位率</w:t>
            </w:r>
          </w:p>
        </w:tc>
        <w:tc>
          <w:tcPr>
            <w:tcW w:w="24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2</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实际到位资金与预算资金的比率，用以反映和考核资金落实情况对项目实施的总体保障程度。</w:t>
            </w:r>
          </w:p>
        </w:tc>
        <w:tc>
          <w:tcPr>
            <w:tcW w:w="200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本项目资金到位率=（实际到位资金/项目预算资金）×100%（2分）。</w:t>
            </w:r>
          </w:p>
        </w:tc>
        <w:tc>
          <w:tcPr>
            <w:tcW w:w="39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rPr>
            </w:pPr>
            <w:r>
              <w:rPr>
                <w:rFonts w:hint="eastAsia" w:ascii="仿宋_GB2312" w:hAnsi="宋体" w:eastAsia="仿宋_GB2312" w:cs="仿宋_GB2312"/>
                <w:i w:val="0"/>
                <w:iCs w:val="0"/>
                <w:color w:val="000000"/>
                <w:kern w:val="0"/>
                <w:sz w:val="22"/>
                <w:szCs w:val="22"/>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8"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预算执行率</w:t>
            </w:r>
          </w:p>
        </w:tc>
        <w:tc>
          <w:tcPr>
            <w:tcW w:w="24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4</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项目预算资金是否按照计划执行，用以反映或考核项目预算执行情况。</w:t>
            </w:r>
          </w:p>
        </w:tc>
        <w:tc>
          <w:tcPr>
            <w:tcW w:w="200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sz w:val="22"/>
                <w:szCs w:val="22"/>
                <w:u w:val="none"/>
              </w:rPr>
              <w:t>本项目预算执行率=（本项目累计实际支出资金/本项目累计到位资金）×100%。</w:t>
            </w:r>
          </w:p>
          <w:p>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sz w:val="22"/>
                <w:szCs w:val="22"/>
                <w:u w:val="none"/>
              </w:rPr>
              <w:t>若项目预算执行率95%（含）以上，得4分；预算执行率85%（含）-95%，得3分；75%（含）-85%，得2分；65%（含）-75%，得1分；60%（含）-65%，得0.5分；60%以下不得分。</w:t>
            </w:r>
          </w:p>
        </w:tc>
        <w:tc>
          <w:tcPr>
            <w:tcW w:w="39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eastAsia="zh-CN"/>
              </w:rPr>
            </w:pPr>
            <w:r>
              <w:rPr>
                <w:rFonts w:hint="eastAsia" w:ascii="仿宋_GB2312" w:hAnsi="宋体" w:eastAsia="仿宋_GB2312" w:cs="仿宋_GB2312"/>
                <w:i w:val="0"/>
                <w:iCs w:val="0"/>
                <w:color w:val="000000"/>
                <w:sz w:val="22"/>
                <w:szCs w:val="22"/>
                <w:u w:val="none"/>
                <w:lang w:val="en-US" w:eastAsia="zh-CN"/>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资金使用合规性</w:t>
            </w:r>
          </w:p>
        </w:tc>
        <w:tc>
          <w:tcPr>
            <w:tcW w:w="246"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4</w:t>
            </w:r>
          </w:p>
        </w:tc>
        <w:tc>
          <w:tcPr>
            <w:tcW w:w="934"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项目资金使用是否符合相关的财务管理制度规定，用以反映和考核项目资金的规范运行情况。</w:t>
            </w:r>
          </w:p>
        </w:tc>
        <w:tc>
          <w:tcPr>
            <w:tcW w:w="200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①本项目资金的使用符合区财经法规和单位的财务管理制度的规定（1分）；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②本项目资金的拨付有完整的审批程序和手续（1分）；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③本项目资金的使用符合项目预算批复和合同规定的用途（1分）；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④本项目资金的使用不存在截留、挤占、挪用、虚列支出等情况（1分）。</w:t>
            </w:r>
          </w:p>
        </w:tc>
        <w:tc>
          <w:tcPr>
            <w:tcW w:w="395"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rPr>
            </w:pPr>
            <w:r>
              <w:rPr>
                <w:rFonts w:hint="eastAsia" w:ascii="仿宋_GB2312" w:hAnsi="宋体" w:eastAsia="仿宋_GB2312" w:cs="仿宋_GB2312"/>
                <w:i w:val="0"/>
                <w:iCs w:val="0"/>
                <w:color w:val="000000"/>
                <w:kern w:val="0"/>
                <w:sz w:val="22"/>
                <w:szCs w:val="22"/>
                <w:u w:val="none"/>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仿宋_GB2312" w:hAnsi="仿宋_GB2312" w:eastAsia="仿宋_GB2312" w:cs="仿宋_GB2312"/>
                <w:i w:val="0"/>
                <w:iCs w:val="0"/>
                <w:color w:val="000000"/>
                <w:sz w:val="22"/>
                <w:szCs w:val="22"/>
                <w:u w:val="none"/>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仿宋_GB2312" w:hAnsi="仿宋_GB2312" w:eastAsia="仿宋_GB2312" w:cs="仿宋_GB2312"/>
                <w:i w:val="0"/>
                <w:iCs w:val="0"/>
                <w:color w:val="000000"/>
                <w:sz w:val="22"/>
                <w:szCs w:val="22"/>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仿宋_GB2312" w:hAnsi="仿宋_GB2312" w:eastAsia="仿宋_GB2312" w:cs="仿宋_GB2312"/>
                <w:i w:val="0"/>
                <w:iCs w:val="0"/>
                <w:color w:val="000000"/>
                <w:sz w:val="22"/>
                <w:szCs w:val="22"/>
                <w:u w:val="none"/>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仿宋_GB2312" w:hAnsi="仿宋_GB2312" w:eastAsia="仿宋_GB2312" w:cs="仿宋_GB2312"/>
                <w:i w:val="0"/>
                <w:iCs w:val="0"/>
                <w:color w:val="000000"/>
                <w:sz w:val="22"/>
                <w:szCs w:val="22"/>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仿宋_GB2312" w:hAnsi="仿宋_GB2312" w:eastAsia="仿宋_GB2312" w:cs="仿宋_GB2312"/>
                <w:i w:val="0"/>
                <w:iCs w:val="0"/>
                <w:color w:val="000000"/>
                <w:sz w:val="22"/>
                <w:szCs w:val="22"/>
                <w:u w:val="none"/>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仿宋_GB2312" w:hAnsi="仿宋_GB2312" w:eastAsia="仿宋_GB2312" w:cs="仿宋_GB2312"/>
                <w:i w:val="0"/>
                <w:iCs w:val="0"/>
                <w:color w:val="000000"/>
                <w:sz w:val="22"/>
                <w:szCs w:val="22"/>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0"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组织实施</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（10分）</w:t>
            </w:r>
          </w:p>
        </w:tc>
        <w:tc>
          <w:tcPr>
            <w:tcW w:w="525"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管理制度健全性</w:t>
            </w:r>
          </w:p>
        </w:tc>
        <w:tc>
          <w:tcPr>
            <w:tcW w:w="246"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5</w:t>
            </w:r>
          </w:p>
        </w:tc>
        <w:tc>
          <w:tcPr>
            <w:tcW w:w="934"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项目实施单位的财务和业务管理制度是否健全，用以反映和考核财务和业务管理制度对项目顺利实施的保障情况。</w:t>
            </w:r>
          </w:p>
        </w:tc>
        <w:tc>
          <w:tcPr>
            <w:tcW w:w="200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①制定了业务管理制度或相关的管理规范（1分）；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②管理制度或规范具有良好的规范性和约束性（1分）；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③制定了相应的财务收支管理制度、政府采购管理制度、合同管理制度、资金管理制度、预算管理制度等（2分）；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④财务和业务管理制度合法、合规、完整（1分）。</w:t>
            </w:r>
          </w:p>
        </w:tc>
        <w:tc>
          <w:tcPr>
            <w:tcW w:w="395"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rPr>
            </w:pPr>
            <w:r>
              <w:rPr>
                <w:rFonts w:hint="eastAsia" w:ascii="仿宋_GB2312" w:hAnsi="宋体" w:eastAsia="仿宋_GB2312" w:cs="仿宋_GB2312"/>
                <w:i w:val="0"/>
                <w:iCs w:val="0"/>
                <w:color w:val="000000"/>
                <w:kern w:val="0"/>
                <w:sz w:val="22"/>
                <w:szCs w:val="22"/>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仿宋_GB2312" w:hAnsi="仿宋_GB2312" w:eastAsia="仿宋_GB2312" w:cs="仿宋_GB2312"/>
                <w:i w:val="0"/>
                <w:iCs w:val="0"/>
                <w:color w:val="000000"/>
                <w:sz w:val="22"/>
                <w:szCs w:val="22"/>
                <w:u w:val="none"/>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仿宋_GB2312" w:hAnsi="仿宋_GB2312" w:eastAsia="仿宋_GB2312" w:cs="仿宋_GB2312"/>
                <w:i w:val="0"/>
                <w:iCs w:val="0"/>
                <w:color w:val="000000"/>
                <w:sz w:val="22"/>
                <w:szCs w:val="22"/>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仿宋_GB2312" w:hAnsi="仿宋_GB2312" w:eastAsia="仿宋_GB2312" w:cs="仿宋_GB2312"/>
                <w:i w:val="0"/>
                <w:iCs w:val="0"/>
                <w:color w:val="000000"/>
                <w:sz w:val="22"/>
                <w:szCs w:val="22"/>
                <w:u w:val="none"/>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仿宋_GB2312" w:hAnsi="仿宋_GB2312" w:eastAsia="仿宋_GB2312" w:cs="仿宋_GB2312"/>
                <w:i w:val="0"/>
                <w:iCs w:val="0"/>
                <w:color w:val="000000"/>
                <w:sz w:val="22"/>
                <w:szCs w:val="22"/>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0"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制度执行有效性</w:t>
            </w:r>
          </w:p>
        </w:tc>
        <w:tc>
          <w:tcPr>
            <w:tcW w:w="246"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5</w:t>
            </w:r>
          </w:p>
        </w:tc>
        <w:tc>
          <w:tcPr>
            <w:tcW w:w="934"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项目实施是否符合相关管理规定，用以反映和考核相关管理制度的有效执行情况。</w:t>
            </w:r>
          </w:p>
        </w:tc>
        <w:tc>
          <w:tcPr>
            <w:tcW w:w="200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①遵守相关法律法规和相关管理规定。签订的项目服务合同条款合理、规范，项目服务周期连贯，符合项目实际情况（2分）。每存在一项不符合扣1分，扣完为止；</w:t>
            </w:r>
          </w:p>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②项目调整及支出调整手续完备（1分）。每存在一项不完备之处扣0.5分，扣完为止；</w:t>
            </w:r>
          </w:p>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③项目合同书、验收报告、技术鉴定等资料齐全并及时归档（1分）。存在个别资料不齐全扣0.5分，大部分资料不齐全扣1分；</w:t>
            </w:r>
          </w:p>
          <w:p>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④项目实施的人员条件、场地设备、信息支撑等落实到位（1分）。每存在一项未落实之处扣0.5分，扣完为止。</w:t>
            </w:r>
          </w:p>
        </w:tc>
        <w:tc>
          <w:tcPr>
            <w:tcW w:w="395"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rPr>
            </w:pPr>
            <w:r>
              <w:rPr>
                <w:rFonts w:hint="eastAsia" w:ascii="仿宋_GB2312" w:hAnsi="宋体" w:cs="仿宋_GB2312"/>
                <w:i w:val="0"/>
                <w:iCs w:val="0"/>
                <w:color w:val="000000"/>
                <w:kern w:val="0"/>
                <w:sz w:val="22"/>
                <w:szCs w:val="22"/>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仿宋_GB2312" w:hAnsi="仿宋_GB2312" w:eastAsia="仿宋_GB2312" w:cs="仿宋_GB2312"/>
                <w:i w:val="0"/>
                <w:iCs w:val="0"/>
                <w:color w:val="000000"/>
                <w:sz w:val="22"/>
                <w:szCs w:val="22"/>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both"/>
              <w:rPr>
                <w:rFonts w:hint="eastAsia" w:ascii="仿宋_GB2312" w:hAnsi="仿宋_GB2312" w:eastAsia="仿宋_GB2312" w:cs="仿宋_GB2312"/>
                <w:i w:val="0"/>
                <w:iCs w:val="0"/>
                <w:color w:val="000000"/>
                <w:sz w:val="22"/>
                <w:szCs w:val="22"/>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9" w:hRule="atLeast"/>
        </w:trPr>
        <w:tc>
          <w:tcPr>
            <w:tcW w:w="437"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产出</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（38分）</w:t>
            </w:r>
          </w:p>
        </w:tc>
        <w:tc>
          <w:tcPr>
            <w:tcW w:w="453" w:type="pct"/>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产出数量（13分）</w:t>
            </w:r>
          </w:p>
        </w:tc>
        <w:tc>
          <w:tcPr>
            <w:tcW w:w="525" w:type="pc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查违综合防控安保人员数量</w:t>
            </w:r>
          </w:p>
        </w:tc>
        <w:tc>
          <w:tcPr>
            <w:tcW w:w="246" w:type="pc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7</w:t>
            </w:r>
          </w:p>
        </w:tc>
        <w:tc>
          <w:tcPr>
            <w:tcW w:w="934" w:type="pc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考察查违综合防控安保人员实际人数情况，是否达到合同约定人数。</w:t>
            </w:r>
          </w:p>
        </w:tc>
        <w:tc>
          <w:tcPr>
            <w:tcW w:w="2008" w:type="pc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若查违综合防控安保人员达到29人，得7分。若查违综合防控安保人员低于29人，不得分。</w:t>
            </w:r>
          </w:p>
        </w:tc>
        <w:tc>
          <w:tcPr>
            <w:tcW w:w="395" w:type="pct"/>
            <w:tcBorders>
              <w:top w:val="single" w:color="000000" w:sz="4" w:space="0"/>
              <w:left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rPr>
            </w:pPr>
            <w:r>
              <w:rPr>
                <w:rFonts w:hint="eastAsia" w:ascii="仿宋_GB2312" w:hAnsi="宋体" w:eastAsia="仿宋_GB2312" w:cs="仿宋_GB2312"/>
                <w:i w:val="0"/>
                <w:iCs w:val="0"/>
                <w:color w:val="000000"/>
                <w:kern w:val="0"/>
                <w:sz w:val="22"/>
                <w:szCs w:val="22"/>
                <w:u w:val="none"/>
                <w:lang w:val="en-US" w:eastAsia="zh-CN" w:bidi="ar"/>
              </w:rPr>
              <w:t>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设备配置完成率</w:t>
            </w:r>
          </w:p>
        </w:tc>
        <w:tc>
          <w:tcPr>
            <w:tcW w:w="246" w:type="pc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6</w:t>
            </w:r>
          </w:p>
        </w:tc>
        <w:tc>
          <w:tcPr>
            <w:tcW w:w="934" w:type="pc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考察2025年服务方是否按合同要求配齐车辆、行车记录仪、执法记录仪、网络移动数据等。</w:t>
            </w:r>
          </w:p>
        </w:tc>
        <w:tc>
          <w:tcPr>
            <w:tcW w:w="2008" w:type="pc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以月度考核表作为数据来源，具体评分标准如下：</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设备配置完成率=设备配置齐全月份数/12*100%。</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设备配置完成率得分=设备配置完成率*6分</w:t>
            </w:r>
          </w:p>
        </w:tc>
        <w:tc>
          <w:tcPr>
            <w:tcW w:w="395" w:type="pct"/>
            <w:tcBorders>
              <w:top w:val="single" w:color="000000" w:sz="4" w:space="0"/>
              <w:left w:val="single" w:color="000000" w:sz="4" w:space="0"/>
              <w:right w:val="single" w:color="000000" w:sz="4" w:space="0"/>
            </w:tcBorders>
            <w:noWrap/>
            <w:vAlign w:val="center"/>
          </w:tcPr>
          <w:p>
            <w:pPr>
              <w:jc w:val="center"/>
              <w:rPr>
                <w:rFonts w:hint="default" w:ascii="仿宋_GB2312" w:hAnsi="宋体" w:eastAsia="仿宋_GB2312" w:cs="仿宋_GB2312"/>
                <w:i w:val="0"/>
                <w:iCs w:val="0"/>
                <w:color w:val="000000"/>
                <w:sz w:val="22"/>
                <w:szCs w:val="22"/>
                <w:u w:val="none"/>
                <w:lang w:val="en-US" w:eastAsia="zh-CN"/>
              </w:rPr>
            </w:pPr>
            <w:r>
              <w:rPr>
                <w:rFonts w:hint="eastAsia" w:ascii="仿宋_GB2312" w:hAnsi="宋体" w:eastAsia="仿宋_GB2312" w:cs="仿宋_GB2312"/>
                <w:i w:val="0"/>
                <w:iCs w:val="0"/>
                <w:color w:val="000000"/>
                <w:sz w:val="22"/>
                <w:szCs w:val="22"/>
                <w:u w:val="none"/>
                <w:lang w:val="en-US" w:eastAsia="zh-CN"/>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437" w:type="pct"/>
            <w:vMerge w:val="continue"/>
            <w:tcBorders>
              <w:top w:val="single" w:color="000000" w:sz="4" w:space="0"/>
              <w:left w:val="single" w:color="000000" w:sz="4" w:space="0"/>
              <w:bottom w:val="single" w:color="000000" w:sz="4" w:space="0"/>
              <w:right w:val="single" w:color="auto"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产出质量</w:t>
            </w:r>
          </w:p>
          <w:p>
            <w:pPr>
              <w:jc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（13分）</w:t>
            </w:r>
          </w:p>
        </w:tc>
        <w:tc>
          <w:tcPr>
            <w:tcW w:w="5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查违综合防控服务考核达标率</w:t>
            </w:r>
          </w:p>
        </w:tc>
        <w:tc>
          <w:tcPr>
            <w:tcW w:w="246" w:type="pct"/>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7</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考察查违防控巡查项目考核达标情况。</w:t>
            </w:r>
          </w:p>
        </w:tc>
        <w:tc>
          <w:tcPr>
            <w:tcW w:w="200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以月度考核表为数据来源，具体评分标准如下：</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查违综合防控服务考核达标率=考核达“合格”的月份数/12*100%。</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查违综合防控服务考核达标率得分=查违综合防控服务考核达标率*7分</w:t>
            </w:r>
          </w:p>
        </w:tc>
        <w:tc>
          <w:tcPr>
            <w:tcW w:w="39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cs="仿宋_GB2312"/>
                <w:i w:val="0"/>
                <w:iCs w:val="0"/>
                <w:color w:val="000000"/>
                <w:kern w:val="0"/>
                <w:sz w:val="22"/>
                <w:szCs w:val="22"/>
                <w:u w:val="none"/>
                <w:lang w:val="en-US" w:eastAsia="zh-CN" w:bidi="ar"/>
              </w:rPr>
            </w:pPr>
            <w:r>
              <w:rPr>
                <w:rFonts w:hint="eastAsia" w:ascii="仿宋_GB2312" w:hAnsi="宋体" w:cs="仿宋_GB2312"/>
                <w:i w:val="0"/>
                <w:iCs w:val="0"/>
                <w:color w:val="000000"/>
                <w:kern w:val="0"/>
                <w:sz w:val="22"/>
                <w:szCs w:val="22"/>
                <w:u w:val="none"/>
                <w:lang w:val="en-US" w:eastAsia="zh-CN" w:bidi="ar"/>
              </w:rPr>
              <w:t>6.42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437" w:type="pct"/>
            <w:vMerge w:val="continue"/>
            <w:tcBorders>
              <w:top w:val="single" w:color="000000" w:sz="4" w:space="0"/>
              <w:left w:val="single" w:color="000000" w:sz="4" w:space="0"/>
              <w:bottom w:val="single" w:color="000000" w:sz="4" w:space="0"/>
              <w:right w:val="single" w:color="auto"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p>
        </w:tc>
        <w:tc>
          <w:tcPr>
            <w:tcW w:w="52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全年累计漏检次数</w:t>
            </w:r>
          </w:p>
        </w:tc>
        <w:tc>
          <w:tcPr>
            <w:tcW w:w="246" w:type="pct"/>
            <w:tcBorders>
              <w:top w:val="single" w:color="000000"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6</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考察服务方的巡查到位情况。全年累计漏检次数是指2025年1月—12月，经甲方分析确认为漏检的总次数。</w:t>
            </w:r>
          </w:p>
        </w:tc>
        <w:tc>
          <w:tcPr>
            <w:tcW w:w="200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以月度考核表作为数据来源，考虑辖区管辖面积较大，具体评分标准如下：</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全年累计漏检次数不超过12次（含）的，得6分；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全年累计漏检次数在13次至24次之间（含）的，得4分；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全年累计漏检次数在25次至36次之间（含）的，得3分；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全年累计漏检次数在37次至48次之间（含）的，得2分；</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全年累计漏检次数超过49次（含）的，不得分。</w:t>
            </w:r>
          </w:p>
        </w:tc>
        <w:tc>
          <w:tcPr>
            <w:tcW w:w="39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rPr>
            </w:pPr>
            <w:r>
              <w:rPr>
                <w:rFonts w:hint="eastAsia" w:ascii="仿宋_GB2312" w:hAnsi="宋体" w:cs="仿宋_GB2312"/>
                <w:i w:val="0"/>
                <w:iCs w:val="0"/>
                <w:color w:val="000000"/>
                <w:kern w:val="0"/>
                <w:sz w:val="22"/>
                <w:szCs w:val="22"/>
                <w:u w:val="none"/>
                <w:lang w:val="en-US" w:eastAsia="zh-CN" w:bidi="ar"/>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0"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产出时效</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（6分）</w:t>
            </w:r>
          </w:p>
        </w:tc>
        <w:tc>
          <w:tcPr>
            <w:tcW w:w="525" w:type="pct"/>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巡查资料上报及时率</w:t>
            </w:r>
          </w:p>
        </w:tc>
        <w:tc>
          <w:tcPr>
            <w:tcW w:w="246"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6</w:t>
            </w:r>
          </w:p>
        </w:tc>
        <w:tc>
          <w:tcPr>
            <w:tcW w:w="934"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考察2025年服务方每月是否做好并及时上报巡查记录、台账。</w:t>
            </w:r>
          </w:p>
        </w:tc>
        <w:tc>
          <w:tcPr>
            <w:tcW w:w="200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以月度考核表作为数据来源统计全年累计漏检次数，具体评分标准如下：</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巡查资料上报及时率=做好并及时上报巡查记录、台账的月份数/12*100%。</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巡查资料上报及时率得分=巡查资料上报及时率*6分</w:t>
            </w:r>
          </w:p>
        </w:tc>
        <w:tc>
          <w:tcPr>
            <w:tcW w:w="395"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eastAsia="zh-CN"/>
              </w:rPr>
            </w:pPr>
            <w:r>
              <w:rPr>
                <w:rFonts w:hint="eastAsia" w:ascii="仿宋_GB2312" w:hAnsi="宋体" w:eastAsia="仿宋_GB2312" w:cs="仿宋_GB2312"/>
                <w:i w:val="0"/>
                <w:iCs w:val="0"/>
                <w:color w:val="000000"/>
                <w:sz w:val="22"/>
                <w:szCs w:val="22"/>
                <w:u w:val="none"/>
                <w:lang w:val="en-US" w:eastAsia="zh-CN"/>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auto"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auto"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auto"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auto"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auto"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auto"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auto"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auto"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auto"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auto"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5"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产出成本</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（6分）</w:t>
            </w:r>
          </w:p>
        </w:tc>
        <w:tc>
          <w:tcPr>
            <w:tcW w:w="525" w:type="pct"/>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4"/>
                <w:szCs w:val="24"/>
                <w:u w:val="none"/>
                <w:lang w:val="en-US" w:eastAsia="zh-CN" w:bidi="ar"/>
              </w:rPr>
              <w:t>成本控制率</w:t>
            </w:r>
          </w:p>
        </w:tc>
        <w:tc>
          <w:tcPr>
            <w:tcW w:w="246"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4"/>
                <w:szCs w:val="24"/>
                <w:u w:val="none"/>
                <w:lang w:val="en-US" w:eastAsia="zh-CN" w:bidi="ar"/>
              </w:rPr>
              <w:t>6</w:t>
            </w:r>
          </w:p>
        </w:tc>
        <w:tc>
          <w:tcPr>
            <w:tcW w:w="934"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完成项目计划工作目标的实际节约成本与计划成本的比率，用以反映和考核项目的成本节约程度。</w:t>
            </w:r>
          </w:p>
        </w:tc>
        <w:tc>
          <w:tcPr>
            <w:tcW w:w="200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①本项目所有款项均按合同约定标准据实结算，得3分；</w:t>
            </w:r>
          </w:p>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②本项目总体在计划成本（全年预算）范围内支出，得3分；</w:t>
            </w:r>
          </w:p>
        </w:tc>
        <w:tc>
          <w:tcPr>
            <w:tcW w:w="395"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rPr>
            </w:pPr>
            <w:r>
              <w:rPr>
                <w:rFonts w:hint="eastAsia" w:ascii="仿宋_GB2312" w:hAnsi="宋体" w:eastAsia="仿宋_GB2312" w:cs="仿宋_GB2312"/>
                <w:i w:val="0"/>
                <w:iCs w:val="0"/>
                <w:color w:val="000000"/>
                <w:kern w:val="0"/>
                <w:sz w:val="22"/>
                <w:szCs w:val="22"/>
                <w:u w:val="none"/>
                <w:lang w:val="en-US" w:eastAsia="zh-CN" w:bidi="ar"/>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auto"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auto"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i w:val="0"/>
                <w:iCs w:val="0"/>
                <w:color w:val="000000"/>
                <w:sz w:val="22"/>
                <w:szCs w:val="22"/>
                <w:u w:val="none"/>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i w:val="0"/>
                <w:iCs w:val="0"/>
                <w:color w:val="auto"/>
                <w:sz w:val="22"/>
                <w:szCs w:val="22"/>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auto"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auto"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i w:val="0"/>
                <w:iCs w:val="0"/>
                <w:color w:val="000000"/>
                <w:sz w:val="22"/>
                <w:szCs w:val="22"/>
                <w:u w:val="none"/>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i w:val="0"/>
                <w:iCs w:val="0"/>
                <w:color w:val="auto"/>
                <w:sz w:val="22"/>
                <w:szCs w:val="22"/>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auto"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vMerge w:val="continue"/>
            <w:tcBorders>
              <w:top w:val="single" w:color="auto" w:sz="4" w:space="0"/>
              <w:left w:val="single" w:color="000000" w:sz="4" w:space="0"/>
              <w:bottom w:val="single" w:color="auto"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246"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934"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i w:val="0"/>
                <w:iCs w:val="0"/>
                <w:color w:val="000000"/>
                <w:sz w:val="22"/>
                <w:szCs w:val="22"/>
                <w:u w:val="none"/>
              </w:rPr>
            </w:pPr>
          </w:p>
        </w:tc>
        <w:tc>
          <w:tcPr>
            <w:tcW w:w="20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仿宋_GB2312" w:hAnsi="仿宋_GB2312" w:eastAsia="仿宋_GB2312" w:cs="仿宋_GB2312"/>
                <w:i w:val="0"/>
                <w:iCs w:val="0"/>
                <w:color w:val="auto"/>
                <w:sz w:val="22"/>
                <w:szCs w:val="22"/>
                <w:u w:val="none"/>
              </w:rPr>
            </w:pPr>
          </w:p>
        </w:tc>
        <w:tc>
          <w:tcPr>
            <w:tcW w:w="39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仿宋_GB2312" w:hAnsi="宋体"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7" w:hRule="atLeast"/>
        </w:trPr>
        <w:tc>
          <w:tcPr>
            <w:tcW w:w="437"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效益</w:t>
            </w:r>
            <w:r>
              <w:rPr>
                <w:rFonts w:hint="eastAsia" w:ascii="仿宋_GB2312" w:hAnsi="仿宋_GB2312" w:eastAsia="仿宋_GB2312" w:cs="仿宋_GB2312"/>
                <w:i w:val="0"/>
                <w:iCs w:val="0"/>
                <w:color w:val="000000"/>
                <w:kern w:val="0"/>
                <w:sz w:val="22"/>
                <w:szCs w:val="22"/>
                <w:u w:val="none"/>
                <w:lang w:val="en-US" w:eastAsia="zh-CN" w:bidi="ar"/>
              </w:rPr>
              <w:br w:type="textWrapping"/>
            </w:r>
            <w:r>
              <w:rPr>
                <w:rFonts w:hint="eastAsia" w:ascii="仿宋_GB2312" w:hAnsi="仿宋_GB2312" w:eastAsia="仿宋_GB2312" w:cs="仿宋_GB2312"/>
                <w:i w:val="0"/>
                <w:iCs w:val="0"/>
                <w:color w:val="000000"/>
                <w:kern w:val="0"/>
                <w:sz w:val="22"/>
                <w:szCs w:val="22"/>
                <w:u w:val="none"/>
                <w:lang w:val="en-US" w:eastAsia="zh-CN" w:bidi="ar"/>
              </w:rPr>
              <w:t>（22分）</w:t>
            </w:r>
          </w:p>
        </w:tc>
        <w:tc>
          <w:tcPr>
            <w:tcW w:w="453" w:type="pct"/>
            <w:vMerge w:val="restart"/>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项目效益</w:t>
            </w:r>
          </w:p>
          <w:p>
            <w:pPr>
              <w:keepNext w:val="0"/>
              <w:keepLines w:val="0"/>
              <w:widowControl/>
              <w:suppressLineNumbers w:val="0"/>
              <w:jc w:val="center"/>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（22分）</w:t>
            </w:r>
          </w:p>
        </w:tc>
        <w:tc>
          <w:tcPr>
            <w:tcW w:w="525" w:type="pct"/>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违建“零增量、减存量”目标达成率</w:t>
            </w:r>
          </w:p>
        </w:tc>
        <w:tc>
          <w:tcPr>
            <w:tcW w:w="24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12</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考察项目实施后，违建“零增量、减存量”目标完成情况。</w:t>
            </w:r>
          </w:p>
        </w:tc>
        <w:tc>
          <w:tcPr>
            <w:tcW w:w="200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仿宋_GB2312" w:eastAsia="仿宋_GB2312" w:cs="仿宋_GB2312"/>
                <w:i w:val="0"/>
                <w:iCs w:val="0"/>
                <w:color w:val="auto"/>
                <w:sz w:val="22"/>
                <w:szCs w:val="22"/>
                <w:u w:val="none"/>
                <w:lang w:val="en-US" w:eastAsia="zh-CN"/>
              </w:rPr>
            </w:pPr>
            <w:r>
              <w:rPr>
                <w:rFonts w:hint="eastAsia" w:ascii="仿宋_GB2312" w:hAnsi="仿宋_GB2312" w:eastAsia="仿宋_GB2312" w:cs="仿宋_GB2312"/>
                <w:i w:val="0"/>
                <w:iCs w:val="0"/>
                <w:color w:val="auto"/>
                <w:sz w:val="22"/>
                <w:szCs w:val="22"/>
                <w:u w:val="none"/>
                <w:lang w:val="en-US" w:eastAsia="zh-CN"/>
              </w:rPr>
              <w:t>通过项目实施，分析是否按计划处置新增违建，推进违建拆除消化，实现辖区违建</w:t>
            </w:r>
            <w:r>
              <w:rPr>
                <w:rFonts w:hint="eastAsia" w:ascii="仿宋_GB2312" w:hAnsi="宋体" w:eastAsia="仿宋_GB2312" w:cs="仿宋_GB2312"/>
                <w:i w:val="0"/>
                <w:iCs w:val="0"/>
                <w:color w:val="000000"/>
                <w:kern w:val="0"/>
                <w:sz w:val="22"/>
                <w:szCs w:val="22"/>
                <w:u w:val="none"/>
                <w:lang w:val="en-US" w:eastAsia="zh-CN" w:bidi="ar"/>
              </w:rPr>
              <w:t>“零增量、减存量”目标，若目标达成率为100%，得12分；若目标达成率低于100%，</w:t>
            </w:r>
            <w:r>
              <w:rPr>
                <w:rFonts w:hint="eastAsia" w:ascii="仿宋_GB2312" w:hAnsi="仿宋_GB2312" w:eastAsia="仿宋_GB2312" w:cs="仿宋_GB2312"/>
                <w:i w:val="0"/>
                <w:iCs w:val="0"/>
                <w:color w:val="000000"/>
                <w:kern w:val="0"/>
                <w:sz w:val="22"/>
                <w:szCs w:val="22"/>
                <w:u w:val="none"/>
                <w:lang w:val="en-US" w:eastAsia="zh-CN" w:bidi="ar"/>
              </w:rPr>
              <w:t>每降低一个百分点扣1分，扣完为止。</w:t>
            </w:r>
          </w:p>
        </w:tc>
        <w:tc>
          <w:tcPr>
            <w:tcW w:w="39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rPr>
            </w:pPr>
            <w:r>
              <w:rPr>
                <w:rFonts w:hint="eastAsia" w:ascii="仿宋_GB2312" w:hAnsi="宋体" w:cs="仿宋_GB2312"/>
                <w:i w:val="0"/>
                <w:iCs w:val="0"/>
                <w:color w:val="000000"/>
                <w:kern w:val="0"/>
                <w:sz w:val="22"/>
                <w:szCs w:val="22"/>
                <w:u w:val="none"/>
                <w:lang w:val="en-US" w:eastAsia="zh-CN" w:bidi="ar"/>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查违综合防控服务履约评价等级</w:t>
            </w:r>
          </w:p>
        </w:tc>
        <w:tc>
          <w:tcPr>
            <w:tcW w:w="24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5</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考察</w:t>
            </w:r>
            <w:r>
              <w:rPr>
                <w:rFonts w:hint="eastAsia" w:ascii="仿宋_GB2312" w:hAnsi="宋体" w:eastAsia="仿宋_GB2312" w:cs="仿宋_GB2312"/>
                <w:i w:val="0"/>
                <w:iCs w:val="0"/>
                <w:color w:val="000000"/>
                <w:kern w:val="0"/>
                <w:sz w:val="22"/>
                <w:szCs w:val="22"/>
                <w:u w:val="none"/>
                <w:lang w:val="en-US" w:eastAsia="zh-CN" w:bidi="ar"/>
              </w:rPr>
              <w:t>街道对查违综合防控服务的履约评价情况</w:t>
            </w:r>
            <w:r>
              <w:rPr>
                <w:rFonts w:hint="eastAsia" w:ascii="仿宋_GB2312" w:hAnsi="仿宋_GB2312" w:eastAsia="仿宋_GB2312" w:cs="仿宋_GB2312"/>
                <w:i w:val="0"/>
                <w:iCs w:val="0"/>
                <w:color w:val="000000"/>
                <w:kern w:val="0"/>
                <w:sz w:val="22"/>
                <w:szCs w:val="22"/>
                <w:u w:val="none"/>
                <w:lang w:val="en-US" w:eastAsia="zh-CN" w:bidi="ar"/>
              </w:rPr>
              <w:t>。</w:t>
            </w:r>
          </w:p>
        </w:tc>
        <w:tc>
          <w:tcPr>
            <w:tcW w:w="200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若街道对</w:t>
            </w:r>
            <w:r>
              <w:rPr>
                <w:rFonts w:hint="eastAsia" w:ascii="仿宋_GB2312" w:hAnsi="宋体" w:eastAsia="仿宋_GB2312" w:cs="仿宋_GB2312"/>
                <w:i w:val="0"/>
                <w:iCs w:val="0"/>
                <w:color w:val="000000"/>
                <w:kern w:val="0"/>
                <w:sz w:val="22"/>
                <w:szCs w:val="22"/>
                <w:u w:val="none"/>
                <w:lang w:val="en-US" w:eastAsia="zh-CN" w:bidi="ar"/>
              </w:rPr>
              <w:t>查违综合防控服务的履约评价等级达到合格及以上</w:t>
            </w:r>
            <w:r>
              <w:rPr>
                <w:rFonts w:hint="eastAsia" w:ascii="仿宋_GB2312" w:hAnsi="仿宋_GB2312" w:eastAsia="仿宋_GB2312" w:cs="仿宋_GB2312"/>
                <w:i w:val="0"/>
                <w:iCs w:val="0"/>
                <w:color w:val="000000"/>
                <w:kern w:val="0"/>
                <w:sz w:val="22"/>
                <w:szCs w:val="22"/>
                <w:u w:val="none"/>
                <w:lang w:val="en-US" w:eastAsia="zh-CN" w:bidi="ar"/>
              </w:rPr>
              <w:t>，得5分；</w:t>
            </w:r>
          </w:p>
          <w:p>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若街道对</w:t>
            </w:r>
            <w:r>
              <w:rPr>
                <w:rFonts w:hint="eastAsia" w:ascii="仿宋_GB2312" w:hAnsi="宋体" w:eastAsia="仿宋_GB2312" w:cs="仿宋_GB2312"/>
                <w:i w:val="0"/>
                <w:iCs w:val="0"/>
                <w:color w:val="000000"/>
                <w:kern w:val="0"/>
                <w:sz w:val="22"/>
                <w:szCs w:val="22"/>
                <w:u w:val="none"/>
                <w:lang w:val="en-US" w:eastAsia="zh-CN" w:bidi="ar"/>
              </w:rPr>
              <w:t>查违综合防控服务的履约评价等级未达合格</w:t>
            </w:r>
            <w:r>
              <w:rPr>
                <w:rFonts w:hint="eastAsia" w:ascii="仿宋_GB2312" w:hAnsi="仿宋_GB2312" w:eastAsia="仿宋_GB2312" w:cs="仿宋_GB2312"/>
                <w:i w:val="0"/>
                <w:iCs w:val="0"/>
                <w:color w:val="000000"/>
                <w:kern w:val="0"/>
                <w:sz w:val="22"/>
                <w:szCs w:val="22"/>
                <w:u w:val="none"/>
                <w:lang w:val="en-US" w:eastAsia="zh-CN" w:bidi="ar"/>
              </w:rPr>
              <w:t>，不得分。</w:t>
            </w:r>
          </w:p>
        </w:tc>
        <w:tc>
          <w:tcPr>
            <w:tcW w:w="39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rPr>
            </w:pPr>
            <w:r>
              <w:rPr>
                <w:rFonts w:hint="eastAsia" w:ascii="仿宋_GB2312" w:hAnsi="宋体" w:cs="仿宋_GB2312"/>
                <w:i w:val="0"/>
                <w:iCs w:val="0"/>
                <w:color w:val="000000"/>
                <w:kern w:val="0"/>
                <w:sz w:val="22"/>
                <w:szCs w:val="22"/>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3" w:hRule="atLeast"/>
        </w:trPr>
        <w:tc>
          <w:tcPr>
            <w:tcW w:w="437"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453"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hAnsi="仿宋_GB2312" w:eastAsia="仿宋_GB2312" w:cs="仿宋_GB2312"/>
                <w:i w:val="0"/>
                <w:iCs w:val="0"/>
                <w:color w:val="000000"/>
                <w:sz w:val="22"/>
                <w:szCs w:val="22"/>
                <w:u w:val="none"/>
              </w:rPr>
            </w:pPr>
          </w:p>
        </w:tc>
        <w:tc>
          <w:tcPr>
            <w:tcW w:w="52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群众满意度</w:t>
            </w:r>
          </w:p>
        </w:tc>
        <w:tc>
          <w:tcPr>
            <w:tcW w:w="24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5</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考察辖区群众对项目实施效果的满意程度。</w:t>
            </w:r>
          </w:p>
        </w:tc>
        <w:tc>
          <w:tcPr>
            <w:tcW w:w="200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若群众满意度达到90%（含）以上，得5分；</w:t>
            </w:r>
          </w:p>
          <w:p>
            <w:pPr>
              <w:keepNext w:val="0"/>
              <w:keepLines w:val="0"/>
              <w:widowControl/>
              <w:suppressLineNumbers w:val="0"/>
              <w:jc w:val="both"/>
              <w:textAlignment w:val="center"/>
              <w:rPr>
                <w:rFonts w:hint="eastAsia" w:ascii="仿宋_GB2312" w:hAnsi="仿宋_GB2312" w:eastAsia="仿宋_GB2312" w:cs="仿宋_GB2312"/>
                <w:i w:val="0"/>
                <w:iCs w:val="0"/>
                <w:color w:val="000000"/>
                <w:sz w:val="22"/>
                <w:szCs w:val="22"/>
                <w:u w:val="none"/>
              </w:rPr>
            </w:pPr>
            <w:r>
              <w:rPr>
                <w:rFonts w:hint="eastAsia" w:ascii="仿宋_GB2312" w:hAnsi="仿宋_GB2312" w:eastAsia="仿宋_GB2312" w:cs="仿宋_GB2312"/>
                <w:i w:val="0"/>
                <w:iCs w:val="0"/>
                <w:color w:val="000000"/>
                <w:kern w:val="0"/>
                <w:sz w:val="22"/>
                <w:szCs w:val="22"/>
                <w:u w:val="none"/>
                <w:lang w:val="en-US" w:eastAsia="zh-CN" w:bidi="ar"/>
              </w:rPr>
              <w:t>若满意度低于90%，每降低一个百分点扣1分，扣完为止。</w:t>
            </w:r>
          </w:p>
        </w:tc>
        <w:tc>
          <w:tcPr>
            <w:tcW w:w="39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sz w:val="22"/>
                <w:szCs w:val="22"/>
                <w:u w:val="none"/>
                <w:lang w:val="en-US"/>
              </w:rPr>
            </w:pPr>
            <w:r>
              <w:rPr>
                <w:rFonts w:hint="eastAsia" w:ascii="仿宋_GB2312" w:hAnsi="宋体" w:eastAsia="仿宋_GB2312" w:cs="仿宋_GB2312"/>
                <w:i w:val="0"/>
                <w:iCs w:val="0"/>
                <w:color w:val="000000"/>
                <w:kern w:val="0"/>
                <w:sz w:val="22"/>
                <w:szCs w:val="22"/>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1415" w:type="pct"/>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合计</w:t>
            </w:r>
          </w:p>
        </w:tc>
        <w:tc>
          <w:tcPr>
            <w:tcW w:w="24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100</w:t>
            </w:r>
          </w:p>
        </w:tc>
        <w:tc>
          <w:tcPr>
            <w:tcW w:w="934" w:type="pct"/>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w:t>
            </w:r>
          </w:p>
        </w:tc>
        <w:tc>
          <w:tcPr>
            <w:tcW w:w="200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w:t>
            </w:r>
          </w:p>
        </w:tc>
        <w:tc>
          <w:tcPr>
            <w:tcW w:w="39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仿宋_GB2312" w:hAnsi="宋体" w:eastAsia="仿宋_GB2312" w:cs="仿宋_GB2312"/>
                <w:b/>
                <w:bCs/>
                <w:i w:val="0"/>
                <w:iCs w:val="0"/>
                <w:color w:val="000000"/>
                <w:sz w:val="22"/>
                <w:szCs w:val="22"/>
                <w:u w:val="none"/>
                <w:lang w:val="en-US" w:eastAsia="zh-CN"/>
              </w:rPr>
            </w:pPr>
            <w:r>
              <w:rPr>
                <w:rFonts w:hint="eastAsia" w:ascii="仿宋_GB2312" w:hAnsi="宋体" w:eastAsia="仿宋_GB2312" w:cs="仿宋_GB2312"/>
                <w:b/>
                <w:bCs/>
                <w:i w:val="0"/>
                <w:iCs w:val="0"/>
                <w:color w:val="000000"/>
                <w:sz w:val="22"/>
                <w:szCs w:val="22"/>
                <w:u w:val="none"/>
                <w:lang w:val="en-US" w:eastAsia="zh-CN"/>
              </w:rPr>
              <w:t>96.42</w:t>
            </w:r>
          </w:p>
        </w:tc>
      </w:tr>
    </w:tbl>
    <w:p>
      <w:pPr>
        <w:jc w:val="both"/>
        <w:outlineLvl w:val="9"/>
        <w:rPr>
          <w:rFonts w:hint="eastAsia"/>
        </w:rPr>
      </w:pPr>
    </w:p>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altName w:val="华文仿宋"/>
    <w:panose1 w:val="02010600030101010101"/>
    <w:charset w:val="86"/>
    <w:family w:val="auto"/>
    <w:pitch w:val="default"/>
    <w:sig w:usb0="00000000" w:usb1="00000000" w:usb2="00000016" w:usb3="00000000" w:csb0="0004000F" w:csb1="00000000"/>
  </w:font>
  <w:font w:name="等线 Light">
    <w:altName w:val="华文仿宋"/>
    <w:panose1 w:val="02010600030101010101"/>
    <w:charset w:val="86"/>
    <w:family w:val="auto"/>
    <w:pitch w:val="default"/>
    <w:sig w:usb0="00000000" w:usb1="00000000"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新宋体">
    <w:altName w:val="方正书宋_GBK"/>
    <w:panose1 w:val="02010609030101010101"/>
    <w:charset w:val="86"/>
    <w:family w:val="modern"/>
    <w:pitch w:val="default"/>
    <w:sig w:usb0="00000000" w:usb1="00000000" w:usb2="0000000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ascii="Times New Roman" w:hAnsi="Times New Roman" w:cs="Times New Roman"/>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1"/>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27</w:t>
                          </w:r>
                          <w:r>
                            <w:rPr>
                              <w:rFonts w:ascii="Times New Roman" w:hAnsi="Times New Roman" w:cs="Times New Roman"/>
                              <w:sz w:val="24"/>
                              <w:szCs w:val="24"/>
                            </w:rPr>
                            <w:fldChar w:fldCharType="end"/>
                          </w:r>
                        </w:p>
                      </w:txbxContent>
                    </wps:txbx>
                    <wps:bodyPr vert="horz" wrap="none" lIns="0" tIns="0" rIns="0" bIns="0" anchor="t" anchorCtr="false" upright="false">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CsK2W7HAQAAewMAAA4AAAAAAAAA&#10;AQAgAAAANAEAAGRycy9lMm9Eb2MueG1sUEsFBgAAAAAGAAYAWQEAAG0FAAAAAA==&#10;">
              <v:fill on="f" focussize="0,0"/>
              <v:stroke on="f"/>
              <v:imagedata o:title=""/>
              <o:lock v:ext="edit" aspectratio="f"/>
              <v:textbox inset="0mm,0mm,0mm,0mm" style="mso-fit-shape-to-text:t;">
                <w:txbxContent>
                  <w:p>
                    <w:pPr>
                      <w:pStyle w:val="11"/>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27</w:t>
                    </w:r>
                    <w:r>
                      <w:rPr>
                        <w:rFonts w:ascii="Times New Roman" w:hAnsi="Times New Roman" w:cs="Times New Roman"/>
                        <w:sz w:val="24"/>
                        <w:szCs w:val="24"/>
                      </w:rPr>
                      <w:fldChar w:fldCharType="end"/>
                    </w:r>
                  </w:p>
                </w:txbxContent>
              </v:textbox>
            </v:shape>
          </w:pict>
        </mc:Fallback>
      </mc:AlternateContent>
    </w:r>
  </w:p>
  <w:p>
    <w:pPr>
      <w:ind w:right="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14"/>
        <w:snapToGrid w:val="0"/>
        <w:rPr>
          <w:rFonts w:hint="default" w:eastAsia="宋体"/>
          <w:lang w:val="en-US" w:eastAsia="zh-CN"/>
        </w:rPr>
      </w:pPr>
      <w:r>
        <w:rPr>
          <w:rStyle w:val="24"/>
        </w:rPr>
        <w:footnoteRef/>
      </w:r>
      <w:r>
        <w:t xml:space="preserve"> </w:t>
      </w:r>
      <w:r>
        <w:rPr>
          <w:rFonts w:hint="eastAsia"/>
          <w:lang w:val="en-US" w:eastAsia="zh-CN"/>
        </w:rPr>
        <w:t>本报告金额单位转换，保留小数点后两位。</w:t>
      </w:r>
    </w:p>
  </w:footnote>
  <w:footnote w:id="1">
    <w:p>
      <w:pPr>
        <w:pStyle w:val="14"/>
        <w:snapToGrid w:val="0"/>
        <w:rPr>
          <w:rFonts w:hint="eastAsia" w:ascii="仿宋_GB2312" w:hAnsi="仿宋_GB2312" w:eastAsia="仿宋_GB2312" w:cs="仿宋_GB2312"/>
        </w:rPr>
      </w:pPr>
      <w:r>
        <w:rPr>
          <w:rStyle w:val="24"/>
        </w:rPr>
        <w:footnoteRef/>
      </w:r>
      <w:r>
        <w:rPr>
          <w:rFonts w:hint="eastAsia" w:ascii="仿宋_GB2312" w:hAnsi="仿宋_GB2312" w:eastAsia="仿宋_GB2312" w:cs="仿宋_GB2312"/>
        </w:rPr>
        <w:t xml:space="preserve"> </w:t>
      </w:r>
      <w:r>
        <w:rPr>
          <w:rFonts w:hint="eastAsia" w:ascii="仿宋_GB2312" w:hAnsi="仿宋_GB2312" w:eastAsia="仿宋_GB2312" w:cs="仿宋_GB2312"/>
          <w:lang w:val="en-US" w:eastAsia="zh-CN"/>
        </w:rPr>
        <w:t>评价等级具体如下：</w:t>
      </w:r>
      <w:r>
        <w:rPr>
          <w:rFonts w:hint="eastAsia" w:ascii="仿宋_GB2312" w:hAnsi="仿宋_GB2312" w:eastAsia="仿宋_GB2312" w:cs="仿宋_GB2312"/>
        </w:rPr>
        <w:t>90（含）-100分为优、80（含）-90分为良、60（含）-80分为中、60 分以下为差。</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hyphenationZone w:val="360"/>
  <w:doNotHyphenateCaps/>
  <w:drawingGridHorizontalSpacing w:val="105"/>
  <w:drawingGridVerticalSpacing w:val="156"/>
  <w:displayHorizontalDrawingGridEvery w:val="1"/>
  <w:displayVerticalDrawingGridEvery w:val="1"/>
  <w:noPunctuationKerning w:val="true"/>
  <w:characterSpacingControl w:val="compressPunctuation"/>
  <w:noLineBreaksAfter w:lang="zh-CN" w:val="([{·‘“〈《「『【〔〖（．［｛￡￥"/>
  <w:noLineBreaksBefore w:lang="zh-CN" w:val="!),.:;?]}¨·ˇˉ―‖’”…∶、。〃々〉》」』】〕〗！＂＇），．：；？］｀｜｝～￠"/>
  <w:doNotValidateAgainstSchema/>
  <w:doNotDemarcateInvalidXml/>
  <w:footnotePr>
    <w:footnote w:id="4"/>
    <w:footnote w:id="5"/>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3M2Y5NzIzMDFlZjAyY2Q4Njk5ODkyYjFjNzBiNTQifQ=="/>
  </w:docVars>
  <w:rsids>
    <w:rsidRoot w:val="00CA01A3"/>
    <w:rsid w:val="000034F5"/>
    <w:rsid w:val="00005D78"/>
    <w:rsid w:val="00007E5B"/>
    <w:rsid w:val="00013D68"/>
    <w:rsid w:val="00017ED6"/>
    <w:rsid w:val="00020B53"/>
    <w:rsid w:val="00022CE1"/>
    <w:rsid w:val="00023474"/>
    <w:rsid w:val="0003754D"/>
    <w:rsid w:val="000429CC"/>
    <w:rsid w:val="000463AB"/>
    <w:rsid w:val="000503D5"/>
    <w:rsid w:val="00053CA7"/>
    <w:rsid w:val="00063AD5"/>
    <w:rsid w:val="00067219"/>
    <w:rsid w:val="000712DF"/>
    <w:rsid w:val="00080618"/>
    <w:rsid w:val="00086160"/>
    <w:rsid w:val="0009317C"/>
    <w:rsid w:val="000939B3"/>
    <w:rsid w:val="000A214F"/>
    <w:rsid w:val="000A3C5C"/>
    <w:rsid w:val="000A6E32"/>
    <w:rsid w:val="000A7201"/>
    <w:rsid w:val="000A7513"/>
    <w:rsid w:val="000B08E0"/>
    <w:rsid w:val="000C4AE9"/>
    <w:rsid w:val="000C6228"/>
    <w:rsid w:val="000C67E0"/>
    <w:rsid w:val="000D17C0"/>
    <w:rsid w:val="000D274B"/>
    <w:rsid w:val="000F46A7"/>
    <w:rsid w:val="000F5078"/>
    <w:rsid w:val="000F733B"/>
    <w:rsid w:val="0010308D"/>
    <w:rsid w:val="001120B3"/>
    <w:rsid w:val="0011477B"/>
    <w:rsid w:val="00126B93"/>
    <w:rsid w:val="00131BAF"/>
    <w:rsid w:val="00135FB9"/>
    <w:rsid w:val="00137BF3"/>
    <w:rsid w:val="0014032F"/>
    <w:rsid w:val="00147A89"/>
    <w:rsid w:val="00154E72"/>
    <w:rsid w:val="001620FD"/>
    <w:rsid w:val="001727E2"/>
    <w:rsid w:val="00174D09"/>
    <w:rsid w:val="00181B7B"/>
    <w:rsid w:val="0018577F"/>
    <w:rsid w:val="00185DA5"/>
    <w:rsid w:val="001904EB"/>
    <w:rsid w:val="00191731"/>
    <w:rsid w:val="00194A64"/>
    <w:rsid w:val="00196F96"/>
    <w:rsid w:val="001A54E9"/>
    <w:rsid w:val="001A57A0"/>
    <w:rsid w:val="001B3821"/>
    <w:rsid w:val="001B6D30"/>
    <w:rsid w:val="001B6F4B"/>
    <w:rsid w:val="001C36AB"/>
    <w:rsid w:val="001C4F05"/>
    <w:rsid w:val="001C58FF"/>
    <w:rsid w:val="001C7892"/>
    <w:rsid w:val="001D708D"/>
    <w:rsid w:val="001E24F9"/>
    <w:rsid w:val="001F086B"/>
    <w:rsid w:val="001F1897"/>
    <w:rsid w:val="001F22C8"/>
    <w:rsid w:val="001F777B"/>
    <w:rsid w:val="002039A5"/>
    <w:rsid w:val="00203B06"/>
    <w:rsid w:val="00214D5A"/>
    <w:rsid w:val="00216BAE"/>
    <w:rsid w:val="00226D7A"/>
    <w:rsid w:val="0022763E"/>
    <w:rsid w:val="00227F8F"/>
    <w:rsid w:val="00235A3C"/>
    <w:rsid w:val="0023634F"/>
    <w:rsid w:val="00237E7C"/>
    <w:rsid w:val="00240796"/>
    <w:rsid w:val="00243F35"/>
    <w:rsid w:val="00252D45"/>
    <w:rsid w:val="00253963"/>
    <w:rsid w:val="002563D9"/>
    <w:rsid w:val="00261B9B"/>
    <w:rsid w:val="0026660C"/>
    <w:rsid w:val="0027336B"/>
    <w:rsid w:val="00274DCC"/>
    <w:rsid w:val="00274F86"/>
    <w:rsid w:val="00275668"/>
    <w:rsid w:val="002962DA"/>
    <w:rsid w:val="002A1E16"/>
    <w:rsid w:val="002A7DA7"/>
    <w:rsid w:val="002B308D"/>
    <w:rsid w:val="002B32EE"/>
    <w:rsid w:val="002B4AE5"/>
    <w:rsid w:val="002C00F9"/>
    <w:rsid w:val="002C7C47"/>
    <w:rsid w:val="002D14B6"/>
    <w:rsid w:val="002D2241"/>
    <w:rsid w:val="002F0F9F"/>
    <w:rsid w:val="002F2F67"/>
    <w:rsid w:val="002F36DD"/>
    <w:rsid w:val="0031009D"/>
    <w:rsid w:val="0031139E"/>
    <w:rsid w:val="00324D55"/>
    <w:rsid w:val="003255E2"/>
    <w:rsid w:val="00325703"/>
    <w:rsid w:val="003302B6"/>
    <w:rsid w:val="00331818"/>
    <w:rsid w:val="0033286C"/>
    <w:rsid w:val="0033345A"/>
    <w:rsid w:val="00336778"/>
    <w:rsid w:val="00341C1B"/>
    <w:rsid w:val="00341FC2"/>
    <w:rsid w:val="0034370A"/>
    <w:rsid w:val="00344D0D"/>
    <w:rsid w:val="00345A0F"/>
    <w:rsid w:val="00351EEC"/>
    <w:rsid w:val="00353F49"/>
    <w:rsid w:val="00374069"/>
    <w:rsid w:val="00385DD2"/>
    <w:rsid w:val="00386582"/>
    <w:rsid w:val="00386D38"/>
    <w:rsid w:val="003A37FD"/>
    <w:rsid w:val="003B12FE"/>
    <w:rsid w:val="003B14F7"/>
    <w:rsid w:val="003B2474"/>
    <w:rsid w:val="003B3222"/>
    <w:rsid w:val="003C21A2"/>
    <w:rsid w:val="003C230E"/>
    <w:rsid w:val="003D09B0"/>
    <w:rsid w:val="003E00A3"/>
    <w:rsid w:val="003F21D4"/>
    <w:rsid w:val="003F77D6"/>
    <w:rsid w:val="00406EF4"/>
    <w:rsid w:val="00411AD3"/>
    <w:rsid w:val="00416933"/>
    <w:rsid w:val="00420BA4"/>
    <w:rsid w:val="0042140B"/>
    <w:rsid w:val="004251F7"/>
    <w:rsid w:val="00427DCB"/>
    <w:rsid w:val="00430524"/>
    <w:rsid w:val="00436142"/>
    <w:rsid w:val="0045486F"/>
    <w:rsid w:val="00466056"/>
    <w:rsid w:val="004843E6"/>
    <w:rsid w:val="00484F8C"/>
    <w:rsid w:val="00493345"/>
    <w:rsid w:val="004A5D41"/>
    <w:rsid w:val="004B2317"/>
    <w:rsid w:val="004B276B"/>
    <w:rsid w:val="004B6563"/>
    <w:rsid w:val="004C0D12"/>
    <w:rsid w:val="004C3659"/>
    <w:rsid w:val="004D634E"/>
    <w:rsid w:val="004E0C43"/>
    <w:rsid w:val="004E246B"/>
    <w:rsid w:val="004E4B38"/>
    <w:rsid w:val="004E4D39"/>
    <w:rsid w:val="005018E7"/>
    <w:rsid w:val="00502CF6"/>
    <w:rsid w:val="005032E6"/>
    <w:rsid w:val="00504FA5"/>
    <w:rsid w:val="0052172B"/>
    <w:rsid w:val="005256E6"/>
    <w:rsid w:val="00527CB5"/>
    <w:rsid w:val="00531E4D"/>
    <w:rsid w:val="00532A76"/>
    <w:rsid w:val="00533E57"/>
    <w:rsid w:val="00552ADB"/>
    <w:rsid w:val="00562893"/>
    <w:rsid w:val="00566FA4"/>
    <w:rsid w:val="00576FCD"/>
    <w:rsid w:val="00582514"/>
    <w:rsid w:val="00584F25"/>
    <w:rsid w:val="005967E0"/>
    <w:rsid w:val="005A1FEB"/>
    <w:rsid w:val="005A61E0"/>
    <w:rsid w:val="005A78B5"/>
    <w:rsid w:val="005B1FFA"/>
    <w:rsid w:val="005C0399"/>
    <w:rsid w:val="005C735A"/>
    <w:rsid w:val="005D260C"/>
    <w:rsid w:val="005D3A75"/>
    <w:rsid w:val="005D5FF5"/>
    <w:rsid w:val="005D7542"/>
    <w:rsid w:val="005F3C96"/>
    <w:rsid w:val="005F541D"/>
    <w:rsid w:val="005F5E30"/>
    <w:rsid w:val="005F66B7"/>
    <w:rsid w:val="005F6A13"/>
    <w:rsid w:val="00610292"/>
    <w:rsid w:val="00616834"/>
    <w:rsid w:val="00617ED8"/>
    <w:rsid w:val="006223BA"/>
    <w:rsid w:val="00637555"/>
    <w:rsid w:val="006378E0"/>
    <w:rsid w:val="006423D2"/>
    <w:rsid w:val="00642F22"/>
    <w:rsid w:val="00651A96"/>
    <w:rsid w:val="00651C53"/>
    <w:rsid w:val="00663F4E"/>
    <w:rsid w:val="00665F96"/>
    <w:rsid w:val="0067079B"/>
    <w:rsid w:val="006829E2"/>
    <w:rsid w:val="00683D17"/>
    <w:rsid w:val="00685D58"/>
    <w:rsid w:val="00685E68"/>
    <w:rsid w:val="006917D9"/>
    <w:rsid w:val="006964FA"/>
    <w:rsid w:val="006A0DC8"/>
    <w:rsid w:val="006B0583"/>
    <w:rsid w:val="006B2DAF"/>
    <w:rsid w:val="006C08C0"/>
    <w:rsid w:val="006C18D2"/>
    <w:rsid w:val="006C7D93"/>
    <w:rsid w:val="006E52FA"/>
    <w:rsid w:val="006F3ED8"/>
    <w:rsid w:val="006F40C1"/>
    <w:rsid w:val="006F570F"/>
    <w:rsid w:val="006F798B"/>
    <w:rsid w:val="00704149"/>
    <w:rsid w:val="00740314"/>
    <w:rsid w:val="0074126B"/>
    <w:rsid w:val="00741931"/>
    <w:rsid w:val="00744AD5"/>
    <w:rsid w:val="007517E1"/>
    <w:rsid w:val="00764AFC"/>
    <w:rsid w:val="00764E61"/>
    <w:rsid w:val="00781CD1"/>
    <w:rsid w:val="00795DDE"/>
    <w:rsid w:val="007A3531"/>
    <w:rsid w:val="007A5A2A"/>
    <w:rsid w:val="007A62AE"/>
    <w:rsid w:val="007A77B2"/>
    <w:rsid w:val="007A7E2F"/>
    <w:rsid w:val="007B0DA0"/>
    <w:rsid w:val="007B3CA7"/>
    <w:rsid w:val="007B61F6"/>
    <w:rsid w:val="007C0CB8"/>
    <w:rsid w:val="007C4628"/>
    <w:rsid w:val="007C5216"/>
    <w:rsid w:val="007D4963"/>
    <w:rsid w:val="007E2748"/>
    <w:rsid w:val="007E7F10"/>
    <w:rsid w:val="007F284C"/>
    <w:rsid w:val="007F69AA"/>
    <w:rsid w:val="00801699"/>
    <w:rsid w:val="00802A19"/>
    <w:rsid w:val="0080462B"/>
    <w:rsid w:val="00814A7A"/>
    <w:rsid w:val="00815E5B"/>
    <w:rsid w:val="00821015"/>
    <w:rsid w:val="008229B1"/>
    <w:rsid w:val="008250DF"/>
    <w:rsid w:val="00825DAE"/>
    <w:rsid w:val="00832F25"/>
    <w:rsid w:val="0083403B"/>
    <w:rsid w:val="00834F02"/>
    <w:rsid w:val="008457BB"/>
    <w:rsid w:val="00852D23"/>
    <w:rsid w:val="00861DE4"/>
    <w:rsid w:val="008654E3"/>
    <w:rsid w:val="00866EDA"/>
    <w:rsid w:val="00867D30"/>
    <w:rsid w:val="00867F87"/>
    <w:rsid w:val="008710ED"/>
    <w:rsid w:val="008764DD"/>
    <w:rsid w:val="00882423"/>
    <w:rsid w:val="00884493"/>
    <w:rsid w:val="008879CB"/>
    <w:rsid w:val="008912CD"/>
    <w:rsid w:val="008937A3"/>
    <w:rsid w:val="008B74F6"/>
    <w:rsid w:val="008C0E76"/>
    <w:rsid w:val="008C1B08"/>
    <w:rsid w:val="008C2FDA"/>
    <w:rsid w:val="008C40B0"/>
    <w:rsid w:val="008C473D"/>
    <w:rsid w:val="008D18EE"/>
    <w:rsid w:val="008D71E0"/>
    <w:rsid w:val="008E31B9"/>
    <w:rsid w:val="008F0D04"/>
    <w:rsid w:val="008F49D2"/>
    <w:rsid w:val="008F7E8D"/>
    <w:rsid w:val="009051A8"/>
    <w:rsid w:val="0090671A"/>
    <w:rsid w:val="00907D9F"/>
    <w:rsid w:val="00914879"/>
    <w:rsid w:val="009164F2"/>
    <w:rsid w:val="00917072"/>
    <w:rsid w:val="00920009"/>
    <w:rsid w:val="00921828"/>
    <w:rsid w:val="00925ADE"/>
    <w:rsid w:val="00930ADD"/>
    <w:rsid w:val="00935023"/>
    <w:rsid w:val="0094578E"/>
    <w:rsid w:val="009457D5"/>
    <w:rsid w:val="00945AAD"/>
    <w:rsid w:val="009520A0"/>
    <w:rsid w:val="009533B5"/>
    <w:rsid w:val="0095592E"/>
    <w:rsid w:val="00960788"/>
    <w:rsid w:val="00961689"/>
    <w:rsid w:val="00970356"/>
    <w:rsid w:val="00974605"/>
    <w:rsid w:val="00976E59"/>
    <w:rsid w:val="00985294"/>
    <w:rsid w:val="00986EB3"/>
    <w:rsid w:val="009A143D"/>
    <w:rsid w:val="009B6900"/>
    <w:rsid w:val="009C0E79"/>
    <w:rsid w:val="009E1233"/>
    <w:rsid w:val="009E301E"/>
    <w:rsid w:val="009E3EDF"/>
    <w:rsid w:val="009F055A"/>
    <w:rsid w:val="009F0D31"/>
    <w:rsid w:val="009F3140"/>
    <w:rsid w:val="009F43DF"/>
    <w:rsid w:val="009F4E02"/>
    <w:rsid w:val="009F532D"/>
    <w:rsid w:val="00A17EB7"/>
    <w:rsid w:val="00A22756"/>
    <w:rsid w:val="00A274D6"/>
    <w:rsid w:val="00A3002D"/>
    <w:rsid w:val="00A41A1A"/>
    <w:rsid w:val="00A439C8"/>
    <w:rsid w:val="00A458EA"/>
    <w:rsid w:val="00A5598D"/>
    <w:rsid w:val="00A6342C"/>
    <w:rsid w:val="00A63DA6"/>
    <w:rsid w:val="00A713D4"/>
    <w:rsid w:val="00A754D1"/>
    <w:rsid w:val="00A806F4"/>
    <w:rsid w:val="00A80E4E"/>
    <w:rsid w:val="00A8338B"/>
    <w:rsid w:val="00AA7EB1"/>
    <w:rsid w:val="00AB0087"/>
    <w:rsid w:val="00AB6678"/>
    <w:rsid w:val="00AB6E9C"/>
    <w:rsid w:val="00AC1D38"/>
    <w:rsid w:val="00AC3E91"/>
    <w:rsid w:val="00AD3C31"/>
    <w:rsid w:val="00AD4C5F"/>
    <w:rsid w:val="00AD5D28"/>
    <w:rsid w:val="00AD7897"/>
    <w:rsid w:val="00AE57F9"/>
    <w:rsid w:val="00AE6DE9"/>
    <w:rsid w:val="00AF012A"/>
    <w:rsid w:val="00AF2D58"/>
    <w:rsid w:val="00AF5610"/>
    <w:rsid w:val="00B00B21"/>
    <w:rsid w:val="00B01B17"/>
    <w:rsid w:val="00B04844"/>
    <w:rsid w:val="00B05718"/>
    <w:rsid w:val="00B065BF"/>
    <w:rsid w:val="00B0687B"/>
    <w:rsid w:val="00B1105D"/>
    <w:rsid w:val="00B1422A"/>
    <w:rsid w:val="00B150EF"/>
    <w:rsid w:val="00B36B91"/>
    <w:rsid w:val="00B422B9"/>
    <w:rsid w:val="00B4451D"/>
    <w:rsid w:val="00B5430E"/>
    <w:rsid w:val="00B61F59"/>
    <w:rsid w:val="00B63618"/>
    <w:rsid w:val="00B64F8F"/>
    <w:rsid w:val="00B65DD9"/>
    <w:rsid w:val="00B661E9"/>
    <w:rsid w:val="00BA71DC"/>
    <w:rsid w:val="00BB705A"/>
    <w:rsid w:val="00BC5B76"/>
    <w:rsid w:val="00BC7237"/>
    <w:rsid w:val="00BD2AE7"/>
    <w:rsid w:val="00BE0E8E"/>
    <w:rsid w:val="00BE1196"/>
    <w:rsid w:val="00BE226F"/>
    <w:rsid w:val="00BE45D5"/>
    <w:rsid w:val="00BE5879"/>
    <w:rsid w:val="00BF308C"/>
    <w:rsid w:val="00BF6154"/>
    <w:rsid w:val="00C04043"/>
    <w:rsid w:val="00C06A24"/>
    <w:rsid w:val="00C0720F"/>
    <w:rsid w:val="00C121EC"/>
    <w:rsid w:val="00C12DC6"/>
    <w:rsid w:val="00C13B6F"/>
    <w:rsid w:val="00C13BC2"/>
    <w:rsid w:val="00C24251"/>
    <w:rsid w:val="00C24523"/>
    <w:rsid w:val="00C251F0"/>
    <w:rsid w:val="00C26899"/>
    <w:rsid w:val="00C31A5D"/>
    <w:rsid w:val="00C40C85"/>
    <w:rsid w:val="00C4279C"/>
    <w:rsid w:val="00C429BD"/>
    <w:rsid w:val="00C45EFD"/>
    <w:rsid w:val="00C55EE5"/>
    <w:rsid w:val="00C61CCE"/>
    <w:rsid w:val="00C61CE0"/>
    <w:rsid w:val="00C63AD0"/>
    <w:rsid w:val="00C729F6"/>
    <w:rsid w:val="00C743AE"/>
    <w:rsid w:val="00C83B29"/>
    <w:rsid w:val="00CA01A3"/>
    <w:rsid w:val="00CA0DA9"/>
    <w:rsid w:val="00CA19E3"/>
    <w:rsid w:val="00CB4B87"/>
    <w:rsid w:val="00CB506D"/>
    <w:rsid w:val="00CB68A4"/>
    <w:rsid w:val="00CB7AF6"/>
    <w:rsid w:val="00CB7F86"/>
    <w:rsid w:val="00CC0D13"/>
    <w:rsid w:val="00CC307B"/>
    <w:rsid w:val="00CC4039"/>
    <w:rsid w:val="00CC7E1A"/>
    <w:rsid w:val="00CD1EF5"/>
    <w:rsid w:val="00CD26B9"/>
    <w:rsid w:val="00CD78CA"/>
    <w:rsid w:val="00CF2AE3"/>
    <w:rsid w:val="00CF7CA5"/>
    <w:rsid w:val="00D115B3"/>
    <w:rsid w:val="00D12F4C"/>
    <w:rsid w:val="00D171CB"/>
    <w:rsid w:val="00D204C8"/>
    <w:rsid w:val="00D22117"/>
    <w:rsid w:val="00D32C9A"/>
    <w:rsid w:val="00D337CC"/>
    <w:rsid w:val="00D34F1B"/>
    <w:rsid w:val="00D41B8F"/>
    <w:rsid w:val="00D50B6B"/>
    <w:rsid w:val="00D5421F"/>
    <w:rsid w:val="00D548EC"/>
    <w:rsid w:val="00D556A2"/>
    <w:rsid w:val="00D5640B"/>
    <w:rsid w:val="00D57D55"/>
    <w:rsid w:val="00D65D87"/>
    <w:rsid w:val="00D81807"/>
    <w:rsid w:val="00D8413E"/>
    <w:rsid w:val="00D842D8"/>
    <w:rsid w:val="00D87BC0"/>
    <w:rsid w:val="00D908B5"/>
    <w:rsid w:val="00D91C7F"/>
    <w:rsid w:val="00D95DCB"/>
    <w:rsid w:val="00DA06D8"/>
    <w:rsid w:val="00DA0CA8"/>
    <w:rsid w:val="00DA1026"/>
    <w:rsid w:val="00DA3288"/>
    <w:rsid w:val="00DB4823"/>
    <w:rsid w:val="00DC3FC6"/>
    <w:rsid w:val="00DC53EE"/>
    <w:rsid w:val="00DC5AD9"/>
    <w:rsid w:val="00DD1B74"/>
    <w:rsid w:val="00DD3882"/>
    <w:rsid w:val="00DD73EB"/>
    <w:rsid w:val="00DE01F8"/>
    <w:rsid w:val="00DE1831"/>
    <w:rsid w:val="00DE54B7"/>
    <w:rsid w:val="00DF0EF9"/>
    <w:rsid w:val="00DF5F92"/>
    <w:rsid w:val="00DF6FD4"/>
    <w:rsid w:val="00E04134"/>
    <w:rsid w:val="00E04D96"/>
    <w:rsid w:val="00E059F3"/>
    <w:rsid w:val="00E2350E"/>
    <w:rsid w:val="00E242D6"/>
    <w:rsid w:val="00E252EB"/>
    <w:rsid w:val="00E3277E"/>
    <w:rsid w:val="00E3438E"/>
    <w:rsid w:val="00E36175"/>
    <w:rsid w:val="00E40FC7"/>
    <w:rsid w:val="00E51DAF"/>
    <w:rsid w:val="00E57990"/>
    <w:rsid w:val="00E6044A"/>
    <w:rsid w:val="00E62C5C"/>
    <w:rsid w:val="00E63A0B"/>
    <w:rsid w:val="00E6590A"/>
    <w:rsid w:val="00E67FF5"/>
    <w:rsid w:val="00E750AA"/>
    <w:rsid w:val="00E772C1"/>
    <w:rsid w:val="00E80D80"/>
    <w:rsid w:val="00E90066"/>
    <w:rsid w:val="00E92DE1"/>
    <w:rsid w:val="00E93BA9"/>
    <w:rsid w:val="00E93C11"/>
    <w:rsid w:val="00E949AB"/>
    <w:rsid w:val="00EA2AE7"/>
    <w:rsid w:val="00EA7CD8"/>
    <w:rsid w:val="00EB031E"/>
    <w:rsid w:val="00EB17EC"/>
    <w:rsid w:val="00EB1BFE"/>
    <w:rsid w:val="00EB1D9D"/>
    <w:rsid w:val="00EB3F4D"/>
    <w:rsid w:val="00EB451A"/>
    <w:rsid w:val="00EC23E0"/>
    <w:rsid w:val="00EE2381"/>
    <w:rsid w:val="00EF0571"/>
    <w:rsid w:val="00EF4561"/>
    <w:rsid w:val="00EF5C10"/>
    <w:rsid w:val="00F07053"/>
    <w:rsid w:val="00F0748E"/>
    <w:rsid w:val="00F07FD7"/>
    <w:rsid w:val="00F1199C"/>
    <w:rsid w:val="00F1261C"/>
    <w:rsid w:val="00F227A0"/>
    <w:rsid w:val="00F375BB"/>
    <w:rsid w:val="00F411B1"/>
    <w:rsid w:val="00F4517E"/>
    <w:rsid w:val="00F47F0B"/>
    <w:rsid w:val="00F521CC"/>
    <w:rsid w:val="00F7421C"/>
    <w:rsid w:val="00F74BD3"/>
    <w:rsid w:val="00F756AA"/>
    <w:rsid w:val="00F91625"/>
    <w:rsid w:val="00F92F5E"/>
    <w:rsid w:val="00FA477C"/>
    <w:rsid w:val="00FA591D"/>
    <w:rsid w:val="00FA69AB"/>
    <w:rsid w:val="00FB59E5"/>
    <w:rsid w:val="00FC48E3"/>
    <w:rsid w:val="00FD3ED8"/>
    <w:rsid w:val="00FD43C9"/>
    <w:rsid w:val="00FF1475"/>
    <w:rsid w:val="012A385F"/>
    <w:rsid w:val="01B84A6C"/>
    <w:rsid w:val="01C33CBB"/>
    <w:rsid w:val="023C153A"/>
    <w:rsid w:val="024E54D2"/>
    <w:rsid w:val="02AA3226"/>
    <w:rsid w:val="03583B86"/>
    <w:rsid w:val="039B693E"/>
    <w:rsid w:val="03E07FC5"/>
    <w:rsid w:val="03FE635C"/>
    <w:rsid w:val="0404696B"/>
    <w:rsid w:val="041B667E"/>
    <w:rsid w:val="0468616E"/>
    <w:rsid w:val="04A861F7"/>
    <w:rsid w:val="04AB70A6"/>
    <w:rsid w:val="04CC55F1"/>
    <w:rsid w:val="04D571E9"/>
    <w:rsid w:val="059F0C6B"/>
    <w:rsid w:val="06465464"/>
    <w:rsid w:val="07507441"/>
    <w:rsid w:val="08670714"/>
    <w:rsid w:val="08FF6E7A"/>
    <w:rsid w:val="09815C25"/>
    <w:rsid w:val="09975891"/>
    <w:rsid w:val="09B72FD5"/>
    <w:rsid w:val="09FF2C96"/>
    <w:rsid w:val="0A177B12"/>
    <w:rsid w:val="0A3665F0"/>
    <w:rsid w:val="0A653F65"/>
    <w:rsid w:val="0A9049B3"/>
    <w:rsid w:val="0ABA1F8B"/>
    <w:rsid w:val="0B1A76E1"/>
    <w:rsid w:val="0B94692E"/>
    <w:rsid w:val="0BCA690A"/>
    <w:rsid w:val="0C8735CE"/>
    <w:rsid w:val="0D0D64AF"/>
    <w:rsid w:val="0D1A3EED"/>
    <w:rsid w:val="0D3126C9"/>
    <w:rsid w:val="0D691074"/>
    <w:rsid w:val="0ECF29D1"/>
    <w:rsid w:val="0F1926A3"/>
    <w:rsid w:val="0F905D38"/>
    <w:rsid w:val="0FE64614"/>
    <w:rsid w:val="0FED5784"/>
    <w:rsid w:val="100912D6"/>
    <w:rsid w:val="101A42BE"/>
    <w:rsid w:val="1028086F"/>
    <w:rsid w:val="10584861"/>
    <w:rsid w:val="10DF316E"/>
    <w:rsid w:val="112179D2"/>
    <w:rsid w:val="11976F3E"/>
    <w:rsid w:val="119E6D32"/>
    <w:rsid w:val="11B66A14"/>
    <w:rsid w:val="11CC42F0"/>
    <w:rsid w:val="122C2575"/>
    <w:rsid w:val="12466F04"/>
    <w:rsid w:val="12C87476"/>
    <w:rsid w:val="12FFC858"/>
    <w:rsid w:val="137A3CA1"/>
    <w:rsid w:val="149F09D2"/>
    <w:rsid w:val="14B14498"/>
    <w:rsid w:val="158E7EDB"/>
    <w:rsid w:val="15BD7C5A"/>
    <w:rsid w:val="15DA0777"/>
    <w:rsid w:val="160E18F3"/>
    <w:rsid w:val="16105F47"/>
    <w:rsid w:val="16CE0E5F"/>
    <w:rsid w:val="17082911"/>
    <w:rsid w:val="171A78C3"/>
    <w:rsid w:val="173D2703"/>
    <w:rsid w:val="17A34EF8"/>
    <w:rsid w:val="17D8784E"/>
    <w:rsid w:val="17EA709E"/>
    <w:rsid w:val="18080F49"/>
    <w:rsid w:val="18685C8C"/>
    <w:rsid w:val="189A7770"/>
    <w:rsid w:val="18B63371"/>
    <w:rsid w:val="1A222941"/>
    <w:rsid w:val="1AB33A82"/>
    <w:rsid w:val="1AB3745B"/>
    <w:rsid w:val="1AB6516D"/>
    <w:rsid w:val="1B054CD6"/>
    <w:rsid w:val="1BB8589B"/>
    <w:rsid w:val="1BBF6822"/>
    <w:rsid w:val="1BF07004"/>
    <w:rsid w:val="1C2926AA"/>
    <w:rsid w:val="1C2D520D"/>
    <w:rsid w:val="1C61009E"/>
    <w:rsid w:val="1C71087E"/>
    <w:rsid w:val="1CA010F1"/>
    <w:rsid w:val="1CB75AEB"/>
    <w:rsid w:val="1CD135D4"/>
    <w:rsid w:val="1CEB677A"/>
    <w:rsid w:val="1D0D0CA7"/>
    <w:rsid w:val="1D0F3AE1"/>
    <w:rsid w:val="1D533DDC"/>
    <w:rsid w:val="1D987C42"/>
    <w:rsid w:val="1E085B85"/>
    <w:rsid w:val="1EA51183"/>
    <w:rsid w:val="1EEF2AFD"/>
    <w:rsid w:val="1F5E6498"/>
    <w:rsid w:val="1FA42343"/>
    <w:rsid w:val="20337402"/>
    <w:rsid w:val="20692E24"/>
    <w:rsid w:val="215C4159"/>
    <w:rsid w:val="21BD25ED"/>
    <w:rsid w:val="21D41D0D"/>
    <w:rsid w:val="22260D7B"/>
    <w:rsid w:val="223A55BC"/>
    <w:rsid w:val="22E74D9B"/>
    <w:rsid w:val="23126F38"/>
    <w:rsid w:val="23604AFF"/>
    <w:rsid w:val="23B73C60"/>
    <w:rsid w:val="23EF4A26"/>
    <w:rsid w:val="23F818E4"/>
    <w:rsid w:val="24BE37E8"/>
    <w:rsid w:val="24D048D1"/>
    <w:rsid w:val="24EF3696"/>
    <w:rsid w:val="25025A31"/>
    <w:rsid w:val="25351762"/>
    <w:rsid w:val="25D35BF1"/>
    <w:rsid w:val="25DD182F"/>
    <w:rsid w:val="26121DB4"/>
    <w:rsid w:val="262E41C8"/>
    <w:rsid w:val="26367C47"/>
    <w:rsid w:val="26B10CEC"/>
    <w:rsid w:val="27380A50"/>
    <w:rsid w:val="27454C6F"/>
    <w:rsid w:val="276B56D3"/>
    <w:rsid w:val="27A33601"/>
    <w:rsid w:val="285A6557"/>
    <w:rsid w:val="28920D53"/>
    <w:rsid w:val="28BA7F95"/>
    <w:rsid w:val="28E72B3C"/>
    <w:rsid w:val="29F5075F"/>
    <w:rsid w:val="2A127935"/>
    <w:rsid w:val="2AC52D76"/>
    <w:rsid w:val="2AEB0D06"/>
    <w:rsid w:val="2B2300E8"/>
    <w:rsid w:val="2B4C1521"/>
    <w:rsid w:val="2B845E37"/>
    <w:rsid w:val="2BE31954"/>
    <w:rsid w:val="2BE546F5"/>
    <w:rsid w:val="2D082B42"/>
    <w:rsid w:val="2D133625"/>
    <w:rsid w:val="2D596130"/>
    <w:rsid w:val="2DA311EB"/>
    <w:rsid w:val="2DBB4593"/>
    <w:rsid w:val="2DC93154"/>
    <w:rsid w:val="2DEF7245"/>
    <w:rsid w:val="2EA9605D"/>
    <w:rsid w:val="2EE53B12"/>
    <w:rsid w:val="2F0F76FC"/>
    <w:rsid w:val="2F4607D4"/>
    <w:rsid w:val="2F5BA1CC"/>
    <w:rsid w:val="2F7C04DF"/>
    <w:rsid w:val="2F8B402E"/>
    <w:rsid w:val="30893704"/>
    <w:rsid w:val="31173C47"/>
    <w:rsid w:val="312F049F"/>
    <w:rsid w:val="316D7194"/>
    <w:rsid w:val="3183294C"/>
    <w:rsid w:val="31954615"/>
    <w:rsid w:val="31D61CC4"/>
    <w:rsid w:val="31E32D7D"/>
    <w:rsid w:val="32331E71"/>
    <w:rsid w:val="332C1DCA"/>
    <w:rsid w:val="33722E9F"/>
    <w:rsid w:val="33743DD8"/>
    <w:rsid w:val="33A71D8D"/>
    <w:rsid w:val="343D0434"/>
    <w:rsid w:val="34C0485F"/>
    <w:rsid w:val="35C948C7"/>
    <w:rsid w:val="35D90C46"/>
    <w:rsid w:val="35F35CFC"/>
    <w:rsid w:val="36AA1648"/>
    <w:rsid w:val="36D8196E"/>
    <w:rsid w:val="37186DB3"/>
    <w:rsid w:val="373732BB"/>
    <w:rsid w:val="37DBF5B5"/>
    <w:rsid w:val="37FB1D22"/>
    <w:rsid w:val="382B206A"/>
    <w:rsid w:val="388C695F"/>
    <w:rsid w:val="38A41198"/>
    <w:rsid w:val="38AC7B51"/>
    <w:rsid w:val="39312454"/>
    <w:rsid w:val="399E7314"/>
    <w:rsid w:val="39A02554"/>
    <w:rsid w:val="3A9178F9"/>
    <w:rsid w:val="3AFDA1A3"/>
    <w:rsid w:val="3B0B0061"/>
    <w:rsid w:val="3B262E91"/>
    <w:rsid w:val="3B352BBF"/>
    <w:rsid w:val="3BA75E2E"/>
    <w:rsid w:val="3BA7649E"/>
    <w:rsid w:val="3BC12D5E"/>
    <w:rsid w:val="3C323F84"/>
    <w:rsid w:val="3C5B6DA3"/>
    <w:rsid w:val="3C653E21"/>
    <w:rsid w:val="3D316487"/>
    <w:rsid w:val="3DB634DD"/>
    <w:rsid w:val="3DBA4B62"/>
    <w:rsid w:val="3DDE02D9"/>
    <w:rsid w:val="3DEE3018"/>
    <w:rsid w:val="3DFF77A5"/>
    <w:rsid w:val="3EA22FC9"/>
    <w:rsid w:val="3ED24314"/>
    <w:rsid w:val="3F395C5F"/>
    <w:rsid w:val="3F544FC5"/>
    <w:rsid w:val="3F554F04"/>
    <w:rsid w:val="3F5900B0"/>
    <w:rsid w:val="3F642853"/>
    <w:rsid w:val="3F8630B0"/>
    <w:rsid w:val="3FAB6A3F"/>
    <w:rsid w:val="3FB164C5"/>
    <w:rsid w:val="3FBAA410"/>
    <w:rsid w:val="3FFFDA0D"/>
    <w:rsid w:val="401F5197"/>
    <w:rsid w:val="405F64EB"/>
    <w:rsid w:val="408647C8"/>
    <w:rsid w:val="40902BBB"/>
    <w:rsid w:val="40B70602"/>
    <w:rsid w:val="40F77B80"/>
    <w:rsid w:val="41346FBC"/>
    <w:rsid w:val="41BD5E08"/>
    <w:rsid w:val="41D75C5E"/>
    <w:rsid w:val="41DE0563"/>
    <w:rsid w:val="41E047CE"/>
    <w:rsid w:val="42C41B11"/>
    <w:rsid w:val="42EF30BA"/>
    <w:rsid w:val="431D1127"/>
    <w:rsid w:val="4366315A"/>
    <w:rsid w:val="43BB30E7"/>
    <w:rsid w:val="43EF5C5C"/>
    <w:rsid w:val="440344A6"/>
    <w:rsid w:val="44156E98"/>
    <w:rsid w:val="443B6780"/>
    <w:rsid w:val="443B6D34"/>
    <w:rsid w:val="445D0EFD"/>
    <w:rsid w:val="448259B3"/>
    <w:rsid w:val="449F437C"/>
    <w:rsid w:val="45441716"/>
    <w:rsid w:val="45A2737F"/>
    <w:rsid w:val="45AD2583"/>
    <w:rsid w:val="45C76DED"/>
    <w:rsid w:val="45DD2AC7"/>
    <w:rsid w:val="46765AFF"/>
    <w:rsid w:val="46A86A98"/>
    <w:rsid w:val="46B54B67"/>
    <w:rsid w:val="473F1B79"/>
    <w:rsid w:val="47572187"/>
    <w:rsid w:val="4792254C"/>
    <w:rsid w:val="47B719F1"/>
    <w:rsid w:val="47D37FD6"/>
    <w:rsid w:val="47DB4ADD"/>
    <w:rsid w:val="47E13234"/>
    <w:rsid w:val="47EB93AC"/>
    <w:rsid w:val="48D24C20"/>
    <w:rsid w:val="49145536"/>
    <w:rsid w:val="497440F2"/>
    <w:rsid w:val="49B174D2"/>
    <w:rsid w:val="4A472DA8"/>
    <w:rsid w:val="4A7736FC"/>
    <w:rsid w:val="4A9A4940"/>
    <w:rsid w:val="4ACE1D07"/>
    <w:rsid w:val="4AFB4331"/>
    <w:rsid w:val="4B1E1971"/>
    <w:rsid w:val="4B6C49BE"/>
    <w:rsid w:val="4BA25C1E"/>
    <w:rsid w:val="4C0C1B27"/>
    <w:rsid w:val="4C2F4672"/>
    <w:rsid w:val="4C7A2190"/>
    <w:rsid w:val="4CF80F08"/>
    <w:rsid w:val="4D093F4A"/>
    <w:rsid w:val="4E167017"/>
    <w:rsid w:val="4E274879"/>
    <w:rsid w:val="4E6A5163"/>
    <w:rsid w:val="4E720659"/>
    <w:rsid w:val="4EBB043F"/>
    <w:rsid w:val="4EBE36AB"/>
    <w:rsid w:val="4F085401"/>
    <w:rsid w:val="4F0B0C87"/>
    <w:rsid w:val="4F13583A"/>
    <w:rsid w:val="4F361DCA"/>
    <w:rsid w:val="4F396A57"/>
    <w:rsid w:val="4FC74BC1"/>
    <w:rsid w:val="50E45FFE"/>
    <w:rsid w:val="51B25FDB"/>
    <w:rsid w:val="525C5A0E"/>
    <w:rsid w:val="527B23BF"/>
    <w:rsid w:val="528A19BA"/>
    <w:rsid w:val="529F5982"/>
    <w:rsid w:val="52F104A7"/>
    <w:rsid w:val="533766B4"/>
    <w:rsid w:val="53D03310"/>
    <w:rsid w:val="540C7B59"/>
    <w:rsid w:val="551A11B8"/>
    <w:rsid w:val="55971CB0"/>
    <w:rsid w:val="55A679D6"/>
    <w:rsid w:val="56231B31"/>
    <w:rsid w:val="56262642"/>
    <w:rsid w:val="5631668B"/>
    <w:rsid w:val="567C48E9"/>
    <w:rsid w:val="56832667"/>
    <w:rsid w:val="56957E0A"/>
    <w:rsid w:val="56DC2F61"/>
    <w:rsid w:val="5753263D"/>
    <w:rsid w:val="57541172"/>
    <w:rsid w:val="576D5732"/>
    <w:rsid w:val="57D57E23"/>
    <w:rsid w:val="57ECCFB2"/>
    <w:rsid w:val="58757548"/>
    <w:rsid w:val="58B8779D"/>
    <w:rsid w:val="5911629A"/>
    <w:rsid w:val="59765766"/>
    <w:rsid w:val="597B094F"/>
    <w:rsid w:val="5980635F"/>
    <w:rsid w:val="59C66A42"/>
    <w:rsid w:val="59CA303F"/>
    <w:rsid w:val="5A1D2BC5"/>
    <w:rsid w:val="5A7669BB"/>
    <w:rsid w:val="5A805E95"/>
    <w:rsid w:val="5AE220A7"/>
    <w:rsid w:val="5B317D87"/>
    <w:rsid w:val="5B323837"/>
    <w:rsid w:val="5B797882"/>
    <w:rsid w:val="5BE878BF"/>
    <w:rsid w:val="5C015C13"/>
    <w:rsid w:val="5C0B5300"/>
    <w:rsid w:val="5C1F6873"/>
    <w:rsid w:val="5CA92334"/>
    <w:rsid w:val="5CB1249D"/>
    <w:rsid w:val="5CFB106D"/>
    <w:rsid w:val="5D785CF5"/>
    <w:rsid w:val="5D832FF6"/>
    <w:rsid w:val="5DB34B4F"/>
    <w:rsid w:val="5DF76D70"/>
    <w:rsid w:val="5DFF7BB7"/>
    <w:rsid w:val="5E602192"/>
    <w:rsid w:val="5EBE72BD"/>
    <w:rsid w:val="5F3062DF"/>
    <w:rsid w:val="5FCA7B2B"/>
    <w:rsid w:val="5FCB7660"/>
    <w:rsid w:val="5FFE8990"/>
    <w:rsid w:val="5FFEB751"/>
    <w:rsid w:val="602A2AE8"/>
    <w:rsid w:val="60A07495"/>
    <w:rsid w:val="60B317C2"/>
    <w:rsid w:val="61241E74"/>
    <w:rsid w:val="61D44FAC"/>
    <w:rsid w:val="621C0D7A"/>
    <w:rsid w:val="622408D6"/>
    <w:rsid w:val="62BE1E08"/>
    <w:rsid w:val="632C1E19"/>
    <w:rsid w:val="63846E96"/>
    <w:rsid w:val="63DC3DFD"/>
    <w:rsid w:val="63F33150"/>
    <w:rsid w:val="64273EA6"/>
    <w:rsid w:val="6433210A"/>
    <w:rsid w:val="648018E1"/>
    <w:rsid w:val="64903834"/>
    <w:rsid w:val="64B02B86"/>
    <w:rsid w:val="64D1508E"/>
    <w:rsid w:val="65460D1B"/>
    <w:rsid w:val="655F3519"/>
    <w:rsid w:val="658E3F80"/>
    <w:rsid w:val="659A6E08"/>
    <w:rsid w:val="659B5E6A"/>
    <w:rsid w:val="65DC0F6F"/>
    <w:rsid w:val="65DF2C20"/>
    <w:rsid w:val="66126FAA"/>
    <w:rsid w:val="66A65A96"/>
    <w:rsid w:val="6702726B"/>
    <w:rsid w:val="671131E2"/>
    <w:rsid w:val="671258C8"/>
    <w:rsid w:val="671A2AB0"/>
    <w:rsid w:val="67B56973"/>
    <w:rsid w:val="67B70F1B"/>
    <w:rsid w:val="67C77F5C"/>
    <w:rsid w:val="683D3EDD"/>
    <w:rsid w:val="68487690"/>
    <w:rsid w:val="68B95B5C"/>
    <w:rsid w:val="69004E31"/>
    <w:rsid w:val="69215180"/>
    <w:rsid w:val="69503597"/>
    <w:rsid w:val="695506FA"/>
    <w:rsid w:val="6963552E"/>
    <w:rsid w:val="6A126B91"/>
    <w:rsid w:val="6A374AFE"/>
    <w:rsid w:val="6A487A1B"/>
    <w:rsid w:val="6A5E63F6"/>
    <w:rsid w:val="6AA62374"/>
    <w:rsid w:val="6AD16F60"/>
    <w:rsid w:val="6AD23986"/>
    <w:rsid w:val="6AED886E"/>
    <w:rsid w:val="6AF82AAE"/>
    <w:rsid w:val="6B086072"/>
    <w:rsid w:val="6B33356B"/>
    <w:rsid w:val="6BDD77EF"/>
    <w:rsid w:val="6BFF47B5"/>
    <w:rsid w:val="6C231F85"/>
    <w:rsid w:val="6C287687"/>
    <w:rsid w:val="6C3F002C"/>
    <w:rsid w:val="6C7C1F6E"/>
    <w:rsid w:val="6CB73B9C"/>
    <w:rsid w:val="6CFE73C3"/>
    <w:rsid w:val="6D454120"/>
    <w:rsid w:val="6D587EB4"/>
    <w:rsid w:val="6DF583BA"/>
    <w:rsid w:val="6E1C557F"/>
    <w:rsid w:val="6E427DDD"/>
    <w:rsid w:val="6E5D5764"/>
    <w:rsid w:val="6EEFB9B4"/>
    <w:rsid w:val="6EFE40C7"/>
    <w:rsid w:val="6F0C2C63"/>
    <w:rsid w:val="6F682312"/>
    <w:rsid w:val="6FBB2F28"/>
    <w:rsid w:val="6FC26F62"/>
    <w:rsid w:val="70005FDC"/>
    <w:rsid w:val="7028145A"/>
    <w:rsid w:val="70826BD1"/>
    <w:rsid w:val="70954FFC"/>
    <w:rsid w:val="710B16EF"/>
    <w:rsid w:val="718E2396"/>
    <w:rsid w:val="719206EA"/>
    <w:rsid w:val="72190856"/>
    <w:rsid w:val="722C16CE"/>
    <w:rsid w:val="7235050B"/>
    <w:rsid w:val="72F34E1E"/>
    <w:rsid w:val="73D13987"/>
    <w:rsid w:val="73D85F9A"/>
    <w:rsid w:val="74004C31"/>
    <w:rsid w:val="742F52AD"/>
    <w:rsid w:val="74AC261C"/>
    <w:rsid w:val="74B33F11"/>
    <w:rsid w:val="74DB799E"/>
    <w:rsid w:val="755D09B7"/>
    <w:rsid w:val="75A17C99"/>
    <w:rsid w:val="75CD323B"/>
    <w:rsid w:val="75EC5EC2"/>
    <w:rsid w:val="75F45013"/>
    <w:rsid w:val="76441FD3"/>
    <w:rsid w:val="766769C4"/>
    <w:rsid w:val="769C98BC"/>
    <w:rsid w:val="76BD0734"/>
    <w:rsid w:val="76C84532"/>
    <w:rsid w:val="76E75329"/>
    <w:rsid w:val="76EB2391"/>
    <w:rsid w:val="771332E5"/>
    <w:rsid w:val="772D60EF"/>
    <w:rsid w:val="77411EB7"/>
    <w:rsid w:val="77547436"/>
    <w:rsid w:val="775A1890"/>
    <w:rsid w:val="77890A18"/>
    <w:rsid w:val="7797D71A"/>
    <w:rsid w:val="77A856F4"/>
    <w:rsid w:val="77B43DA9"/>
    <w:rsid w:val="77DF46A2"/>
    <w:rsid w:val="781C169F"/>
    <w:rsid w:val="788E2DC6"/>
    <w:rsid w:val="78A71396"/>
    <w:rsid w:val="78AE3202"/>
    <w:rsid w:val="78DA3CD3"/>
    <w:rsid w:val="78F65437"/>
    <w:rsid w:val="798E1CC1"/>
    <w:rsid w:val="79922287"/>
    <w:rsid w:val="79AD6A52"/>
    <w:rsid w:val="79FF55A5"/>
    <w:rsid w:val="7A617CCB"/>
    <w:rsid w:val="7A915F28"/>
    <w:rsid w:val="7A9A0A53"/>
    <w:rsid w:val="7B6B0973"/>
    <w:rsid w:val="7BBC78D3"/>
    <w:rsid w:val="7BC64DBD"/>
    <w:rsid w:val="7BFD933E"/>
    <w:rsid w:val="7C6A6CA5"/>
    <w:rsid w:val="7C860D64"/>
    <w:rsid w:val="7CBE72D3"/>
    <w:rsid w:val="7DBE8F2B"/>
    <w:rsid w:val="7DC10F6F"/>
    <w:rsid w:val="7DF06F0E"/>
    <w:rsid w:val="7E1A203A"/>
    <w:rsid w:val="7EAD6E97"/>
    <w:rsid w:val="7EB11C4C"/>
    <w:rsid w:val="7EBB4FB2"/>
    <w:rsid w:val="7EF203DF"/>
    <w:rsid w:val="7F4A3F4B"/>
    <w:rsid w:val="7F6C4A02"/>
    <w:rsid w:val="7FBEE5C4"/>
    <w:rsid w:val="7FFD63C5"/>
    <w:rsid w:val="933F4C5B"/>
    <w:rsid w:val="99879D52"/>
    <w:rsid w:val="ABEFB012"/>
    <w:rsid w:val="AF9284AB"/>
    <w:rsid w:val="AFFD2A42"/>
    <w:rsid w:val="B6D9FD33"/>
    <w:rsid w:val="BFF77F75"/>
    <w:rsid w:val="C1AADB7A"/>
    <w:rsid w:val="C5BFAA63"/>
    <w:rsid w:val="C9FF069A"/>
    <w:rsid w:val="CAEF0DF7"/>
    <w:rsid w:val="CFDFA8E7"/>
    <w:rsid w:val="D7F71440"/>
    <w:rsid w:val="DAD7F42B"/>
    <w:rsid w:val="DCBF5014"/>
    <w:rsid w:val="DCFEBBE3"/>
    <w:rsid w:val="DF5595B4"/>
    <w:rsid w:val="DFF35E5E"/>
    <w:rsid w:val="DFFB8013"/>
    <w:rsid w:val="E3BE0844"/>
    <w:rsid w:val="E5F14E00"/>
    <w:rsid w:val="EF395378"/>
    <w:rsid w:val="EF8FC4F4"/>
    <w:rsid w:val="F3DF3A92"/>
    <w:rsid w:val="F59EA656"/>
    <w:rsid w:val="F5B7B27B"/>
    <w:rsid w:val="F5EF2075"/>
    <w:rsid w:val="F9DFA992"/>
    <w:rsid w:val="F9FFE982"/>
    <w:rsid w:val="FC733E1C"/>
    <w:rsid w:val="FDDD4AEC"/>
    <w:rsid w:val="FEEFBE3C"/>
    <w:rsid w:val="FF49C060"/>
    <w:rsid w:val="FF7F74C3"/>
    <w:rsid w:val="FF7FC5CE"/>
    <w:rsid w:val="FF8C3520"/>
    <w:rsid w:val="FFA5EA99"/>
    <w:rsid w:val="FFBA36EE"/>
    <w:rsid w:val="FFBD99CE"/>
    <w:rsid w:val="FFDF01C6"/>
    <w:rsid w:val="FFED6707"/>
    <w:rsid w:val="FFFDDC3A"/>
    <w:rsid w:val="FFFF20F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99" w:semiHidden="0" w:name="Normal"/>
    <w:lsdException w:qFormat="1" w:unhideWhenUsed="0" w:uiPriority="99" w:semiHidden="0" w:name="heading 1" w:locked="1"/>
    <w:lsdException w:qFormat="1" w:unhideWhenUsed="0" w:uiPriority="99" w:semiHidden="0" w:name="heading 2" w:locked="1"/>
    <w:lsdException w:qFormat="1" w:unhideWhenUsed="0" w:uiPriority="99" w:semiHidden="0" w:name="heading 3" w:locked="1"/>
    <w:lsdException w:qFormat="1" w:uiPriority="99"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unhideWhenUsed="0" w:uiPriority="99" w:semiHidden="0" w:name="toc 4" w:locked="1"/>
    <w:lsdException w:unhideWhenUsed="0" w:uiPriority="99" w:semiHidden="0" w:name="toc 5" w:locked="1"/>
    <w:lsdException w:unhideWhenUsed="0" w:uiPriority="99" w:semiHidden="0" w:name="toc 6" w:locked="1"/>
    <w:lsdException w:unhideWhenUsed="0" w:uiPriority="99" w:semiHidden="0" w:name="toc 7" w:locked="1"/>
    <w:lsdException w:unhideWhenUsed="0" w:uiPriority="99" w:semiHidden="0" w:name="toc 8" w:locked="1"/>
    <w:lsdException w:unhideWhenUsed="0" w:uiPriority="99" w:semiHidden="0" w:name="toc 9" w:locked="1"/>
    <w:lsdException w:qFormat="1" w:unhideWhenUsed="0" w:uiPriority="0" w:semiHidden="0" w:name="Normal Indent"/>
    <w:lsdException w:qFormat="1" w:uiPriority="99"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ocked="1"/>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ocked="1"/>
    <w:lsdException w:qFormat="1" w:unhideWhenUsed="0" w:uiPriority="99" w:semiHidden="0" w:name="Emphasis" w:locked="1"/>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99"/>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5"/>
    <w:qFormat/>
    <w:locked/>
    <w:uiPriority w:val="99"/>
    <w:pPr>
      <w:keepNext/>
      <w:keepLines/>
      <w:spacing w:line="578" w:lineRule="auto"/>
      <w:jc w:val="center"/>
      <w:outlineLvl w:val="0"/>
    </w:pPr>
    <w:rPr>
      <w:rFonts w:eastAsia="方正小标宋简体"/>
      <w:bCs/>
      <w:kern w:val="44"/>
      <w:sz w:val="44"/>
      <w:szCs w:val="44"/>
    </w:rPr>
  </w:style>
  <w:style w:type="paragraph" w:styleId="3">
    <w:name w:val="heading 2"/>
    <w:basedOn w:val="1"/>
    <w:next w:val="1"/>
    <w:link w:val="26"/>
    <w:qFormat/>
    <w:locked/>
    <w:uiPriority w:val="99"/>
    <w:pPr>
      <w:spacing w:before="100" w:beforeAutospacing="1" w:after="100" w:afterAutospacing="1" w:line="360" w:lineRule="auto"/>
      <w:ind w:firstLine="640" w:firstLineChars="200"/>
      <w:jc w:val="left"/>
      <w:outlineLvl w:val="1"/>
    </w:pPr>
    <w:rPr>
      <w:rFonts w:hint="eastAsia" w:ascii="宋体" w:hAnsi="宋体" w:eastAsia="仿宋_GB2312"/>
      <w:b/>
      <w:kern w:val="0"/>
      <w:sz w:val="28"/>
      <w:szCs w:val="36"/>
    </w:rPr>
  </w:style>
  <w:style w:type="paragraph" w:styleId="4">
    <w:name w:val="heading 3"/>
    <w:basedOn w:val="1"/>
    <w:next w:val="1"/>
    <w:link w:val="27"/>
    <w:qFormat/>
    <w:locked/>
    <w:uiPriority w:val="99"/>
    <w:pPr>
      <w:keepNext/>
      <w:keepLines/>
      <w:spacing w:line="560" w:lineRule="exact"/>
      <w:ind w:firstLine="883"/>
      <w:outlineLvl w:val="2"/>
    </w:pPr>
    <w:rPr>
      <w:rFonts w:eastAsia="仿宋_GB2312"/>
      <w:b/>
      <w:bCs/>
      <w:sz w:val="28"/>
      <w:szCs w:val="32"/>
    </w:rPr>
  </w:style>
  <w:style w:type="character" w:default="1" w:styleId="20">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5">
    <w:name w:val="index 8"/>
    <w:basedOn w:val="1"/>
    <w:next w:val="1"/>
    <w:unhideWhenUsed/>
    <w:qFormat/>
    <w:uiPriority w:val="99"/>
    <w:pPr>
      <w:ind w:left="2940"/>
    </w:pPr>
  </w:style>
  <w:style w:type="paragraph" w:styleId="6">
    <w:name w:val="Normal Indent"/>
    <w:basedOn w:val="1"/>
    <w:next w:val="1"/>
    <w:qFormat/>
    <w:uiPriority w:val="0"/>
    <w:pPr>
      <w:ind w:firstLine="567"/>
    </w:pPr>
  </w:style>
  <w:style w:type="paragraph" w:styleId="7">
    <w:name w:val="annotation text"/>
    <w:basedOn w:val="1"/>
    <w:unhideWhenUsed/>
    <w:qFormat/>
    <w:uiPriority w:val="99"/>
    <w:pPr>
      <w:jc w:val="left"/>
    </w:pPr>
  </w:style>
  <w:style w:type="paragraph" w:styleId="8">
    <w:name w:val="Body Text"/>
    <w:basedOn w:val="1"/>
    <w:qFormat/>
    <w:uiPriority w:val="0"/>
    <w:pPr>
      <w:widowControl/>
      <w:overflowPunct w:val="0"/>
      <w:spacing w:line="560" w:lineRule="exact"/>
      <w:ind w:firstLine="200" w:firstLineChars="200"/>
      <w:jc w:val="both"/>
    </w:pPr>
    <w:rPr>
      <w:rFonts w:ascii="Times New Roman" w:hAnsi="Times New Roman" w:eastAsia="仿宋" w:cs="Times New Roman"/>
      <w:kern w:val="0"/>
      <w:sz w:val="28"/>
      <w:szCs w:val="24"/>
      <w:lang w:eastAsia="en-US" w:bidi="en-US"/>
    </w:rPr>
  </w:style>
  <w:style w:type="paragraph" w:styleId="9">
    <w:name w:val="toc 3"/>
    <w:basedOn w:val="1"/>
    <w:next w:val="1"/>
    <w:qFormat/>
    <w:locked/>
    <w:uiPriority w:val="39"/>
    <w:pPr>
      <w:ind w:left="840" w:leftChars="400"/>
    </w:pPr>
  </w:style>
  <w:style w:type="paragraph" w:styleId="10">
    <w:name w:val="Plain Text"/>
    <w:basedOn w:val="1"/>
    <w:next w:val="5"/>
    <w:qFormat/>
    <w:uiPriority w:val="0"/>
    <w:rPr>
      <w:rFonts w:ascii="宋体" w:hAnsi="Courier New"/>
    </w:rPr>
  </w:style>
  <w:style w:type="paragraph" w:styleId="11">
    <w:name w:val="footer"/>
    <w:basedOn w:val="1"/>
    <w:link w:val="28"/>
    <w:qFormat/>
    <w:uiPriority w:val="99"/>
    <w:pPr>
      <w:tabs>
        <w:tab w:val="center" w:pos="4153"/>
        <w:tab w:val="right" w:pos="8306"/>
      </w:tabs>
      <w:snapToGrid w:val="0"/>
      <w:jc w:val="left"/>
    </w:pPr>
    <w:rPr>
      <w:rFonts w:ascii="Calibri" w:hAnsi="Calibri" w:cs="Calibri"/>
      <w:sz w:val="18"/>
      <w:szCs w:val="18"/>
    </w:rPr>
  </w:style>
  <w:style w:type="paragraph" w:styleId="12">
    <w:name w:val="header"/>
    <w:basedOn w:val="1"/>
    <w:link w:val="29"/>
    <w:qFormat/>
    <w:uiPriority w:val="99"/>
    <w:pPr>
      <w:pBdr>
        <w:bottom w:val="single" w:color="auto" w:sz="6" w:space="1"/>
      </w:pBdr>
      <w:tabs>
        <w:tab w:val="center" w:pos="4153"/>
        <w:tab w:val="right" w:pos="8306"/>
      </w:tabs>
      <w:snapToGrid w:val="0"/>
      <w:jc w:val="center"/>
    </w:pPr>
    <w:rPr>
      <w:rFonts w:ascii="Calibri" w:hAnsi="Calibri" w:cs="Calibri"/>
      <w:sz w:val="18"/>
      <w:szCs w:val="18"/>
    </w:rPr>
  </w:style>
  <w:style w:type="paragraph" w:styleId="13">
    <w:name w:val="toc 1"/>
    <w:basedOn w:val="1"/>
    <w:next w:val="1"/>
    <w:qFormat/>
    <w:locked/>
    <w:uiPriority w:val="39"/>
  </w:style>
  <w:style w:type="paragraph" w:styleId="14">
    <w:name w:val="footnote text"/>
    <w:basedOn w:val="1"/>
    <w:link w:val="30"/>
    <w:unhideWhenUsed/>
    <w:qFormat/>
    <w:uiPriority w:val="99"/>
    <w:pPr>
      <w:snapToGrid w:val="0"/>
      <w:jc w:val="left"/>
    </w:pPr>
    <w:rPr>
      <w:rFonts w:ascii="Calibri" w:hAnsi="Calibri"/>
      <w:sz w:val="18"/>
      <w:szCs w:val="18"/>
    </w:rPr>
  </w:style>
  <w:style w:type="paragraph" w:styleId="15">
    <w:name w:val="toc 2"/>
    <w:basedOn w:val="1"/>
    <w:next w:val="1"/>
    <w:qFormat/>
    <w:locked/>
    <w:uiPriority w:val="39"/>
    <w:pPr>
      <w:tabs>
        <w:tab w:val="right" w:leader="dot" w:pos="8296"/>
      </w:tabs>
    </w:pPr>
  </w:style>
  <w:style w:type="paragraph" w:styleId="16">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unhideWhenUsed/>
    <w:qFormat/>
    <w:uiPriority w:val="99"/>
    <w:rPr>
      <w:sz w:val="24"/>
    </w:rPr>
  </w:style>
  <w:style w:type="table" w:styleId="19">
    <w:name w:val="Table Grid"/>
    <w:basedOn w:val="18"/>
    <w:qFormat/>
    <w:locked/>
    <w:uiPriority w:val="39"/>
    <w:rPr>
      <w:rFonts w:ascii="等线" w:hAnsi="等线" w:eastAsia="等线"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locked/>
    <w:uiPriority w:val="99"/>
    <w:rPr>
      <w:b/>
    </w:rPr>
  </w:style>
  <w:style w:type="character" w:styleId="22">
    <w:name w:val="page number"/>
    <w:basedOn w:val="20"/>
    <w:qFormat/>
    <w:uiPriority w:val="99"/>
  </w:style>
  <w:style w:type="character" w:styleId="23">
    <w:name w:val="Hyperlink"/>
    <w:unhideWhenUsed/>
    <w:qFormat/>
    <w:uiPriority w:val="99"/>
    <w:rPr>
      <w:color w:val="0563C1"/>
      <w:u w:val="single"/>
    </w:rPr>
  </w:style>
  <w:style w:type="character" w:styleId="24">
    <w:name w:val="footnote reference"/>
    <w:unhideWhenUsed/>
    <w:qFormat/>
    <w:uiPriority w:val="99"/>
    <w:rPr>
      <w:vertAlign w:val="superscript"/>
    </w:rPr>
  </w:style>
  <w:style w:type="character" w:customStyle="1" w:styleId="25">
    <w:name w:val="标题 1 字符"/>
    <w:link w:val="2"/>
    <w:qFormat/>
    <w:uiPriority w:val="99"/>
    <w:rPr>
      <w:rFonts w:ascii="Times New Roman" w:hAnsi="Times New Roman" w:eastAsia="方正小标宋简体"/>
      <w:bCs/>
      <w:kern w:val="44"/>
      <w:sz w:val="44"/>
      <w:szCs w:val="44"/>
    </w:rPr>
  </w:style>
  <w:style w:type="character" w:customStyle="1" w:styleId="26">
    <w:name w:val="标题 2 字符"/>
    <w:link w:val="3"/>
    <w:qFormat/>
    <w:uiPriority w:val="99"/>
    <w:rPr>
      <w:rFonts w:ascii="宋体" w:hAnsi="宋体" w:eastAsia="仿宋_GB2312"/>
      <w:b/>
      <w:sz w:val="28"/>
      <w:szCs w:val="36"/>
    </w:rPr>
  </w:style>
  <w:style w:type="character" w:customStyle="1" w:styleId="27">
    <w:name w:val="标题 3 字符"/>
    <w:link w:val="4"/>
    <w:qFormat/>
    <w:uiPriority w:val="99"/>
    <w:rPr>
      <w:rFonts w:ascii="Times New Roman" w:hAnsi="Times New Roman" w:eastAsia="仿宋_GB2312"/>
      <w:b/>
      <w:bCs/>
      <w:kern w:val="2"/>
      <w:sz w:val="28"/>
      <w:szCs w:val="32"/>
    </w:rPr>
  </w:style>
  <w:style w:type="character" w:customStyle="1" w:styleId="28">
    <w:name w:val="页脚 字符"/>
    <w:link w:val="11"/>
    <w:qFormat/>
    <w:locked/>
    <w:uiPriority w:val="99"/>
    <w:rPr>
      <w:sz w:val="18"/>
      <w:szCs w:val="18"/>
    </w:rPr>
  </w:style>
  <w:style w:type="character" w:customStyle="1" w:styleId="29">
    <w:name w:val="页眉 字符"/>
    <w:link w:val="12"/>
    <w:qFormat/>
    <w:locked/>
    <w:uiPriority w:val="99"/>
    <w:rPr>
      <w:sz w:val="18"/>
      <w:szCs w:val="18"/>
    </w:rPr>
  </w:style>
  <w:style w:type="character" w:customStyle="1" w:styleId="30">
    <w:name w:val="脚注文本 字符"/>
    <w:link w:val="14"/>
    <w:semiHidden/>
    <w:qFormat/>
    <w:uiPriority w:val="99"/>
    <w:rPr>
      <w:kern w:val="2"/>
      <w:sz w:val="18"/>
      <w:szCs w:val="18"/>
    </w:rPr>
  </w:style>
  <w:style w:type="paragraph" w:customStyle="1" w:styleId="31">
    <w:name w:val="表格文字！"/>
    <w:basedOn w:val="1"/>
    <w:qFormat/>
    <w:uiPriority w:val="99"/>
    <w:pPr>
      <w:jc w:val="center"/>
    </w:pPr>
    <w:rPr>
      <w:rFonts w:ascii="仿宋_GB2312" w:hAnsi="仿宋_GB2312" w:eastAsia="仿宋_GB2312" w:cs="仿宋_GB2312"/>
      <w:sz w:val="24"/>
      <w:szCs w:val="24"/>
    </w:rPr>
  </w:style>
  <w:style w:type="paragraph" w:customStyle="1" w:styleId="32">
    <w:name w:val="正文2"/>
    <w:basedOn w:val="1"/>
    <w:qFormat/>
    <w:uiPriority w:val="0"/>
    <w:pPr>
      <w:spacing w:line="480" w:lineRule="exact"/>
      <w:ind w:firstLine="200" w:firstLineChars="200"/>
    </w:pPr>
    <w:rPr>
      <w:rFonts w:ascii="仿宋_GB2312" w:hAnsi="宋体" w:eastAsia="仿宋_GB2312" w:cs="宋体"/>
      <w:sz w:val="32"/>
      <w:szCs w:val="32"/>
    </w:rPr>
  </w:style>
  <w:style w:type="paragraph" w:customStyle="1" w:styleId="33">
    <w:name w:val="WPSOffice手动目录 2"/>
    <w:qFormat/>
    <w:uiPriority w:val="0"/>
    <w:pPr>
      <w:ind w:leftChars="200"/>
    </w:pPr>
    <w:rPr>
      <w:rFonts w:ascii="Times New Roman" w:hAnsi="Times New Roman" w:eastAsia="宋体" w:cs="Times New Roman"/>
      <w:sz w:val="20"/>
      <w:szCs w:val="20"/>
    </w:rPr>
  </w:style>
  <w:style w:type="paragraph" w:customStyle="1" w:styleId="34">
    <w:name w:val="_Style 33"/>
    <w:basedOn w:val="2"/>
    <w:next w:val="1"/>
    <w:unhideWhenUsed/>
    <w:qFormat/>
    <w:uiPriority w:val="39"/>
    <w:pPr>
      <w:widowControl/>
      <w:spacing w:before="240" w:line="259" w:lineRule="auto"/>
      <w:jc w:val="left"/>
      <w:outlineLvl w:val="9"/>
    </w:pPr>
    <w:rPr>
      <w:rFonts w:ascii="等线 Light" w:hAnsi="等线 Light" w:eastAsia="等线 Light" w:cs="Times New Roman"/>
      <w:bCs w:val="0"/>
      <w:color w:val="2E74B5"/>
      <w:kern w:val="0"/>
      <w:sz w:val="32"/>
      <w:szCs w:val="32"/>
    </w:rPr>
  </w:style>
  <w:style w:type="paragraph" w:customStyle="1" w:styleId="35">
    <w:name w:val="WPSOffice手动目录 3"/>
    <w:qFormat/>
    <w:uiPriority w:val="0"/>
    <w:pPr>
      <w:ind w:leftChars="400"/>
    </w:pPr>
    <w:rPr>
      <w:rFonts w:ascii="Times New Roman" w:hAnsi="Times New Roman" w:eastAsia="宋体" w:cs="Times New Roman"/>
      <w:sz w:val="20"/>
      <w:szCs w:val="20"/>
    </w:rPr>
  </w:style>
  <w:style w:type="paragraph" w:customStyle="1" w:styleId="36">
    <w:name w:val="正文！！！！！"/>
    <w:basedOn w:val="1"/>
    <w:qFormat/>
    <w:uiPriority w:val="0"/>
    <w:pPr>
      <w:ind w:firstLine="640" w:firstLineChars="200"/>
    </w:pPr>
    <w:rPr>
      <w:rFonts w:ascii="仿宋_GB2312" w:hAnsi="仿宋_GB2312" w:eastAsia="仿宋_GB2312" w:cs="仿宋_GB2312"/>
      <w:sz w:val="32"/>
      <w:szCs w:val="32"/>
    </w:rPr>
  </w:style>
  <w:style w:type="paragraph" w:customStyle="1" w:styleId="37">
    <w:name w:val="WPSOffice手动目录 1"/>
    <w:qFormat/>
    <w:uiPriority w:val="0"/>
    <w:pPr>
      <w:ind w:leftChars="0"/>
    </w:pPr>
    <w:rPr>
      <w:rFonts w:ascii="Times New Roman" w:hAnsi="Times New Roman" w:eastAsia="宋体" w:cs="Times New Roman"/>
      <w:sz w:val="20"/>
      <w:szCs w:val="20"/>
    </w:rPr>
  </w:style>
  <w:style w:type="character" w:customStyle="1" w:styleId="38">
    <w:name w:val="font31"/>
    <w:basedOn w:val="20"/>
    <w:qFormat/>
    <w:uiPriority w:val="0"/>
    <w:rPr>
      <w:rFonts w:hint="eastAsia" w:ascii="宋体" w:hAnsi="宋体" w:eastAsia="宋体" w:cs="宋体"/>
      <w:color w:val="000000"/>
      <w:sz w:val="24"/>
      <w:szCs w:val="24"/>
      <w:u w:val="none"/>
    </w:rPr>
  </w:style>
  <w:style w:type="character" w:customStyle="1" w:styleId="39">
    <w:name w:val="font21"/>
    <w:basedOn w:val="20"/>
    <w:qFormat/>
    <w:uiPriority w:val="0"/>
    <w:rPr>
      <w:rFonts w:hint="eastAsia" w:ascii="宋体" w:hAnsi="宋体" w:eastAsia="宋体" w:cs="宋体"/>
      <w:color w:val="000000"/>
      <w:sz w:val="24"/>
      <w:szCs w:val="24"/>
      <w:u w:val="none"/>
    </w:rPr>
  </w:style>
  <w:style w:type="character" w:customStyle="1" w:styleId="40">
    <w:name w:val="font11"/>
    <w:basedOn w:val="20"/>
    <w:qFormat/>
    <w:uiPriority w:val="0"/>
    <w:rPr>
      <w:rFonts w:hint="eastAsia" w:ascii="仿宋_GB2312" w:eastAsia="仿宋_GB2312" w:cs="仿宋_GB2312"/>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2735</Words>
  <Characters>2881</Characters>
  <Lines>118</Lines>
  <Paragraphs>33</Paragraphs>
  <TotalTime>1120</TotalTime>
  <ScaleCrop>false</ScaleCrop>
  <LinksUpToDate>false</LinksUpToDate>
  <CharactersWithSpaces>2901</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2021-10-17T02:02:00Z</dcterms:created>
  <dc:creator>沈洋</dc:creator>
  <cp:lastModifiedBy>zengshaowei</cp:lastModifiedBy>
  <cp:lastPrinted>2026-05-13T07:49:00Z</cp:lastPrinted>
  <dcterms:modified xsi:type="dcterms:W3CDTF">2026-10-19T15:12:30Z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809A8B6AB72A46EDBFF77194178EC67E_13</vt:lpwstr>
  </property>
  <property fmtid="{D5CDD505-2E9C-101B-9397-08002B2CF9AE}" pid="4" name="KSOTemplateDocerSaveRecord">
    <vt:lpwstr>eyJoZGlkIjoiMTMxZGFmNWRhZDRmNmM0NDgxY2QyOGFkNzJiMjlmNTciLCJ1c2VySWQiOiI0NDkyNTg4MjgifQ==</vt:lpwstr>
  </property>
</Properties>
</file>