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D761B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深圳市市场监督管理局光明监管局关于废止《光明区老旧电梯更新改造大修工作管理办法》的说明</w:t>
      </w:r>
    </w:p>
    <w:p w14:paraId="22BA8BED">
      <w:pPr>
        <w:pStyle w:val="3"/>
        <w:bidi w:val="0"/>
        <w:rPr>
          <w:rFonts w:hint="eastAsia"/>
          <w:lang w:val="en-US" w:eastAsia="zh-CN"/>
        </w:rPr>
      </w:pPr>
    </w:p>
    <w:p w14:paraId="70504083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一、起草背景和废止原因</w:t>
      </w:r>
    </w:p>
    <w:p w14:paraId="1D3E96FD">
      <w:pPr>
        <w:bidi w:val="0"/>
        <w:ind w:left="0" w:leftChars="0" w:firstLine="64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2018年7月</w:t>
      </w:r>
      <w:r>
        <w:rPr>
          <w:rFonts w:hint="default"/>
          <w:lang w:val="en" w:eastAsia="zh-CN"/>
        </w:rPr>
        <w:t>,</w:t>
      </w:r>
      <w:r>
        <w:rPr>
          <w:rFonts w:hint="eastAsia"/>
          <w:lang w:val="en" w:eastAsia="zh-CN"/>
        </w:rPr>
        <w:t>光明区</w:t>
      </w:r>
      <w:r>
        <w:rPr>
          <w:rFonts w:hint="eastAsia"/>
          <w:lang w:val="en-US" w:eastAsia="zh-CN"/>
        </w:rPr>
        <w:t>印发《光明区老旧电梯更新改造大修工作管理办法》（深光规〔2018〕13号，以下简称《管理办法》），2023年12月经区政府同意续期（深光府规〔2023〕16号），有效期至2029年1月1日。目前，国家已将住宅老旧电梯更新纳入超长期特别国债资金支持范围，形成较为稳定有力的资金保障渠道，区级同类补助政策功能趋于重叠，</w:t>
      </w:r>
      <w:r>
        <w:rPr>
          <w:rFonts w:hint="eastAsia"/>
          <w:highlight w:val="none"/>
          <w:lang w:val="en-US" w:eastAsia="zh-CN"/>
        </w:rPr>
        <w:t>为与上级政策保持一致，我局拟按程序废止《管理办法》。</w:t>
      </w:r>
    </w:p>
    <w:p w14:paraId="722067B1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二、废止后的相关政策衔接</w:t>
      </w:r>
    </w:p>
    <w:p w14:paraId="7857ABD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管理办法》废止后，住宅老旧电梯更新可通过超长期特别国债渠道申请支持；非住宅场所以及不符合国债支持条件的老旧电梯，由电梯产权人、使用单位依法落实主体责任，通过物业专项维修资金、公共收益、业主自筹等渠道筹措资金实施更新改造大修。</w:t>
      </w:r>
    </w:p>
    <w:p w14:paraId="493561D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特此说明。</w:t>
      </w:r>
    </w:p>
    <w:p w14:paraId="3E4999A1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深圳市市场监督管理局光明监管局</w:t>
      </w:r>
    </w:p>
    <w:p w14:paraId="1B7AA171">
      <w:pPr>
        <w:wordWrap w:val="0"/>
        <w:bidi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2026年10月28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default"/>
          <w:lang w:val="en-US" w:eastAsia="zh-CN"/>
        </w:rPr>
        <w:t xml:space="preserve">      </w:t>
      </w:r>
    </w:p>
    <w:p w14:paraId="1D4CE7D6">
      <w:pPr>
        <w:pStyle w:val="3"/>
        <w:bidi w:val="0"/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9B54F"/>
    <w:rsid w:val="2ECFC2F3"/>
    <w:rsid w:val="37F7C9CC"/>
    <w:rsid w:val="39F92DDC"/>
    <w:rsid w:val="3DF7053F"/>
    <w:rsid w:val="3F3BDB00"/>
    <w:rsid w:val="4EFA05B5"/>
    <w:rsid w:val="4FBF549C"/>
    <w:rsid w:val="559FFB84"/>
    <w:rsid w:val="57DDCD64"/>
    <w:rsid w:val="59E9B54F"/>
    <w:rsid w:val="5BF2EF05"/>
    <w:rsid w:val="5BFE6801"/>
    <w:rsid w:val="5F5BF911"/>
    <w:rsid w:val="5F5FA526"/>
    <w:rsid w:val="6DD31E1E"/>
    <w:rsid w:val="6EF69FFD"/>
    <w:rsid w:val="6EFDF176"/>
    <w:rsid w:val="6FEE95F8"/>
    <w:rsid w:val="769542D0"/>
    <w:rsid w:val="76FD14F4"/>
    <w:rsid w:val="77EBD26D"/>
    <w:rsid w:val="77F2CFDE"/>
    <w:rsid w:val="79DF354C"/>
    <w:rsid w:val="7A85FC90"/>
    <w:rsid w:val="7D511F71"/>
    <w:rsid w:val="7D7BC23C"/>
    <w:rsid w:val="7DFF38D7"/>
    <w:rsid w:val="7E5FDB3F"/>
    <w:rsid w:val="7E8FE99E"/>
    <w:rsid w:val="7EFF6BA1"/>
    <w:rsid w:val="7FBC4615"/>
    <w:rsid w:val="7FBF7B7D"/>
    <w:rsid w:val="7FEF8C1F"/>
    <w:rsid w:val="7FFFC312"/>
    <w:rsid w:val="A77A7EE3"/>
    <w:rsid w:val="B6E6896D"/>
    <w:rsid w:val="BB8FDEE9"/>
    <w:rsid w:val="BBBFA1C3"/>
    <w:rsid w:val="BBFEF3C1"/>
    <w:rsid w:val="BFF30147"/>
    <w:rsid w:val="CDCE2F16"/>
    <w:rsid w:val="CF330834"/>
    <w:rsid w:val="D9EB254B"/>
    <w:rsid w:val="DD2E5232"/>
    <w:rsid w:val="DFFB01D6"/>
    <w:rsid w:val="E5D6D8CA"/>
    <w:rsid w:val="EC221288"/>
    <w:rsid w:val="F8FF1DCD"/>
    <w:rsid w:val="F9FF786D"/>
    <w:rsid w:val="FBCF5D6F"/>
    <w:rsid w:val="FCEE2489"/>
    <w:rsid w:val="FD75C503"/>
    <w:rsid w:val="FE7FCE93"/>
    <w:rsid w:val="FE9F82A9"/>
    <w:rsid w:val="FEDD9C64"/>
    <w:rsid w:val="FF17A8F7"/>
    <w:rsid w:val="FF77DA11"/>
    <w:rsid w:val="FFAEA29C"/>
    <w:rsid w:val="FFAFFD62"/>
    <w:rsid w:val="FFCF1E04"/>
    <w:rsid w:val="FFEC3A8B"/>
    <w:rsid w:val="FFF7D0A5"/>
    <w:rsid w:val="FFFE1B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9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line="579" w:lineRule="exact"/>
      <w:ind w:firstLine="0" w:firstLineChars="0"/>
      <w:jc w:val="center"/>
      <w:outlineLvl w:val="0"/>
    </w:pPr>
    <w:rPr>
      <w:rFonts w:ascii="方正小标宋_GBK" w:hAnsi="方正小标宋_GBK"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topLinePunct/>
      <w:spacing w:before="0" w:after="0" w:line="579" w:lineRule="exact"/>
      <w:ind w:left="0" w:leftChars="0" w:firstLine="880" w:firstLineChars="200"/>
      <w:jc w:val="both"/>
      <w:outlineLvl w:val="1"/>
    </w:pPr>
    <w:rPr>
      <w:rFonts w:eastAsia="黑体"/>
      <w:szCs w:val="20"/>
    </w:rPr>
  </w:style>
  <w:style w:type="paragraph" w:styleId="4">
    <w:name w:val="heading 3"/>
    <w:basedOn w:val="1"/>
    <w:next w:val="1"/>
    <w:link w:val="12"/>
    <w:unhideWhenUsed/>
    <w:qFormat/>
    <w:uiPriority w:val="0"/>
    <w:pPr>
      <w:keepNext w:val="0"/>
      <w:keepLines w:val="0"/>
      <w:topLinePunct/>
      <w:spacing w:line="579" w:lineRule="exact"/>
      <w:ind w:firstLine="643" w:firstLineChars="200"/>
      <w:outlineLvl w:val="2"/>
    </w:pPr>
    <w:rPr>
      <w:rFonts w:ascii="楷体_GB2312" w:hAnsi="楷体_GB2312" w:eastAsia="楷体_GB2312"/>
      <w:bCs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topLinePunct/>
      <w:spacing w:before="0" w:beforeLines="0" w:beforeAutospacing="0" w:after="0" w:afterLines="0" w:afterAutospacing="0" w:line="579" w:lineRule="exact"/>
      <w:outlineLvl w:val="3"/>
    </w:pPr>
    <w:rPr>
      <w:b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qFormat/>
    <w:uiPriority w:val="0"/>
    <w:pPr>
      <w:wordWrap/>
      <w:ind w:firstLine="0" w:firstLineChars="0"/>
    </w:pPr>
    <w:rPr>
      <w:rFonts w:eastAsia="CESI楷体-GB2312"/>
      <w:kern w:val="32"/>
      <w:szCs w:val="20"/>
    </w:rPr>
  </w:style>
  <w:style w:type="paragraph" w:styleId="7">
    <w:name w:val="annotation text"/>
    <w:basedOn w:val="1"/>
    <w:qFormat/>
    <w:uiPriority w:val="0"/>
    <w:pPr>
      <w:ind w:firstLine="0" w:firstLineChars="0"/>
      <w:jc w:val="left"/>
    </w:pPr>
    <w:rPr>
      <w:rFonts w:ascii="CESI仿宋-GB2312" w:hAnsi="CESI仿宋-GB2312" w:eastAsia="CESI仿宋-GB231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表格"/>
    <w:basedOn w:val="1"/>
    <w:next w:val="1"/>
    <w:qFormat/>
    <w:uiPriority w:val="0"/>
    <w:pPr>
      <w:topLinePunct/>
      <w:spacing w:line="240" w:lineRule="auto"/>
      <w:ind w:firstLine="0" w:firstLineChars="0"/>
      <w:jc w:val="center"/>
      <w:outlineLvl w:val="9"/>
    </w:pPr>
    <w:rPr>
      <w:sz w:val="28"/>
      <w:szCs w:val="20"/>
    </w:rPr>
  </w:style>
  <w:style w:type="character" w:customStyle="1" w:styleId="12">
    <w:name w:val="标题 3 Char1"/>
    <w:link w:val="4"/>
    <w:qFormat/>
    <w:uiPriority w:val="0"/>
    <w:rPr>
      <w:rFonts w:ascii="楷体_GB2312" w:hAnsi="楷体_GB2312" w:eastAsia="楷体_GB2312"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WUJH1/&#26700;&#38754;/&#20844;&#25991;&#26684;&#24335;&#27169;&#26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公文格式模板.wpt</Template>
  <Pages>1</Pages>
  <Words>0</Words>
  <Characters>0</Characters>
  <Lines>0</Lines>
  <Paragraphs>0</Paragraphs>
  <TotalTime>129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2026-09-19T16:55:00Z</dcterms:created>
  <dc:creator>吴杰浩</dc:creator>
  <cp:lastModifiedBy>陈静娴</cp:lastModifiedBy>
  <dcterms:modified xsi:type="dcterms:W3CDTF">2026-11-02T17:54:41Z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A60CD30B2832154AE15DE86A84644AAF_43</vt:lpwstr>
  </property>
</Properties>
</file>