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C7DE4">
      <w:pPr>
        <w:spacing w:line="560" w:lineRule="exact"/>
        <w:jc w:val="center"/>
        <w:rPr>
          <w:rFonts w:hint="eastAsia" w:ascii="方正小标宋简体" w:hAnsi="方正小标宋简体" w:eastAsia="方正小标宋简体" w:cs="方正小标宋简体"/>
          <w:b w:val="0"/>
          <w:bCs w:val="0"/>
          <w:color w:val="auto"/>
          <w:sz w:val="44"/>
          <w:szCs w:val="44"/>
          <w:highlight w:val="none"/>
          <w:u w:val="none"/>
        </w:rPr>
      </w:pPr>
      <w:bookmarkStart w:id="0" w:name="OLE_LINK6"/>
      <w:bookmarkStart w:id="1" w:name="OLE_LINK5"/>
      <w:r>
        <w:rPr>
          <w:rFonts w:hint="eastAsia" w:ascii="方正小标宋简体" w:hAnsi="方正小标宋简体" w:eastAsia="方正小标宋简体" w:cs="方正小标宋简体"/>
          <w:b w:val="0"/>
          <w:bCs w:val="0"/>
          <w:color w:val="auto"/>
          <w:sz w:val="44"/>
          <w:szCs w:val="44"/>
          <w:highlight w:val="none"/>
          <w:u w:val="none"/>
        </w:rPr>
        <w:t>深圳市光明区企业国有资产监督管理办法</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11898043">
      <w:pPr>
        <w:spacing w:line="560" w:lineRule="exact"/>
        <w:jc w:val="center"/>
        <w:rPr>
          <w:rFonts w:hint="eastAsia" w:ascii="黑体" w:hAnsi="黑体" w:eastAsia="黑体" w:cs="仿宋"/>
          <w:bCs/>
          <w:color w:val="auto"/>
          <w:sz w:val="32"/>
          <w:szCs w:val="32"/>
          <w:highlight w:val="none"/>
          <w:u w:val="none"/>
        </w:rPr>
      </w:pPr>
    </w:p>
    <w:p w14:paraId="3A9AFE5B">
      <w:pPr>
        <w:spacing w:line="560" w:lineRule="exact"/>
        <w:jc w:val="center"/>
        <w:rPr>
          <w:rFonts w:ascii="黑体" w:hAnsi="黑体" w:eastAsia="黑体" w:cs="仿宋"/>
          <w:color w:val="auto"/>
          <w:sz w:val="32"/>
          <w:szCs w:val="32"/>
          <w:highlight w:val="none"/>
          <w:u w:val="none"/>
        </w:rPr>
      </w:pPr>
      <w:r>
        <w:rPr>
          <w:rFonts w:hint="eastAsia" w:ascii="黑体" w:hAnsi="黑体" w:eastAsia="黑体" w:cs="仿宋"/>
          <w:bCs/>
          <w:color w:val="auto"/>
          <w:sz w:val="32"/>
          <w:szCs w:val="32"/>
          <w:highlight w:val="none"/>
          <w:u w:val="none"/>
        </w:rPr>
        <w:t>第一章</w:t>
      </w:r>
      <w:r>
        <w:rPr>
          <w:rFonts w:ascii="黑体" w:hAnsi="黑体" w:eastAsia="黑体" w:cs="仿宋"/>
          <w:bCs/>
          <w:color w:val="auto"/>
          <w:sz w:val="32"/>
          <w:szCs w:val="32"/>
          <w:highlight w:val="none"/>
          <w:u w:val="none"/>
        </w:rPr>
        <w:t xml:space="preserve">  </w:t>
      </w:r>
      <w:r>
        <w:rPr>
          <w:rFonts w:hint="eastAsia" w:ascii="黑体" w:hAnsi="黑体" w:eastAsia="黑体" w:cs="仿宋"/>
          <w:bCs/>
          <w:color w:val="auto"/>
          <w:sz w:val="32"/>
          <w:szCs w:val="32"/>
          <w:highlight w:val="none"/>
          <w:u w:val="none"/>
        </w:rPr>
        <w:t>总则</w:t>
      </w:r>
    </w:p>
    <w:p w14:paraId="212368BC">
      <w:pPr>
        <w:numPr>
          <w:ilvl w:val="0"/>
          <w:numId w:val="1"/>
        </w:numPr>
        <w:spacing w:line="560" w:lineRule="exact"/>
        <w:ind w:left="0" w:firstLine="640" w:firstLineChars="200"/>
        <w:rPr>
          <w:rFonts w:ascii="仿宋_GB2312" w:hAnsi="仿宋" w:eastAsia="仿宋_GB2312" w:cs="仿宋"/>
          <w:color w:val="auto"/>
          <w:sz w:val="32"/>
          <w:szCs w:val="32"/>
          <w:highlight w:val="none"/>
          <w:u w:val="none"/>
          <w:shd w:val="clear" w:color="auto" w:fill="FFFFFF"/>
        </w:rPr>
      </w:pPr>
      <w:r>
        <w:rPr>
          <w:rFonts w:hint="eastAsia" w:ascii="仿宋_GB2312" w:hAnsi="仿宋" w:eastAsia="仿宋_GB2312" w:cs="仿宋"/>
          <w:color w:val="auto"/>
          <w:sz w:val="32"/>
          <w:szCs w:val="32"/>
          <w:highlight w:val="none"/>
          <w:u w:val="none"/>
        </w:rPr>
        <w:t>为进一步完善光明区企业国有资产监督管理制度，促进科学管理，确保国有资产保值增值，根据《中华人民共和国企业国有资产法》《中华人民共和国公司法》《企业国有资产监督管理暂行条例》等法律法规的规定，结合我区实际，制定本办法。</w:t>
      </w:r>
    </w:p>
    <w:p w14:paraId="4F798706">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color w:val="auto"/>
          <w:sz w:val="32"/>
          <w:szCs w:val="32"/>
          <w:highlight w:val="none"/>
          <w:u w:val="none"/>
        </w:rPr>
        <w:t>对企业国有资产监管实行依法管理，按照政企分开、政资分开、所有权和经营权分离以及增强企业活力和强化监管相结合的原则，对企业国有资产监管事项实行分类管理、分级审批。</w:t>
      </w:r>
    </w:p>
    <w:p w14:paraId="15AC212A">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本办法所称企业国有资产，是指区政府</w:t>
      </w:r>
      <w:r>
        <w:rPr>
          <w:rFonts w:hint="eastAsia" w:ascii="仿宋_GB2312" w:hAnsi="仿宋" w:eastAsia="仿宋_GB2312" w:cs="仿宋"/>
          <w:b w:val="0"/>
          <w:bCs w:val="0"/>
          <w:color w:val="auto"/>
          <w:sz w:val="32"/>
          <w:szCs w:val="32"/>
          <w:highlight w:val="none"/>
          <w:u w:val="none"/>
          <w:lang w:val="en-US" w:eastAsia="zh-CN"/>
        </w:rPr>
        <w:t>代表国家</w:t>
      </w:r>
      <w:r>
        <w:rPr>
          <w:rFonts w:hint="eastAsia" w:ascii="仿宋_GB2312" w:hAnsi="仿宋" w:eastAsia="仿宋_GB2312" w:cs="仿宋"/>
          <w:b w:val="0"/>
          <w:bCs w:val="0"/>
          <w:color w:val="auto"/>
          <w:sz w:val="32"/>
          <w:szCs w:val="32"/>
          <w:highlight w:val="none"/>
          <w:u w:val="none"/>
        </w:rPr>
        <w:t>对企业各种形式的</w:t>
      </w:r>
      <w:r>
        <w:rPr>
          <w:rFonts w:hint="eastAsia" w:ascii="仿宋_GB2312" w:hAnsi="仿宋" w:eastAsia="仿宋_GB2312" w:cs="仿宋"/>
          <w:b w:val="0"/>
          <w:bCs w:val="0"/>
          <w:color w:val="auto"/>
          <w:sz w:val="32"/>
          <w:szCs w:val="32"/>
          <w:highlight w:val="none"/>
          <w:u w:val="none"/>
          <w:lang w:val="en-US" w:eastAsia="zh-CN"/>
        </w:rPr>
        <w:t>出</w:t>
      </w:r>
      <w:r>
        <w:rPr>
          <w:rFonts w:hint="eastAsia" w:ascii="仿宋_GB2312" w:hAnsi="仿宋" w:eastAsia="仿宋_GB2312" w:cs="仿宋"/>
          <w:b w:val="0"/>
          <w:bCs w:val="0"/>
          <w:color w:val="auto"/>
          <w:sz w:val="32"/>
          <w:szCs w:val="32"/>
          <w:highlight w:val="none"/>
          <w:u w:val="none"/>
        </w:rPr>
        <w:t>资</w:t>
      </w:r>
      <w:r>
        <w:rPr>
          <w:rFonts w:hint="eastAsia" w:ascii="仿宋_GB2312" w:hAnsi="仿宋" w:eastAsia="仿宋_GB2312" w:cs="仿宋"/>
          <w:b w:val="0"/>
          <w:bCs w:val="0"/>
          <w:color w:val="auto"/>
          <w:sz w:val="32"/>
          <w:szCs w:val="32"/>
          <w:highlight w:val="none"/>
          <w:u w:val="none"/>
          <w:lang w:val="en-US" w:eastAsia="zh-CN"/>
        </w:rPr>
        <w:t>所形成的权益、国有企业各种</w:t>
      </w:r>
      <w:r>
        <w:rPr>
          <w:rFonts w:hint="eastAsia" w:ascii="仿宋_GB2312" w:hAnsi="仿宋" w:eastAsia="仿宋_GB2312" w:cs="仿宋"/>
          <w:b w:val="0"/>
          <w:bCs w:val="0"/>
          <w:color w:val="auto"/>
          <w:sz w:val="32"/>
          <w:szCs w:val="32"/>
          <w:highlight w:val="none"/>
          <w:u w:val="none"/>
        </w:rPr>
        <w:t>投资所形成的权益</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以及依法认定为国家所有的其他权益</w:t>
      </w:r>
      <w:r>
        <w:rPr>
          <w:rFonts w:hint="eastAsia" w:ascii="仿宋_GB2312" w:hAnsi="仿宋" w:eastAsia="仿宋_GB2312" w:cs="仿宋"/>
          <w:b w:val="0"/>
          <w:bCs w:val="0"/>
          <w:color w:val="auto"/>
          <w:sz w:val="32"/>
          <w:szCs w:val="32"/>
          <w:highlight w:val="none"/>
          <w:u w:val="none"/>
        </w:rPr>
        <w:t>。</w:t>
      </w:r>
    </w:p>
    <w:p w14:paraId="781D41DF">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本办法所称企业，包括直管企业、所属企业和参股企业：</w:t>
      </w:r>
    </w:p>
    <w:p w14:paraId="5E8D7848">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（一）直管企业是指由区政府出资并授权区国有资产监督管理</w:t>
      </w:r>
      <w:r>
        <w:rPr>
          <w:rFonts w:hint="eastAsia" w:ascii="仿宋_GB2312" w:hAnsi="仿宋_GB2312" w:eastAsia="仿宋_GB2312" w:cs="仿宋_GB2312"/>
          <w:color w:val="auto"/>
          <w:sz w:val="32"/>
          <w:szCs w:val="32"/>
          <w:u w:val="none"/>
          <w:lang w:eastAsia="zh-CN"/>
        </w:rPr>
        <w:t>部门</w:t>
      </w:r>
      <w:r>
        <w:rPr>
          <w:rFonts w:hint="eastAsia" w:ascii="仿宋_GB2312" w:hAnsi="仿宋" w:eastAsia="仿宋_GB2312" w:cs="仿宋"/>
          <w:b w:val="0"/>
          <w:bCs w:val="0"/>
          <w:color w:val="auto"/>
          <w:sz w:val="32"/>
          <w:szCs w:val="32"/>
          <w:highlight w:val="none"/>
          <w:u w:val="none"/>
        </w:rPr>
        <w:t>（以下简称区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）履行出资人职责的国有独资企业、国有独资公司和国有控股公司（含绝对控股和相对控股</w:t>
      </w:r>
      <w:r>
        <w:rPr>
          <w:rFonts w:hint="eastAsia" w:hAnsi="仿宋" w:cs="仿宋"/>
          <w:b w:val="0"/>
          <w:bCs w:val="0"/>
          <w:color w:val="auto"/>
          <w:sz w:val="32"/>
          <w:szCs w:val="32"/>
          <w:highlight w:val="none"/>
          <w:u w:val="none"/>
          <w:lang w:eastAsia="zh-CN"/>
        </w:rPr>
        <w:t>，绝对控股是指在企业的全部资本中，国家资本(股本)所占比例大于50%；相对控股是指在企业的全部资本中，国家资本(股本)所占比例虽未大于50%，</w:t>
      </w:r>
      <w:r>
        <w:rPr>
          <w:rFonts w:hint="eastAsia" w:ascii="仿宋_GB2312" w:hAnsi="仿宋" w:eastAsia="仿宋_GB2312" w:cs="仿宋"/>
          <w:b w:val="0"/>
          <w:bCs w:val="0"/>
          <w:color w:val="auto"/>
          <w:sz w:val="32"/>
          <w:szCs w:val="32"/>
          <w:highlight w:val="none"/>
          <w:u w:val="none"/>
        </w:rPr>
        <w:t>但根据协议规定拥有企业的实际控制权</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或者相对大于其他任何一种经济成分的出资人所占比例</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w:t>
      </w:r>
    </w:p>
    <w:p w14:paraId="5B7061D8">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（二）所属企业是指直管企业直接或间接出资的各级全资公司和控股公司（含绝对控股和相对控股）。</w:t>
      </w:r>
    </w:p>
    <w:p w14:paraId="715C4BEB">
      <w:pPr>
        <w:spacing w:line="560" w:lineRule="exact"/>
        <w:ind w:firstLine="642"/>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（三）参股企业是指由区政府、区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、直管企业或所属企业持股比例在50%以下且不具有实际控制权的公司。</w:t>
      </w:r>
    </w:p>
    <w:p w14:paraId="16893F9B">
      <w:pPr>
        <w:spacing w:line="560" w:lineRule="exact"/>
        <w:ind w:firstLine="642"/>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本办法所称区国有企业，是指直管企业和所属企业。</w:t>
      </w:r>
    </w:p>
    <w:p w14:paraId="3DFAEB4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企业国有资产监督管理坚持以下基本原则：</w:t>
      </w:r>
    </w:p>
    <w:p w14:paraId="3C295656">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（一）坚持党对国有企业的领导。</w:t>
      </w:r>
    </w:p>
    <w:p w14:paraId="28FAC262">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（二）坚持国有资产保值增值。</w:t>
      </w:r>
    </w:p>
    <w:p w14:paraId="47C872C5">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（三）坚持政企分开、政资分开、所有权与经营权分离。</w:t>
      </w:r>
    </w:p>
    <w:p w14:paraId="336C9FF9">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（四）坚持增强企业活力和强化监管相结合。</w:t>
      </w:r>
    </w:p>
    <w:p w14:paraId="069DAF23">
      <w:pPr>
        <w:spacing w:line="560" w:lineRule="exact"/>
        <w:ind w:firstLine="642"/>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（五）坚持激励机制和约束机制相结合。</w:t>
      </w:r>
    </w:p>
    <w:p w14:paraId="5997CCE4">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eastAsia="仿宋_GB2312"/>
          <w:b w:val="0"/>
          <w:bCs w:val="0"/>
          <w:color w:val="auto"/>
          <w:sz w:val="32"/>
          <w:szCs w:val="32"/>
          <w:highlight w:val="none"/>
          <w:u w:val="none"/>
        </w:rPr>
        <w:t>区</w:t>
      </w:r>
      <w:r>
        <w:rPr>
          <w:rFonts w:hint="eastAsia"/>
          <w:b w:val="0"/>
          <w:bCs w:val="0"/>
          <w:color w:val="auto"/>
          <w:sz w:val="32"/>
          <w:szCs w:val="32"/>
          <w:highlight w:val="none"/>
          <w:u w:val="none"/>
          <w:lang w:eastAsia="zh-CN"/>
        </w:rPr>
        <w:t>国资监管部门</w:t>
      </w:r>
      <w:r>
        <w:rPr>
          <w:rFonts w:hint="eastAsia" w:ascii="仿宋_GB2312" w:eastAsia="仿宋_GB2312"/>
          <w:b w:val="0"/>
          <w:bCs w:val="0"/>
          <w:color w:val="auto"/>
          <w:sz w:val="32"/>
          <w:szCs w:val="32"/>
          <w:highlight w:val="none"/>
          <w:u w:val="none"/>
        </w:rPr>
        <w:t>根据区政府授权，行使企业国有资产监督管理职能，主要职责为</w:t>
      </w:r>
      <w:r>
        <w:rPr>
          <w:rFonts w:hint="eastAsia" w:ascii="仿宋_GB2312" w:hAnsi="仿宋" w:eastAsia="仿宋_GB2312" w:cs="仿宋"/>
          <w:b w:val="0"/>
          <w:bCs w:val="0"/>
          <w:color w:val="auto"/>
          <w:sz w:val="32"/>
          <w:szCs w:val="32"/>
          <w:highlight w:val="none"/>
          <w:u w:val="none"/>
        </w:rPr>
        <w:t>：</w:t>
      </w:r>
    </w:p>
    <w:p w14:paraId="3B5500CC">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一</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根据法律法规以及区政府相关规定，履行出资人职责，拟定经营性国有资产的监管制度和办法，经批准后实施。</w:t>
      </w:r>
    </w:p>
    <w:p w14:paraId="160E1AB7">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二</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指导区国有企业党的建设。</w:t>
      </w:r>
    </w:p>
    <w:p w14:paraId="23E113B7">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三</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指导、监督区国有企业围绕区委</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区政府的战略</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服务城市发展和保障民生</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制定区国有企业年度重点工作任务及考核标准</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促进区国有企业履行社会责任。</w:t>
      </w:r>
    </w:p>
    <w:p w14:paraId="3E31F9B3">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四</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负责区国有企业资产保值增值的监督工作，建立和完善国有资产保值增值指标体系，制定考核标准。通过预算控制、产权监管、审计和稽核等</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对区国有企业国有资产的保值增值情况进行监管</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维护国有资产出资人权益。</w:t>
      </w:r>
    </w:p>
    <w:p w14:paraId="428652DB">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五</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负责区国有企业改革工作的统筹协调</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指导区国有企业改革。负责国资国企管理体制的研究</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对国资国企改革发展提出意见建议。研究编制区国有企业改革发展规划</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推进</w:t>
      </w:r>
      <w:r>
        <w:rPr>
          <w:rFonts w:hint="eastAsia" w:ascii="仿宋_GB2312" w:hAnsi="仿宋" w:eastAsia="仿宋_GB2312" w:cs="仿宋"/>
          <w:b w:val="0"/>
          <w:bCs w:val="0"/>
          <w:color w:val="auto"/>
          <w:sz w:val="32"/>
          <w:szCs w:val="32"/>
          <w:highlight w:val="none"/>
          <w:u w:val="none"/>
          <w:lang w:val="en-US" w:eastAsia="zh-CN"/>
        </w:rPr>
        <w:t>区</w:t>
      </w:r>
      <w:r>
        <w:rPr>
          <w:rFonts w:hint="eastAsia" w:ascii="仿宋_GB2312" w:hAnsi="仿宋" w:eastAsia="仿宋_GB2312" w:cs="仿宋"/>
          <w:b w:val="0"/>
          <w:bCs w:val="0"/>
          <w:color w:val="auto"/>
          <w:sz w:val="32"/>
          <w:szCs w:val="32"/>
          <w:highlight w:val="none"/>
          <w:u w:val="none"/>
        </w:rPr>
        <w:t>国有企业改革重组</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推动国有经济布局和结构的战略性调整。</w:t>
      </w:r>
    </w:p>
    <w:p w14:paraId="6F055452">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六</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企业国有产权界定、登记、变动、清产核资、监督检查和资产评估管理等工作，监督、规范国有产权交易。审核区国有企业的经营方针、投资计划、产权转让、国有股权管理、重大资产处置等重大事项。指导、督促区国有企业落实安</w:t>
      </w:r>
      <w:r>
        <w:rPr>
          <w:rFonts w:hint="eastAsia" w:hAnsi="仿宋" w:cs="仿宋"/>
          <w:b w:val="0"/>
          <w:bCs w:val="0"/>
          <w:color w:val="auto"/>
          <w:sz w:val="32"/>
          <w:szCs w:val="32"/>
          <w:highlight w:val="none"/>
          <w:u w:val="none"/>
          <w:lang w:eastAsia="zh-CN"/>
        </w:rPr>
        <w:t>全</w:t>
      </w:r>
      <w:r>
        <w:rPr>
          <w:rFonts w:hint="eastAsia" w:ascii="仿宋_GB2312" w:hAnsi="仿宋" w:eastAsia="仿宋_GB2312" w:cs="仿宋"/>
          <w:b w:val="0"/>
          <w:bCs w:val="0"/>
          <w:color w:val="auto"/>
          <w:sz w:val="32"/>
          <w:szCs w:val="32"/>
          <w:highlight w:val="none"/>
          <w:u w:val="none"/>
        </w:rPr>
        <w:t>生产责任制。</w:t>
      </w:r>
    </w:p>
    <w:p w14:paraId="29491DF2">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七</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按照干部管理权限，负责区国有企业领导班子建设、人才队伍建设和后备队伍建设。指导推进区国有企业完善中国特色现代国有企业制度，健全公司治理结构。加强区国有企业董事会建设</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实施董事报告制度</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形成职责明确、协调运作、有效制衡的治理机制。</w:t>
      </w:r>
    </w:p>
    <w:p w14:paraId="6BBEE204">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八</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健全与现代企业制度要求相适应的企业领导人员选拔任用机制。通过法定程序对区国有企业领导人员提出任免建议或进行任免</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负责向区国有企业委派或推荐董事、财务总监</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并进行年度和任期考核、奖惩。</w:t>
      </w:r>
    </w:p>
    <w:p w14:paraId="400FFF80">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九</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参与拟订区国有资本经营预算有关管理制度和办法</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按照有关规定负责国有资本经营预决算编制和执行等工作。组织区国有企业实施全面预算管理</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负责组织企业上</w:t>
      </w:r>
      <w:r>
        <w:rPr>
          <w:rFonts w:hint="eastAsia" w:hAnsi="仿宋" w:cs="仿宋"/>
          <w:b w:val="0"/>
          <w:bCs w:val="0"/>
          <w:color w:val="auto"/>
          <w:sz w:val="32"/>
          <w:szCs w:val="32"/>
          <w:highlight w:val="none"/>
          <w:u w:val="none"/>
          <w:lang w:eastAsia="zh-CN"/>
        </w:rPr>
        <w:t>缴</w:t>
      </w:r>
      <w:r>
        <w:rPr>
          <w:rFonts w:hint="eastAsia" w:ascii="仿宋_GB2312" w:hAnsi="仿宋" w:eastAsia="仿宋_GB2312" w:cs="仿宋"/>
          <w:b w:val="0"/>
          <w:bCs w:val="0"/>
          <w:color w:val="auto"/>
          <w:sz w:val="32"/>
          <w:szCs w:val="32"/>
          <w:highlight w:val="none"/>
          <w:u w:val="none"/>
        </w:rPr>
        <w:t>国有资本收益。</w:t>
      </w:r>
    </w:p>
    <w:p w14:paraId="00C5ADD7">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十</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负责对区国有企业收入分配的管理工作</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拟订并组织实施企业收入分配改革指导意见</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规范区国有企业负责人收入分配、职务消费</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完善企业领导人员激励和约束制度。</w:t>
      </w:r>
    </w:p>
    <w:p w14:paraId="661729B7">
      <w:pPr>
        <w:numPr>
          <w:ilvl w:val="0"/>
          <w:numId w:val="0"/>
        </w:num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lang w:val="en-US" w:eastAsia="zh-CN"/>
        </w:rPr>
        <w:t>十一</w:t>
      </w:r>
      <w:r>
        <w:rPr>
          <w:rFonts w:hint="eastAsia" w:ascii="仿宋_GB2312" w:hAnsi="仿宋" w:eastAsia="仿宋_GB2312"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、规章规定及区政府授予的其他职权。</w:t>
      </w:r>
    </w:p>
    <w:p w14:paraId="2DEFABF5">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直管企业作为企业国有资产的经营管理主体，对本企业及所属企业的国有资产保值增值承担责任，履行以下管理职责：</w:t>
      </w:r>
    </w:p>
    <w:p w14:paraId="050489F1">
      <w:pPr>
        <w:spacing w:line="560" w:lineRule="exact"/>
        <w:ind w:firstLine="640"/>
        <w:rPr>
          <w:rFonts w:hint="eastAsia" w:ascii="仿宋_GB2312" w:eastAsia="仿宋_GB2312"/>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w:t>
      </w:r>
      <w:r>
        <w:rPr>
          <w:rFonts w:hint="eastAsia" w:ascii="仿宋_GB2312" w:eastAsia="仿宋_GB2312"/>
          <w:b w:val="0"/>
          <w:bCs w:val="0"/>
          <w:color w:val="auto"/>
          <w:sz w:val="32"/>
          <w:szCs w:val="32"/>
          <w:highlight w:val="none"/>
          <w:u w:val="none"/>
        </w:rPr>
        <w:t>贯彻落实国家、省、市及区关于企业国有资产监督管理的规定。</w:t>
      </w:r>
      <w:r>
        <w:rPr>
          <w:rFonts w:hint="eastAsia" w:ascii="仿宋_GB2312" w:hAnsi="仿宋" w:eastAsia="仿宋_GB2312" w:cs="仿宋"/>
          <w:b w:val="0"/>
          <w:bCs w:val="0"/>
          <w:color w:val="auto"/>
          <w:sz w:val="32"/>
          <w:szCs w:val="32"/>
          <w:highlight w:val="none"/>
          <w:u w:val="none"/>
        </w:rPr>
        <w:t>落实区委</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区政府发展战略，紧扣国资国企基础性、公共性、先导性功能，主动作为，服务大局、服务城市、服务产业、服务民生。</w:t>
      </w:r>
    </w:p>
    <w:p w14:paraId="7775EADB">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华文仿宋" w:eastAsia="仿宋_GB2312" w:cs="华文仿宋"/>
          <w:b w:val="0"/>
          <w:bCs w:val="0"/>
          <w:color w:val="auto"/>
          <w:sz w:val="32"/>
          <w:szCs w:val="32"/>
          <w:highlight w:val="none"/>
          <w:u w:val="none"/>
        </w:rPr>
        <w:t>（二）</w:t>
      </w:r>
      <w:r>
        <w:rPr>
          <w:rFonts w:hint="eastAsia" w:ascii="仿宋_GB2312" w:hAnsi="仿宋" w:eastAsia="仿宋_GB2312" w:cs="仿宋"/>
          <w:b w:val="0"/>
          <w:bCs w:val="0"/>
          <w:color w:val="auto"/>
          <w:sz w:val="32"/>
          <w:szCs w:val="32"/>
          <w:highlight w:val="none"/>
          <w:u w:val="none"/>
        </w:rPr>
        <w:t>坚持依法治理、合规经营、规范管理</w:t>
      </w:r>
      <w:r>
        <w:rPr>
          <w:rFonts w:hint="eastAsia" w:ascii="仿宋_GB2312" w:hAnsi="华文仿宋" w:eastAsia="仿宋_GB2312" w:cs="华文仿宋"/>
          <w:b w:val="0"/>
          <w:bCs w:val="0"/>
          <w:color w:val="auto"/>
          <w:sz w:val="32"/>
          <w:szCs w:val="32"/>
          <w:highlight w:val="none"/>
          <w:u w:val="none"/>
        </w:rPr>
        <w:t>，</w:t>
      </w:r>
      <w:r>
        <w:rPr>
          <w:rFonts w:hint="eastAsia" w:ascii="仿宋_GB2312" w:hAnsi="仿宋" w:eastAsia="仿宋_GB2312" w:cs="仿宋"/>
          <w:b w:val="0"/>
          <w:bCs w:val="0"/>
          <w:color w:val="auto"/>
          <w:sz w:val="32"/>
          <w:szCs w:val="32"/>
          <w:highlight w:val="none"/>
          <w:u w:val="none"/>
        </w:rPr>
        <w:t>制定本企业及所属企业国有资产管理的有关规章制度</w:t>
      </w:r>
      <w:r>
        <w:rPr>
          <w:rFonts w:hint="eastAsia" w:hAnsi="仿宋" w:cs="仿宋"/>
          <w:b w:val="0"/>
          <w:bCs w:val="0"/>
          <w:color w:val="auto"/>
          <w:sz w:val="32"/>
          <w:szCs w:val="32"/>
          <w:highlight w:val="none"/>
          <w:u w:val="none"/>
          <w:lang w:eastAsia="zh-CN"/>
        </w:rPr>
        <w:t>，并向区国资监管部门报备</w:t>
      </w:r>
      <w:r>
        <w:rPr>
          <w:rFonts w:hint="eastAsia" w:ascii="仿宋_GB2312" w:hAnsi="仿宋" w:eastAsia="仿宋_GB2312" w:cs="仿宋"/>
          <w:b w:val="0"/>
          <w:bCs w:val="0"/>
          <w:color w:val="auto"/>
          <w:sz w:val="32"/>
          <w:szCs w:val="32"/>
          <w:highlight w:val="none"/>
          <w:u w:val="none"/>
        </w:rPr>
        <w:t>。</w:t>
      </w:r>
    </w:p>
    <w:p w14:paraId="275939F5">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（三）对所属企业及参股企业履行出资人职责。</w:t>
      </w:r>
    </w:p>
    <w:p w14:paraId="384E6B3A">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（四）制定本企业及所属企业的年度投融资计划、年度预算方案，并严格贯彻执行。</w:t>
      </w:r>
    </w:p>
    <w:p w14:paraId="3BABC445">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（五）按照规定的权限，提出本企业内部管理机构设置建议。</w:t>
      </w:r>
    </w:p>
    <w:p w14:paraId="19E8828C">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（六）按照规定的权限，审核或决定本企业及所属企业的人事管理、财务管理、投融资及担保、产权变动、资产处置等事项，对所属企业的财务、投融资及担保事项等进行监督。</w:t>
      </w:r>
    </w:p>
    <w:p w14:paraId="44546E16">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（七）按规定就本企业及其所属企业的财务状况、投融资及担保项目、资产变动等事项，向区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报告。</w:t>
      </w:r>
    </w:p>
    <w:p w14:paraId="5FBB2965">
      <w:pPr>
        <w:spacing w:line="560" w:lineRule="exact"/>
        <w:ind w:firstLine="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（八）根据区政府和区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的授权，承担的其他职责。</w:t>
      </w:r>
    </w:p>
    <w:p w14:paraId="2345977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所属企业负责本企业日常生产经营</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承担本企业国有资本保值增值责任。</w:t>
      </w:r>
    </w:p>
    <w:p w14:paraId="604D1BAB">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val="en-US" w:eastAsia="zh-CN"/>
        </w:rPr>
        <w:t>对商业类国有企业坚持以管资本为主加强国有资产监管，按照市场决定资源配置的要求，支持和鼓励发展有竞争优势的产业，优化国有资本投向，推动国有产权流转，赋予企业更大的经营自主决策权限，提高市场竞争能力。</w:t>
      </w:r>
    </w:p>
    <w:p w14:paraId="131824A5">
      <w:pPr>
        <w:numPr>
          <w:ilvl w:val="0"/>
          <w:numId w:val="0"/>
        </w:numPr>
        <w:spacing w:line="560" w:lineRule="exact"/>
        <w:rPr>
          <w:rFonts w:hint="default" w:ascii="仿宋_GB2312" w:hAnsi="仿宋" w:eastAsia="仿宋_GB2312" w:cs="仿宋"/>
          <w:b w:val="0"/>
          <w:bCs w:val="0"/>
          <w:color w:val="auto"/>
          <w:sz w:val="32"/>
          <w:szCs w:val="32"/>
          <w:highlight w:val="none"/>
          <w:u w:val="none"/>
          <w:lang w:val="en-US"/>
        </w:rPr>
      </w:pPr>
      <w:r>
        <w:rPr>
          <w:rFonts w:hint="eastAsia" w:ascii="仿宋_GB2312" w:hAnsi="仿宋" w:eastAsia="仿宋_GB2312" w:cs="仿宋"/>
          <w:b w:val="0"/>
          <w:bCs w:val="0"/>
          <w:color w:val="auto"/>
          <w:sz w:val="32"/>
          <w:szCs w:val="32"/>
          <w:highlight w:val="none"/>
          <w:u w:val="none"/>
          <w:lang w:val="en-US" w:eastAsia="zh-CN"/>
        </w:rPr>
        <w:t xml:space="preserve">    对功能类（公益类）国有企业重点加强对国有资本布局、提供公共产品和公共服务质量效率的监管，引导企业突出主业，更好地服务光明区发展战略和城市发展。</w:t>
      </w:r>
    </w:p>
    <w:p w14:paraId="2B6851B7">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上市公司</w:t>
      </w:r>
      <w:r>
        <w:rPr>
          <w:rFonts w:hint="eastAsia" w:hAnsi="仿宋" w:cs="仿宋"/>
          <w:b w:val="0"/>
          <w:bCs w:val="0"/>
          <w:color w:val="auto"/>
          <w:sz w:val="32"/>
          <w:szCs w:val="32"/>
          <w:highlight w:val="none"/>
          <w:u w:val="none"/>
          <w:lang w:eastAsia="zh-CN"/>
        </w:rPr>
        <w:t>、政策性基金</w:t>
      </w:r>
      <w:r>
        <w:rPr>
          <w:rFonts w:hint="eastAsia" w:ascii="仿宋_GB2312" w:hAnsi="仿宋" w:eastAsia="仿宋_GB2312" w:cs="仿宋"/>
          <w:b w:val="0"/>
          <w:bCs w:val="0"/>
          <w:color w:val="auto"/>
          <w:sz w:val="32"/>
          <w:szCs w:val="32"/>
          <w:highlight w:val="none"/>
          <w:u w:val="none"/>
        </w:rPr>
        <w:t>的</w:t>
      </w:r>
      <w:r>
        <w:rPr>
          <w:rFonts w:hint="eastAsia" w:ascii="仿宋_GB2312" w:hAnsi="仿宋" w:eastAsia="仿宋_GB2312" w:cs="仿宋"/>
          <w:b w:val="0"/>
          <w:bCs w:val="0"/>
          <w:color w:val="auto"/>
          <w:sz w:val="32"/>
          <w:szCs w:val="32"/>
          <w:highlight w:val="none"/>
          <w:u w:val="none"/>
          <w:lang w:val="en-US" w:eastAsia="zh-CN"/>
        </w:rPr>
        <w:t>监督管理</w:t>
      </w:r>
      <w:r>
        <w:rPr>
          <w:rFonts w:hint="eastAsia" w:ascii="仿宋_GB2312" w:hAnsi="仿宋" w:eastAsia="仿宋_GB2312" w:cs="仿宋"/>
          <w:b w:val="0"/>
          <w:bCs w:val="0"/>
          <w:color w:val="auto"/>
          <w:sz w:val="32"/>
          <w:szCs w:val="32"/>
          <w:highlight w:val="none"/>
          <w:u w:val="none"/>
        </w:rPr>
        <w:t>，国家、省、市</w:t>
      </w:r>
      <w:r>
        <w:rPr>
          <w:rFonts w:hint="eastAsia" w:hAnsi="仿宋" w:cs="仿宋"/>
          <w:b w:val="0"/>
          <w:bCs w:val="0"/>
          <w:color w:val="auto"/>
          <w:sz w:val="32"/>
          <w:szCs w:val="32"/>
          <w:highlight w:val="none"/>
          <w:u w:val="none"/>
          <w:lang w:eastAsia="zh-CN"/>
        </w:rPr>
        <w:t>、区</w:t>
      </w:r>
      <w:r>
        <w:rPr>
          <w:rFonts w:hint="eastAsia" w:ascii="仿宋_GB2312" w:hAnsi="仿宋" w:eastAsia="仿宋_GB2312" w:cs="仿宋"/>
          <w:b w:val="0"/>
          <w:bCs w:val="0"/>
          <w:color w:val="auto"/>
          <w:sz w:val="32"/>
          <w:szCs w:val="32"/>
          <w:highlight w:val="none"/>
          <w:u w:val="none"/>
        </w:rPr>
        <w:t>另有规定的，从其规定。</w:t>
      </w:r>
    </w:p>
    <w:p w14:paraId="7D997597">
      <w:pPr>
        <w:numPr>
          <w:ilvl w:val="0"/>
          <w:numId w:val="0"/>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rPr>
        <w:t>除本办法有特别规定外，参股企业的决策事项按照</w:t>
      </w:r>
      <w:r>
        <w:rPr>
          <w:rFonts w:hint="eastAsia" w:hAnsi="仿宋" w:cs="仿宋"/>
          <w:color w:val="auto"/>
          <w:highlight w:val="none"/>
          <w:lang w:eastAsia="zh-CN"/>
        </w:rPr>
        <w:t>法律法规</w:t>
      </w:r>
      <w:r>
        <w:rPr>
          <w:rFonts w:hint="eastAsia" w:hAnsi="仿宋" w:cs="仿宋"/>
          <w:color w:val="auto"/>
          <w:highlight w:val="none"/>
        </w:rPr>
        <w:t>的规定以及公司章程或股东的约定执行。</w:t>
      </w:r>
    </w:p>
    <w:p w14:paraId="00915B3D">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rPr>
        <w:t>国有企业应加强信息化建设，实现企业资产、资源管理信息化、智能化、规范化；逐步实现在线实时监管，促进国资国企治理体系和治理能力进一步提升。</w:t>
      </w:r>
    </w:p>
    <w:p w14:paraId="56F973BE">
      <w:pPr>
        <w:numPr>
          <w:ilvl w:val="0"/>
          <w:numId w:val="0"/>
        </w:numPr>
        <w:spacing w:line="560" w:lineRule="exact"/>
        <w:ind w:firstLine="0" w:firstLineChars="0"/>
        <w:rPr>
          <w:rFonts w:hint="eastAsia" w:ascii="仿宋_GB2312" w:hAnsi="仿宋" w:eastAsia="仿宋_GB2312" w:cs="仿宋"/>
          <w:b w:val="0"/>
          <w:bCs w:val="0"/>
          <w:color w:val="auto"/>
          <w:sz w:val="32"/>
          <w:szCs w:val="32"/>
          <w:highlight w:val="none"/>
          <w:u w:val="none"/>
        </w:rPr>
      </w:pPr>
    </w:p>
    <w:p w14:paraId="6E8E9847">
      <w:pPr>
        <w:spacing w:line="560" w:lineRule="exact"/>
        <w:ind w:firstLine="64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第二章</w:t>
      </w:r>
      <w:r>
        <w:rPr>
          <w:rFonts w:ascii="黑体" w:hAnsi="黑体" w:eastAsia="黑体" w:cs="仿宋"/>
          <w:b w:val="0"/>
          <w:bCs w:val="0"/>
          <w:color w:val="auto"/>
          <w:sz w:val="32"/>
          <w:szCs w:val="32"/>
          <w:highlight w:val="none"/>
          <w:u w:val="none"/>
        </w:rPr>
        <w:t xml:space="preserve">  企业</w:t>
      </w:r>
      <w:r>
        <w:rPr>
          <w:rFonts w:hint="eastAsia" w:ascii="黑体" w:hAnsi="黑体" w:eastAsia="黑体" w:cs="仿宋"/>
          <w:b w:val="0"/>
          <w:bCs w:val="0"/>
          <w:color w:val="auto"/>
          <w:sz w:val="32"/>
          <w:szCs w:val="32"/>
          <w:highlight w:val="none"/>
          <w:u w:val="none"/>
        </w:rPr>
        <w:t>党的建设</w:t>
      </w:r>
    </w:p>
    <w:p w14:paraId="13540A9F">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设立区委国有资产监督管理工作委员会，</w:t>
      </w:r>
      <w:r>
        <w:rPr>
          <w:rFonts w:hint="eastAsia" w:ascii="仿宋_GB2312" w:hAnsi="仿宋" w:eastAsia="仿宋_GB2312" w:cs="仿宋"/>
          <w:b w:val="0"/>
          <w:bCs w:val="0"/>
          <w:color w:val="auto"/>
          <w:sz w:val="32"/>
          <w:szCs w:val="32"/>
          <w:highlight w:val="none"/>
          <w:u w:val="none"/>
          <w:lang w:val="en-US" w:eastAsia="zh-CN"/>
        </w:rPr>
        <w:t>作</w:t>
      </w:r>
      <w:r>
        <w:rPr>
          <w:rFonts w:hint="eastAsia" w:ascii="仿宋_GB2312" w:hAnsi="仿宋" w:eastAsia="仿宋_GB2312" w:cs="仿宋"/>
          <w:b w:val="0"/>
          <w:bCs w:val="0"/>
          <w:color w:val="auto"/>
          <w:sz w:val="32"/>
          <w:szCs w:val="32"/>
          <w:highlight w:val="none"/>
          <w:u w:val="none"/>
        </w:rPr>
        <w:t>为区委派出</w:t>
      </w:r>
      <w:r>
        <w:rPr>
          <w:rFonts w:hint="eastAsia" w:ascii="仿宋_GB2312" w:hAnsi="仿宋" w:eastAsia="仿宋_GB2312" w:cs="仿宋"/>
          <w:b w:val="0"/>
          <w:bCs w:val="0"/>
          <w:color w:val="auto"/>
          <w:sz w:val="32"/>
          <w:szCs w:val="32"/>
          <w:highlight w:val="none"/>
          <w:u w:val="none"/>
          <w:lang w:val="en-US" w:eastAsia="zh-CN"/>
        </w:rPr>
        <w:t>工作</w:t>
      </w:r>
      <w:r>
        <w:rPr>
          <w:rFonts w:hint="eastAsia" w:ascii="仿宋_GB2312" w:hAnsi="仿宋" w:eastAsia="仿宋_GB2312" w:cs="仿宋"/>
          <w:b w:val="0"/>
          <w:bCs w:val="0"/>
          <w:color w:val="auto"/>
          <w:sz w:val="32"/>
          <w:szCs w:val="32"/>
          <w:highlight w:val="none"/>
          <w:u w:val="none"/>
        </w:rPr>
        <w:t>机构，职责及机构设置按照区委相关规定确定。</w:t>
      </w:r>
    </w:p>
    <w:p w14:paraId="3A813969">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color w:val="auto"/>
          <w:sz w:val="32"/>
          <w:szCs w:val="32"/>
          <w:highlight w:val="none"/>
          <w:u w:val="none"/>
        </w:rPr>
        <w:t>区国有企业应当依照《中国共产党章程》《中国共产党国有企业基层组织工作条例（试行）》的规定</w:t>
      </w:r>
      <w:r>
        <w:rPr>
          <w:rFonts w:hint="eastAsia" w:ascii="仿宋_GB2312" w:hAnsi="仿宋" w:eastAsia="仿宋_GB2312" w:cs="仿宋"/>
          <w:b w:val="0"/>
          <w:bCs w:val="0"/>
          <w:color w:val="auto"/>
          <w:sz w:val="32"/>
          <w:szCs w:val="32"/>
          <w:highlight w:val="none"/>
          <w:u w:val="none"/>
        </w:rPr>
        <w:t>，设立中国共产党的组织，开展党的活动。党组织机构设置、人员编制纳入企业管理机构和编制，党组织工作经费纳入企业预算，从企业管理费用中列支。</w:t>
      </w:r>
    </w:p>
    <w:p w14:paraId="21E17517">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应当将党的建设工作要求列入公司章程，写明党组织的职责权限、机构设置、运行机制、基础保障等重要事项，明确党组织研究讨论是董事会、经理班子决策“三重一大”事项（重大事项决策、重要干部任免、重大</w:t>
      </w:r>
      <w:bookmarkStart w:id="4" w:name="_GoBack"/>
      <w:bookmarkEnd w:id="4"/>
      <w:r>
        <w:rPr>
          <w:rFonts w:hint="eastAsia" w:ascii="仿宋_GB2312" w:hAnsi="仿宋" w:eastAsia="仿宋_GB2312" w:cs="仿宋"/>
          <w:b w:val="0"/>
          <w:bCs w:val="0"/>
          <w:color w:val="auto"/>
          <w:sz w:val="32"/>
          <w:szCs w:val="32"/>
          <w:highlight w:val="none"/>
          <w:u w:val="none"/>
        </w:rPr>
        <w:t>项目投资决策、大额资金使用）的前置程序，落实党组织在公司治理结构中的法定地位。</w:t>
      </w:r>
    </w:p>
    <w:p w14:paraId="76626F3D">
      <w:pPr>
        <w:spacing w:line="560" w:lineRule="exact"/>
        <w:ind w:firstLine="640"/>
        <w:rPr>
          <w:rFonts w:hint="eastAsia" w:ascii="仿宋_GB2312" w:hAnsi="仿宋" w:eastAsia="仿宋_GB2312" w:cs="仿宋"/>
          <w:b w:val="0"/>
          <w:bCs w:val="0"/>
          <w:color w:val="auto"/>
          <w:sz w:val="32"/>
          <w:szCs w:val="32"/>
          <w:highlight w:val="none"/>
          <w:u w:val="none"/>
        </w:rPr>
      </w:pPr>
    </w:p>
    <w:p w14:paraId="0980D624">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第三章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产权管理</w:t>
      </w:r>
    </w:p>
    <w:p w14:paraId="33D7E6E0">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企业国有产权变动实行分类管理、分级审批。</w:t>
      </w:r>
    </w:p>
    <w:p w14:paraId="6AB1FBFA">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组建直管企业、区政府及区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直接参股</w:t>
      </w:r>
      <w:r>
        <w:rPr>
          <w:rFonts w:hint="eastAsia" w:hAnsi="仿宋" w:cs="仿宋"/>
          <w:b w:val="0"/>
          <w:bCs w:val="0"/>
          <w:color w:val="auto"/>
          <w:sz w:val="32"/>
          <w:szCs w:val="32"/>
          <w:highlight w:val="none"/>
          <w:u w:val="none"/>
          <w:lang w:val="en-US" w:eastAsia="zh-CN"/>
        </w:rPr>
        <w:t>的</w:t>
      </w:r>
      <w:r>
        <w:rPr>
          <w:rFonts w:hint="eastAsia" w:ascii="仿宋_GB2312" w:hAnsi="仿宋" w:eastAsia="仿宋_GB2312" w:cs="仿宋"/>
          <w:b w:val="0"/>
          <w:bCs w:val="0"/>
          <w:color w:val="auto"/>
          <w:sz w:val="32"/>
          <w:szCs w:val="32"/>
          <w:highlight w:val="none"/>
          <w:u w:val="none"/>
        </w:rPr>
        <w:t>企业，由区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提出方案报区政府常务会</w:t>
      </w:r>
      <w:r>
        <w:rPr>
          <w:rFonts w:hint="eastAsia" w:ascii="仿宋_GB2312" w:hAnsi="仿宋" w:eastAsia="仿宋_GB2312" w:cs="仿宋"/>
          <w:b w:val="0"/>
          <w:bCs w:val="0"/>
          <w:color w:val="auto"/>
          <w:sz w:val="32"/>
          <w:szCs w:val="32"/>
          <w:highlight w:val="none"/>
          <w:u w:val="none"/>
          <w:lang w:val="en-US" w:eastAsia="zh-CN"/>
        </w:rPr>
        <w:t>议</w:t>
      </w:r>
      <w:r>
        <w:rPr>
          <w:rFonts w:hint="eastAsia" w:hAnsi="仿宋" w:cs="仿宋"/>
          <w:b w:val="0"/>
          <w:bCs w:val="0"/>
          <w:color w:val="auto"/>
          <w:sz w:val="32"/>
          <w:szCs w:val="32"/>
          <w:highlight w:val="none"/>
          <w:u w:val="none"/>
          <w:lang w:val="en-US" w:eastAsia="zh-CN"/>
        </w:rPr>
        <w:t>审议</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组建子公司、参股公司，由直管企业提出方案，报区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lang w:eastAsia="zh-CN"/>
        </w:rPr>
        <w:t>审批</w:t>
      </w:r>
      <w:r>
        <w:rPr>
          <w:rFonts w:hint="eastAsia" w:ascii="仿宋_GB2312" w:hAnsi="仿宋" w:eastAsia="仿宋_GB2312" w:cs="仿宋"/>
          <w:b w:val="0"/>
          <w:bCs w:val="0"/>
          <w:color w:val="auto"/>
          <w:sz w:val="32"/>
          <w:szCs w:val="32"/>
          <w:highlight w:val="none"/>
          <w:u w:val="none"/>
        </w:rPr>
        <w:t>。</w:t>
      </w:r>
    </w:p>
    <w:p w14:paraId="2B299AB6">
      <w:pPr>
        <w:spacing w:line="560" w:lineRule="exact"/>
        <w:ind w:firstLine="640"/>
        <w:rPr>
          <w:rFonts w:hint="eastAsia" w:ascii="仿宋_GB2312" w:hAnsi="仿宋" w:eastAsia="仿宋_GB2312" w:cs="仿宋"/>
          <w:b w:val="0"/>
          <w:bCs w:val="0"/>
          <w:color w:val="auto"/>
          <w:sz w:val="32"/>
          <w:szCs w:val="32"/>
          <w:highlight w:val="none"/>
          <w:u w:val="none"/>
          <w:lang w:val="en-US" w:eastAsia="zh-CN"/>
        </w:rPr>
      </w:pPr>
      <w:r>
        <w:rPr>
          <w:rFonts w:hint="eastAsia" w:ascii="仿宋_GB2312" w:hAnsi="仿宋" w:eastAsia="仿宋_GB2312" w:cs="仿宋"/>
          <w:b w:val="0"/>
          <w:bCs w:val="0"/>
          <w:color w:val="auto"/>
          <w:sz w:val="32"/>
          <w:szCs w:val="32"/>
          <w:highlight w:val="none"/>
          <w:u w:val="none"/>
        </w:rPr>
        <w:t>直管企业增减注册资本、合并、分立、解散、申请破产等事项，由直管企业提出方案，经区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lang w:eastAsia="zh-CN"/>
        </w:rPr>
        <w:t>审核</w:t>
      </w:r>
      <w:r>
        <w:rPr>
          <w:rFonts w:hint="eastAsia" w:ascii="仿宋_GB2312" w:hAnsi="仿宋" w:eastAsia="仿宋_GB2312" w:cs="仿宋"/>
          <w:b w:val="0"/>
          <w:bCs w:val="0"/>
          <w:color w:val="auto"/>
          <w:sz w:val="32"/>
          <w:szCs w:val="32"/>
          <w:highlight w:val="none"/>
          <w:u w:val="none"/>
        </w:rPr>
        <w:t>后，提请区政府常务会</w:t>
      </w:r>
      <w:r>
        <w:rPr>
          <w:rFonts w:hint="eastAsia" w:ascii="仿宋_GB2312" w:hAnsi="仿宋" w:eastAsia="仿宋_GB2312" w:cs="仿宋"/>
          <w:b w:val="0"/>
          <w:bCs w:val="0"/>
          <w:color w:val="auto"/>
          <w:sz w:val="32"/>
          <w:szCs w:val="32"/>
          <w:highlight w:val="none"/>
          <w:u w:val="none"/>
          <w:lang w:val="en-US" w:eastAsia="zh-CN"/>
        </w:rPr>
        <w:t>议</w:t>
      </w:r>
      <w:r>
        <w:rPr>
          <w:rFonts w:hint="eastAsia" w:ascii="仿宋_GB2312" w:hAnsi="仿宋" w:eastAsia="仿宋_GB2312" w:cs="仿宋"/>
          <w:b w:val="0"/>
          <w:bCs w:val="0"/>
          <w:color w:val="auto"/>
          <w:sz w:val="32"/>
          <w:szCs w:val="32"/>
          <w:highlight w:val="none"/>
          <w:u w:val="none"/>
        </w:rPr>
        <w:t>审</w:t>
      </w:r>
      <w:r>
        <w:rPr>
          <w:rFonts w:hint="eastAsia" w:hAnsi="仿宋" w:cs="仿宋"/>
          <w:b w:val="0"/>
          <w:bCs w:val="0"/>
          <w:color w:val="auto"/>
          <w:sz w:val="32"/>
          <w:szCs w:val="32"/>
          <w:highlight w:val="none"/>
          <w:u w:val="none"/>
          <w:lang w:val="en-US" w:eastAsia="zh-CN"/>
        </w:rPr>
        <w:t>议</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所属企业</w:t>
      </w:r>
      <w:r>
        <w:rPr>
          <w:rFonts w:hint="eastAsia" w:ascii="仿宋_GB2312" w:hAnsi="仿宋" w:eastAsia="仿宋_GB2312" w:cs="仿宋"/>
          <w:b w:val="0"/>
          <w:bCs w:val="0"/>
          <w:color w:val="auto"/>
          <w:sz w:val="32"/>
          <w:szCs w:val="32"/>
          <w:highlight w:val="none"/>
          <w:u w:val="none"/>
        </w:rPr>
        <w:t>增减注册资本、合并、分立、解散、申请破产等事项，由</w:t>
      </w:r>
      <w:r>
        <w:rPr>
          <w:rFonts w:hint="eastAsia" w:hAnsi="仿宋" w:cs="仿宋"/>
          <w:b w:val="0"/>
          <w:bCs w:val="0"/>
          <w:color w:val="auto"/>
          <w:sz w:val="32"/>
          <w:szCs w:val="32"/>
          <w:highlight w:val="none"/>
          <w:u w:val="none"/>
          <w:lang w:eastAsia="zh-CN"/>
        </w:rPr>
        <w:t>直管</w:t>
      </w:r>
      <w:r>
        <w:rPr>
          <w:rFonts w:hint="eastAsia" w:ascii="仿宋_GB2312" w:hAnsi="仿宋" w:eastAsia="仿宋_GB2312" w:cs="仿宋"/>
          <w:b w:val="0"/>
          <w:bCs w:val="0"/>
          <w:color w:val="auto"/>
          <w:sz w:val="32"/>
          <w:szCs w:val="32"/>
          <w:highlight w:val="none"/>
          <w:u w:val="none"/>
        </w:rPr>
        <w:t>企业提出方案报区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lang w:eastAsia="zh-CN"/>
        </w:rPr>
        <w:t>审批</w:t>
      </w:r>
      <w:r>
        <w:rPr>
          <w:rFonts w:hint="eastAsia" w:ascii="仿宋_GB2312" w:hAnsi="仿宋" w:eastAsia="仿宋_GB2312" w:cs="仿宋"/>
          <w:b w:val="0"/>
          <w:bCs w:val="0"/>
          <w:color w:val="auto"/>
          <w:sz w:val="32"/>
          <w:szCs w:val="32"/>
          <w:highlight w:val="none"/>
          <w:u w:val="none"/>
        </w:rPr>
        <w:t>。其中，涉及承担重大专项任务或对区属国资国企战略布局有重要意义的企业设立、增减注册资本、合并、分立、解散、申请破产等事项，应当经区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lang w:eastAsia="zh-CN"/>
        </w:rPr>
        <w:t>审核</w:t>
      </w:r>
      <w:r>
        <w:rPr>
          <w:rFonts w:hint="eastAsia" w:ascii="仿宋_GB2312" w:hAnsi="仿宋" w:eastAsia="仿宋_GB2312" w:cs="仿宋"/>
          <w:b w:val="0"/>
          <w:bCs w:val="0"/>
          <w:color w:val="auto"/>
          <w:sz w:val="32"/>
          <w:szCs w:val="32"/>
          <w:highlight w:val="none"/>
          <w:u w:val="none"/>
        </w:rPr>
        <w:t>后，</w:t>
      </w:r>
      <w:r>
        <w:rPr>
          <w:rFonts w:hint="eastAsia" w:hAnsi="仿宋" w:cs="仿宋"/>
          <w:b w:val="0"/>
          <w:bCs w:val="0"/>
          <w:color w:val="auto"/>
          <w:sz w:val="32"/>
          <w:szCs w:val="32"/>
          <w:highlight w:val="none"/>
          <w:u w:val="none"/>
          <w:lang w:val="en-US" w:eastAsia="zh-CN"/>
        </w:rPr>
        <w:t>按程序</w:t>
      </w:r>
      <w:r>
        <w:rPr>
          <w:rFonts w:hint="eastAsia" w:ascii="仿宋_GB2312" w:hAnsi="仿宋" w:eastAsia="仿宋_GB2312" w:cs="仿宋"/>
          <w:b w:val="0"/>
          <w:bCs w:val="0"/>
          <w:color w:val="auto"/>
          <w:sz w:val="32"/>
          <w:szCs w:val="32"/>
          <w:highlight w:val="none"/>
          <w:u w:val="none"/>
        </w:rPr>
        <w:t>提请区政府</w:t>
      </w:r>
      <w:r>
        <w:rPr>
          <w:rFonts w:hint="eastAsia" w:ascii="仿宋_GB2312" w:hAnsi="仿宋" w:eastAsia="仿宋_GB2312" w:cs="仿宋"/>
          <w:b w:val="0"/>
          <w:bCs w:val="0"/>
          <w:color w:val="auto"/>
          <w:sz w:val="32"/>
          <w:szCs w:val="32"/>
          <w:highlight w:val="none"/>
          <w:u w:val="none"/>
          <w:lang w:eastAsia="zh-CN"/>
        </w:rPr>
        <w:t>常务会</w:t>
      </w:r>
      <w:r>
        <w:rPr>
          <w:rFonts w:hint="eastAsia" w:ascii="仿宋_GB2312" w:hAnsi="仿宋" w:eastAsia="仿宋_GB2312" w:cs="仿宋"/>
          <w:b w:val="0"/>
          <w:bCs w:val="0"/>
          <w:color w:val="auto"/>
          <w:sz w:val="32"/>
          <w:szCs w:val="32"/>
          <w:highlight w:val="none"/>
          <w:u w:val="none"/>
          <w:lang w:val="en-US" w:eastAsia="zh-CN"/>
        </w:rPr>
        <w:t>议</w:t>
      </w:r>
      <w:r>
        <w:rPr>
          <w:rFonts w:hint="eastAsia" w:ascii="仿宋_GB2312" w:hAnsi="仿宋" w:eastAsia="仿宋_GB2312" w:cs="仿宋"/>
          <w:b w:val="0"/>
          <w:bCs w:val="0"/>
          <w:color w:val="auto"/>
          <w:sz w:val="32"/>
          <w:szCs w:val="32"/>
          <w:highlight w:val="none"/>
          <w:u w:val="none"/>
          <w:lang w:eastAsia="zh-CN"/>
        </w:rPr>
        <w:t>审</w:t>
      </w:r>
      <w:r>
        <w:rPr>
          <w:rFonts w:hint="eastAsia" w:hAnsi="仿宋" w:cs="仿宋"/>
          <w:b w:val="0"/>
          <w:bCs w:val="0"/>
          <w:color w:val="auto"/>
          <w:sz w:val="32"/>
          <w:szCs w:val="32"/>
          <w:highlight w:val="none"/>
          <w:u w:val="none"/>
          <w:lang w:val="en-US" w:eastAsia="zh-CN"/>
        </w:rPr>
        <w:t>议</w:t>
      </w:r>
      <w:r>
        <w:rPr>
          <w:rFonts w:hint="eastAsia" w:ascii="仿宋_GB2312" w:hAnsi="仿宋" w:eastAsia="仿宋_GB2312" w:cs="仿宋"/>
          <w:b w:val="0"/>
          <w:bCs w:val="0"/>
          <w:color w:val="auto"/>
          <w:sz w:val="32"/>
          <w:szCs w:val="32"/>
          <w:highlight w:val="none"/>
          <w:u w:val="none"/>
        </w:rPr>
        <w:t>。</w:t>
      </w:r>
      <w:bookmarkStart w:id="2" w:name="OLE_LINK2"/>
    </w:p>
    <w:p w14:paraId="45053F16">
      <w:pPr>
        <w:spacing w:line="560" w:lineRule="exact"/>
        <w:ind w:firstLine="640"/>
        <w:rPr>
          <w:highlight w:val="none"/>
        </w:rPr>
      </w:pPr>
      <w:r>
        <w:rPr>
          <w:rFonts w:hint="eastAsia" w:ascii="仿宋_GB2312" w:hAnsi="仿宋" w:eastAsia="仿宋_GB2312" w:cs="仿宋"/>
          <w:b w:val="0"/>
          <w:bCs w:val="0"/>
          <w:color w:val="auto"/>
          <w:sz w:val="32"/>
          <w:szCs w:val="32"/>
          <w:highlight w:val="none"/>
          <w:u w:val="none"/>
          <w:lang w:val="en-US" w:eastAsia="zh-CN"/>
        </w:rPr>
        <w:t>因国有资本经营预算支出或审计产生的增减注册资本不列入上述审批，按现有程序执行。</w:t>
      </w:r>
    </w:p>
    <w:bookmarkEnd w:id="2"/>
    <w:p w14:paraId="352610C5">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企业国有资产交易应当按规定在依法设立的产权交易场所公开进行，按照法律、行政法规和国资监管规定可以直接协议交易的除外。</w:t>
      </w:r>
    </w:p>
    <w:p w14:paraId="00E7D77B">
      <w:pPr>
        <w:tabs>
          <w:tab w:val="left" w:pos="0"/>
        </w:tabs>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企业国有资产交易应当坚持公开、公平、公正原则，强化交易过程监管，杜绝国有资产流失。</w:t>
      </w:r>
    </w:p>
    <w:p w14:paraId="29DCC35A">
      <w:pPr>
        <w:tabs>
          <w:tab w:val="left" w:pos="0"/>
        </w:tabs>
        <w:spacing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上市公司的股份交易，应当依照证券</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的规定进行</w:t>
      </w:r>
      <w:r>
        <w:rPr>
          <w:rFonts w:hint="eastAsia" w:ascii="仿宋_GB2312" w:hAnsi="华文仿宋" w:eastAsia="仿宋_GB2312" w:cs="华文仿宋"/>
          <w:b w:val="0"/>
          <w:bCs w:val="0"/>
          <w:color w:val="auto"/>
          <w:sz w:val="32"/>
          <w:szCs w:val="32"/>
          <w:highlight w:val="none"/>
          <w:u w:val="none"/>
        </w:rPr>
        <w:t>。</w:t>
      </w:r>
    </w:p>
    <w:p w14:paraId="6F2E0CC5">
      <w:pPr>
        <w:spacing w:line="560" w:lineRule="exact"/>
        <w:ind w:firstLine="640"/>
        <w:rPr>
          <w:rFonts w:ascii="仿宋_GB2312" w:hAnsi="仿宋" w:eastAsia="仿宋_GB2312" w:cs="仿宋"/>
          <w:b w:val="0"/>
          <w:bCs w:val="0"/>
          <w:color w:val="auto"/>
          <w:sz w:val="32"/>
          <w:szCs w:val="32"/>
          <w:highlight w:val="none"/>
          <w:u w:val="none"/>
        </w:rPr>
      </w:pPr>
    </w:p>
    <w:p w14:paraId="7EB042F1">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第四章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财务管理</w:t>
      </w:r>
    </w:p>
    <w:p w14:paraId="756FE96D">
      <w:pPr>
        <w:numPr>
          <w:ilvl w:val="0"/>
          <w:numId w:val="1"/>
        </w:numPr>
        <w:spacing w:line="560" w:lineRule="exact"/>
        <w:ind w:left="0" w:firstLine="640" w:firstLineChars="200"/>
        <w:rPr>
          <w:rFonts w:hint="eastAsia" w:hAnsi="仿宋" w:cs="仿宋"/>
          <w:color w:val="auto"/>
          <w:highlight w:val="none"/>
        </w:rPr>
      </w:pPr>
      <w:r>
        <w:rPr>
          <w:rFonts w:hint="eastAsia" w:hAnsi="仿宋" w:cs="仿宋"/>
          <w:color w:val="auto"/>
          <w:highlight w:val="none"/>
        </w:rPr>
        <w:t>区国有企业应建立健全本企业财务制度，根据</w:t>
      </w:r>
      <w:r>
        <w:rPr>
          <w:rFonts w:hint="eastAsia" w:hAnsi="仿宋" w:cs="仿宋"/>
          <w:color w:val="auto"/>
          <w:highlight w:val="none"/>
          <w:lang w:eastAsia="zh-CN"/>
        </w:rPr>
        <w:t>本制度及</w:t>
      </w:r>
      <w:r>
        <w:rPr>
          <w:rFonts w:hint="eastAsia" w:hAnsi="仿宋" w:cs="仿宋"/>
          <w:color w:val="auto"/>
          <w:highlight w:val="none"/>
        </w:rPr>
        <w:t>区</w:t>
      </w:r>
      <w:r>
        <w:rPr>
          <w:rFonts w:hint="eastAsia" w:hAnsi="仿宋" w:cs="仿宋"/>
          <w:color w:val="auto"/>
          <w:highlight w:val="none"/>
          <w:lang w:eastAsia="zh-CN"/>
        </w:rPr>
        <w:t>国资监管部门</w:t>
      </w:r>
      <w:r>
        <w:rPr>
          <w:rFonts w:hint="eastAsia" w:hAnsi="仿宋" w:cs="仿宋"/>
          <w:color w:val="auto"/>
          <w:highlight w:val="none"/>
        </w:rPr>
        <w:t>相关规定</w:t>
      </w:r>
      <w:r>
        <w:rPr>
          <w:rFonts w:hint="eastAsia" w:hAnsi="仿宋" w:cs="仿宋"/>
          <w:color w:val="auto"/>
          <w:highlight w:val="none"/>
          <w:lang w:eastAsia="zh-CN"/>
        </w:rPr>
        <w:t>建立</w:t>
      </w:r>
      <w:r>
        <w:rPr>
          <w:rFonts w:hint="eastAsia" w:hAnsi="仿宋" w:cs="仿宋"/>
          <w:color w:val="auto"/>
          <w:highlight w:val="none"/>
        </w:rPr>
        <w:t>预算管理、资金管理、资产管理、财务管理、报销支付等财务制度体系，全面规范企业财务活动以及资产管理活动</w:t>
      </w:r>
      <w:r>
        <w:rPr>
          <w:rFonts w:hint="eastAsia" w:hAnsi="仿宋" w:cs="仿宋"/>
          <w:color w:val="auto"/>
          <w:highlight w:val="none"/>
          <w:lang w:eastAsia="zh-CN"/>
        </w:rPr>
        <w:t>，</w:t>
      </w:r>
      <w:r>
        <w:rPr>
          <w:rFonts w:hint="eastAsia" w:hAnsi="仿宋" w:cs="仿宋"/>
          <w:color w:val="auto"/>
          <w:highlight w:val="none"/>
          <w:lang w:val="en-US" w:eastAsia="zh-CN"/>
        </w:rPr>
        <w:t>相关制度报区国资监管部门备案。</w:t>
      </w:r>
    </w:p>
    <w:p w14:paraId="7719074C">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应按照中央八项规定精神，厉行节约、反对浪费，在财务制度中参照政府机关相关规定和标准明确会议、接待、差旅、培训等费用标准并严格执行。国家、省、市对国有企业上述费用标准另有规定的，从其规定。</w:t>
      </w:r>
    </w:p>
    <w:p w14:paraId="447DAD07">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直管企业应在战略、财务、市场、运营和法律等风险方面建立健全经营风险控制体系，完善公司法人治理结构，明确企业风险控制的组织机构及职责，开展经营风险评估，逐步完善全面风险管理策略和解决方案。</w:t>
      </w:r>
    </w:p>
    <w:p w14:paraId="4E8FE474">
      <w:pPr>
        <w:numPr>
          <w:ilvl w:val="0"/>
          <w:numId w:val="0"/>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直管企业应建立健全建设工程、大额采购、物业租赁等业务的内控管理制度，防范管理风险；建设工程、大额采购等业务应按有关规定公开招投标，并完善相关手续。</w:t>
      </w:r>
    </w:p>
    <w:p w14:paraId="6C9921B7">
      <w:pPr>
        <w:numPr>
          <w:ilvl w:val="0"/>
          <w:numId w:val="1"/>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区国有企业应依照《中华人民共和国会计法》及相关法律法规的要求，根据本企业经济活动的需要设置财务机构，配备必要的财务人员，明确责任，分工协作。</w:t>
      </w:r>
    </w:p>
    <w:p w14:paraId="74B2C42E">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区国有企业应建立全覆盖、全过程的全面预算管理制度，设立预算管理机构，</w:t>
      </w:r>
      <w:r>
        <w:rPr>
          <w:rFonts w:hint="eastAsia" w:hAnsi="仿宋" w:cs="仿宋"/>
          <w:b w:val="0"/>
          <w:bCs w:val="0"/>
          <w:color w:val="auto"/>
          <w:sz w:val="32"/>
          <w:szCs w:val="32"/>
          <w:highlight w:val="none"/>
          <w:u w:val="none"/>
          <w:lang w:val="en-US" w:eastAsia="zh-CN"/>
        </w:rPr>
        <w:t>组织</w:t>
      </w:r>
      <w:r>
        <w:rPr>
          <w:rFonts w:hint="eastAsia" w:ascii="仿宋_GB2312" w:hAnsi="仿宋" w:eastAsia="仿宋_GB2312" w:cs="仿宋"/>
          <w:b w:val="0"/>
          <w:bCs w:val="0"/>
          <w:color w:val="auto"/>
          <w:sz w:val="32"/>
          <w:szCs w:val="32"/>
          <w:highlight w:val="none"/>
          <w:u w:val="none"/>
        </w:rPr>
        <w:t>实施全面预算管理</w:t>
      </w:r>
      <w:r>
        <w:rPr>
          <w:rFonts w:hint="eastAsia" w:hAnsi="仿宋"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val="en-US" w:eastAsia="zh-CN"/>
        </w:rPr>
        <w:t>重点关注业务预算、</w:t>
      </w:r>
      <w:r>
        <w:rPr>
          <w:rFonts w:hint="eastAsia" w:ascii="仿宋_GB2312" w:hAnsi="仿宋" w:eastAsia="仿宋_GB2312" w:cs="仿宋"/>
          <w:b w:val="0"/>
          <w:bCs w:val="0"/>
          <w:color w:val="auto"/>
          <w:sz w:val="32"/>
          <w:szCs w:val="32"/>
          <w:highlight w:val="none"/>
          <w:u w:val="none"/>
        </w:rPr>
        <w:t>员工及薪酬</w:t>
      </w:r>
      <w:r>
        <w:rPr>
          <w:rFonts w:hint="eastAsia" w:hAnsi="仿宋" w:cs="仿宋"/>
          <w:b w:val="0"/>
          <w:bCs w:val="0"/>
          <w:color w:val="auto"/>
          <w:sz w:val="32"/>
          <w:szCs w:val="32"/>
          <w:highlight w:val="none"/>
          <w:u w:val="none"/>
          <w:lang w:val="en-US" w:eastAsia="zh-CN"/>
        </w:rPr>
        <w:t>预算</w:t>
      </w:r>
      <w:r>
        <w:rPr>
          <w:rFonts w:hint="eastAsia" w:ascii="仿宋_GB2312" w:hAnsi="仿宋" w:eastAsia="仿宋_GB2312" w:cs="仿宋"/>
          <w:b w:val="0"/>
          <w:bCs w:val="0"/>
          <w:color w:val="auto"/>
          <w:sz w:val="32"/>
          <w:szCs w:val="32"/>
          <w:highlight w:val="none"/>
          <w:u w:val="none"/>
        </w:rPr>
        <w:t>、投融资</w:t>
      </w:r>
      <w:r>
        <w:rPr>
          <w:rFonts w:hint="eastAsia" w:hAnsi="仿宋" w:cs="仿宋"/>
          <w:b w:val="0"/>
          <w:bCs w:val="0"/>
          <w:color w:val="auto"/>
          <w:sz w:val="32"/>
          <w:szCs w:val="32"/>
          <w:highlight w:val="none"/>
          <w:u w:val="none"/>
          <w:lang w:val="en-US" w:eastAsia="zh-CN"/>
        </w:rPr>
        <w:t>预算</w:t>
      </w:r>
      <w:r>
        <w:rPr>
          <w:rFonts w:hint="eastAsia" w:ascii="仿宋_GB2312" w:hAnsi="仿宋" w:eastAsia="仿宋_GB2312" w:cs="仿宋"/>
          <w:b w:val="0"/>
          <w:bCs w:val="0"/>
          <w:color w:val="auto"/>
          <w:sz w:val="32"/>
          <w:szCs w:val="32"/>
          <w:highlight w:val="none"/>
          <w:u w:val="none"/>
        </w:rPr>
        <w:t>、成本及费用</w:t>
      </w:r>
      <w:r>
        <w:rPr>
          <w:rFonts w:hint="eastAsia" w:hAnsi="仿宋" w:cs="仿宋"/>
          <w:b w:val="0"/>
          <w:bCs w:val="0"/>
          <w:color w:val="auto"/>
          <w:sz w:val="32"/>
          <w:szCs w:val="32"/>
          <w:highlight w:val="none"/>
          <w:u w:val="none"/>
          <w:lang w:val="en-US" w:eastAsia="zh-CN"/>
        </w:rPr>
        <w:t>预算</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现金流预算等，并跟进预算执行情况</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按照会计核算主体编制单体及合并预算资产负债表、损益表及现金流量表。</w:t>
      </w:r>
    </w:p>
    <w:p w14:paraId="03D1BC56">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直管企业应将年度预算方案（含所属企业）报送区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审批，区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依据预算方案向直管企业下达年度经营业绩指标，直管企业应当严格执行预算方案，在预算执行中因特殊情况需进行预算调整的，需经区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审批。</w:t>
      </w:r>
    </w:p>
    <w:p w14:paraId="1427EE98">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lang w:eastAsia="zh-CN"/>
        </w:rPr>
        <w:t>区国</w:t>
      </w:r>
      <w:r>
        <w:rPr>
          <w:rFonts w:hint="eastAsia" w:ascii="仿宋_GB2312" w:hAnsi="仿宋" w:eastAsia="仿宋_GB2312" w:cs="仿宋"/>
          <w:b w:val="0"/>
          <w:bCs w:val="0"/>
          <w:color w:val="auto"/>
          <w:sz w:val="32"/>
          <w:szCs w:val="32"/>
          <w:highlight w:val="none"/>
          <w:u w:val="none"/>
        </w:rPr>
        <w:t>有企业应</w:t>
      </w:r>
      <w:r>
        <w:rPr>
          <w:rFonts w:hint="eastAsia" w:ascii="仿宋_GB2312" w:hAnsi="仿宋" w:eastAsia="仿宋_GB2312" w:cs="仿宋"/>
          <w:b w:val="0"/>
          <w:bCs w:val="0"/>
          <w:color w:val="auto"/>
          <w:kern w:val="0"/>
          <w:sz w:val="32"/>
          <w:szCs w:val="32"/>
          <w:highlight w:val="none"/>
          <w:u w:val="none"/>
        </w:rPr>
        <w:t>严格执行年度预算，</w:t>
      </w:r>
      <w:r>
        <w:rPr>
          <w:rFonts w:hint="eastAsia" w:ascii="仿宋_GB2312" w:hAnsi="仿宋" w:eastAsia="仿宋_GB2312" w:cs="仿宋"/>
          <w:b w:val="0"/>
          <w:bCs w:val="0"/>
          <w:color w:val="auto"/>
          <w:sz w:val="32"/>
          <w:szCs w:val="32"/>
          <w:highlight w:val="none"/>
          <w:u w:val="none"/>
        </w:rPr>
        <w:t>控制费用支出，按照相关法律法规、企业财务制度和年度预算</w:t>
      </w:r>
      <w:r>
        <w:rPr>
          <w:rFonts w:hint="eastAsia" w:ascii="仿宋_GB2312" w:hAnsi="仿宋" w:eastAsia="仿宋_GB2312" w:cs="仿宋"/>
          <w:b w:val="0"/>
          <w:bCs w:val="0"/>
          <w:color w:val="auto"/>
          <w:sz w:val="32"/>
          <w:szCs w:val="32"/>
          <w:highlight w:val="none"/>
          <w:u w:val="none"/>
          <w:lang w:eastAsia="zh-CN"/>
        </w:rPr>
        <w:t>方案规定</w:t>
      </w:r>
      <w:r>
        <w:rPr>
          <w:rFonts w:hint="eastAsia" w:ascii="仿宋_GB2312" w:hAnsi="仿宋" w:eastAsia="仿宋_GB2312" w:cs="仿宋"/>
          <w:b w:val="0"/>
          <w:bCs w:val="0"/>
          <w:color w:val="auto"/>
          <w:sz w:val="32"/>
          <w:szCs w:val="32"/>
          <w:highlight w:val="none"/>
          <w:u w:val="none"/>
        </w:rPr>
        <w:t>审核费用报销、资金支付事项。</w:t>
      </w:r>
    </w:p>
    <w:p w14:paraId="0EF63F88">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kern w:val="0"/>
          <w:sz w:val="32"/>
          <w:szCs w:val="32"/>
          <w:highlight w:val="none"/>
          <w:u w:val="none"/>
        </w:rPr>
        <w:t>区国有企业财务部门应认真贯彻执行国家有关财务管理制度及本企业财务制度，完善会计核算管理，开展经济运行分析，</w:t>
      </w:r>
      <w:r>
        <w:rPr>
          <w:rFonts w:hint="eastAsia" w:hAnsi="仿宋" w:cs="仿宋"/>
          <w:b w:val="0"/>
          <w:bCs w:val="0"/>
          <w:color w:val="auto"/>
          <w:kern w:val="0"/>
          <w:sz w:val="32"/>
          <w:szCs w:val="32"/>
          <w:highlight w:val="none"/>
          <w:u w:val="none"/>
          <w:lang w:val="en-US" w:eastAsia="zh-CN"/>
        </w:rPr>
        <w:t>按季跟踪分析预算执行情况，并</w:t>
      </w:r>
      <w:r>
        <w:rPr>
          <w:rFonts w:hint="eastAsia" w:ascii="仿宋_GB2312" w:hAnsi="仿宋" w:eastAsia="仿宋_GB2312" w:cs="仿宋"/>
          <w:b w:val="0"/>
          <w:bCs w:val="0"/>
          <w:color w:val="auto"/>
          <w:kern w:val="0"/>
          <w:sz w:val="32"/>
          <w:szCs w:val="32"/>
          <w:highlight w:val="none"/>
          <w:u w:val="none"/>
        </w:rPr>
        <w:t>对企业经营和财务管理提出建议</w:t>
      </w:r>
      <w:r>
        <w:rPr>
          <w:rFonts w:hint="eastAsia" w:ascii="仿宋_GB2312" w:hAnsi="仿宋" w:eastAsia="仿宋_GB2312" w:cs="仿宋"/>
          <w:b w:val="0"/>
          <w:bCs w:val="0"/>
          <w:color w:val="auto"/>
          <w:kern w:val="0"/>
          <w:sz w:val="32"/>
          <w:szCs w:val="32"/>
          <w:highlight w:val="none"/>
          <w:u w:val="none"/>
          <w:lang w:eastAsia="zh-CN"/>
        </w:rPr>
        <w:t>。</w:t>
      </w:r>
    </w:p>
    <w:p w14:paraId="46AE2513">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的资产损失核销实行分级管理、分级审批。</w:t>
      </w:r>
    </w:p>
    <w:p w14:paraId="277C7B4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直管企业应及时足额上缴国有资产收益。国有资产收益上缴情况列入直管企业主要负责人经营业绩考核的内容。</w:t>
      </w:r>
    </w:p>
    <w:p w14:paraId="357BCF8F">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通过委派财务总监、组织年度预算、财务决算和财务审计等方式，对直管企业</w:t>
      </w:r>
      <w:r>
        <w:rPr>
          <w:rFonts w:hint="eastAsia" w:hAnsi="仿宋" w:cs="仿宋"/>
          <w:b w:val="0"/>
          <w:bCs w:val="0"/>
          <w:color w:val="auto"/>
          <w:sz w:val="32"/>
          <w:szCs w:val="32"/>
          <w:highlight w:val="none"/>
          <w:u w:val="none"/>
          <w:lang w:val="en-US" w:eastAsia="zh-CN"/>
        </w:rPr>
        <w:t>及其所属企业</w:t>
      </w:r>
      <w:r>
        <w:rPr>
          <w:rFonts w:hint="eastAsia" w:ascii="仿宋_GB2312" w:hAnsi="仿宋" w:eastAsia="仿宋_GB2312" w:cs="仿宋"/>
          <w:b w:val="0"/>
          <w:bCs w:val="0"/>
          <w:color w:val="auto"/>
          <w:sz w:val="32"/>
          <w:szCs w:val="32"/>
          <w:highlight w:val="none"/>
          <w:u w:val="none"/>
        </w:rPr>
        <w:t>的财务进行监督管理。</w:t>
      </w:r>
    </w:p>
    <w:p w14:paraId="1389AD55">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负责财务总监管理制度制定和监督实施，并负责财务总监的选拔、聘用、委派、推荐、交流、培训和考核等日常管理工作。</w:t>
      </w:r>
    </w:p>
    <w:p w14:paraId="05C78BF8">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对直管企业经营业绩、全面预算执行情况和财务管理情况进行考核，考核结果列入直管企业负责人绩效考核的内容，与直管企业负责人的薪酬挂钩。</w:t>
      </w:r>
    </w:p>
    <w:p w14:paraId="4DAEC28E">
      <w:pPr>
        <w:spacing w:line="560" w:lineRule="exact"/>
        <w:ind w:firstLine="640"/>
        <w:rPr>
          <w:rFonts w:ascii="仿宋_GB2312" w:hAnsi="仿宋" w:eastAsia="仿宋_GB2312" w:cs="仿宋"/>
          <w:b w:val="0"/>
          <w:bCs w:val="0"/>
          <w:color w:val="auto"/>
          <w:sz w:val="32"/>
          <w:szCs w:val="32"/>
          <w:highlight w:val="none"/>
          <w:u w:val="none"/>
        </w:rPr>
      </w:pPr>
    </w:p>
    <w:p w14:paraId="5ABFDC45">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第五章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投融资管理</w:t>
      </w:r>
    </w:p>
    <w:p w14:paraId="6647BDAB">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资监管部门依法依规对区国有企业投融资及担保活动履行监督管理职责，重点强化风险防控和事后评价。除法律法规及本规定明确禁止或须报批的事项外，投融资及担保决策权由企业依据其内部治理程序和授权体系自主行使。</w:t>
      </w:r>
    </w:p>
    <w:p w14:paraId="0EE4D5CD">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企业投资应坚持审慎原则，开展可行性研究论证工作，建立科学、民主、规范的投资决策规程。</w:t>
      </w:r>
    </w:p>
    <w:p w14:paraId="15270985">
      <w:pPr>
        <w:spacing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投资项目涉及收购股权、资产或以非货币资产对外投资的，应当聘请具有相应资质的评估机构进行资产评估</w:t>
      </w:r>
      <w:r>
        <w:rPr>
          <w:rFonts w:hint="eastAsia" w:ascii="仿宋_GB2312" w:hAnsi="仿宋" w:eastAsia="仿宋_GB2312" w:cs="仿宋"/>
          <w:b w:val="0"/>
          <w:bCs w:val="0"/>
          <w:color w:val="auto"/>
          <w:kern w:val="2"/>
          <w:sz w:val="32"/>
          <w:szCs w:val="32"/>
          <w:highlight w:val="none"/>
          <w:u w:val="none"/>
          <w:lang w:val="en-US" w:eastAsia="zh-CN" w:bidi="ar-SA"/>
        </w:rPr>
        <w:t>（估值）</w:t>
      </w:r>
      <w:r>
        <w:rPr>
          <w:rFonts w:hint="eastAsia" w:ascii="仿宋_GB2312" w:hAnsi="仿宋" w:eastAsia="仿宋_GB2312" w:cs="仿宋"/>
          <w:b w:val="0"/>
          <w:bCs w:val="0"/>
          <w:color w:val="auto"/>
          <w:sz w:val="32"/>
          <w:szCs w:val="32"/>
          <w:highlight w:val="none"/>
          <w:u w:val="none"/>
        </w:rPr>
        <w:t>，涉及企业股权的，还应聘请具有相应资质的</w:t>
      </w:r>
      <w:r>
        <w:rPr>
          <w:rFonts w:hint="eastAsia" w:ascii="仿宋_GB2312" w:hAnsi="仿宋" w:eastAsia="仿宋_GB2312" w:cs="仿宋"/>
          <w:b w:val="0"/>
          <w:bCs w:val="0"/>
          <w:color w:val="auto"/>
          <w:kern w:val="2"/>
          <w:sz w:val="32"/>
          <w:szCs w:val="32"/>
          <w:highlight w:val="none"/>
          <w:u w:val="none"/>
          <w:lang w:val="en-US" w:eastAsia="zh-CN" w:bidi="ar-SA"/>
        </w:rPr>
        <w:t>中介机构开展必要的尽职调查</w:t>
      </w:r>
      <w:r>
        <w:rPr>
          <w:rFonts w:hint="eastAsia" w:ascii="仿宋_GB2312" w:hAnsi="仿宋" w:eastAsia="仿宋_GB2312" w:cs="仿宋"/>
          <w:b w:val="0"/>
          <w:bCs w:val="0"/>
          <w:color w:val="auto"/>
          <w:sz w:val="32"/>
          <w:szCs w:val="32"/>
          <w:highlight w:val="none"/>
          <w:u w:val="none"/>
        </w:rPr>
        <w:t>。资产评估</w:t>
      </w:r>
      <w:r>
        <w:rPr>
          <w:rFonts w:hint="eastAsia" w:ascii="仿宋_GB2312" w:hAnsi="仿宋" w:eastAsia="仿宋_GB2312" w:cs="仿宋"/>
          <w:b w:val="0"/>
          <w:bCs w:val="0"/>
          <w:color w:val="auto"/>
          <w:kern w:val="2"/>
          <w:sz w:val="32"/>
          <w:szCs w:val="32"/>
          <w:highlight w:val="none"/>
          <w:u w:val="none"/>
          <w:lang w:val="en-US" w:eastAsia="zh-CN" w:bidi="ar-SA"/>
        </w:rPr>
        <w:t>（估值）</w:t>
      </w:r>
      <w:r>
        <w:rPr>
          <w:rFonts w:hint="eastAsia" w:ascii="仿宋_GB2312" w:hAnsi="仿宋" w:eastAsia="仿宋_GB2312" w:cs="仿宋"/>
          <w:b w:val="0"/>
          <w:bCs w:val="0"/>
          <w:color w:val="auto"/>
          <w:sz w:val="32"/>
          <w:szCs w:val="32"/>
          <w:highlight w:val="none"/>
          <w:u w:val="none"/>
        </w:rPr>
        <w:t>报告应当按照有关规定履行核准或备案程序，经核准或备案后的评估</w:t>
      </w:r>
      <w:r>
        <w:rPr>
          <w:rFonts w:hint="eastAsia" w:ascii="仿宋_GB2312" w:hAnsi="仿宋" w:eastAsia="仿宋_GB2312" w:cs="仿宋"/>
          <w:b w:val="0"/>
          <w:bCs w:val="0"/>
          <w:color w:val="auto"/>
          <w:kern w:val="2"/>
          <w:sz w:val="32"/>
          <w:szCs w:val="32"/>
          <w:highlight w:val="none"/>
          <w:u w:val="none"/>
          <w:lang w:val="en-US" w:eastAsia="zh-CN" w:bidi="ar-SA"/>
        </w:rPr>
        <w:t>（估值）</w:t>
      </w:r>
      <w:r>
        <w:rPr>
          <w:rFonts w:hint="eastAsia" w:ascii="仿宋_GB2312" w:hAnsi="仿宋" w:eastAsia="仿宋_GB2312" w:cs="仿宋"/>
          <w:b w:val="0"/>
          <w:bCs w:val="0"/>
          <w:color w:val="auto"/>
          <w:sz w:val="32"/>
          <w:szCs w:val="32"/>
          <w:highlight w:val="none"/>
          <w:u w:val="none"/>
        </w:rPr>
        <w:t>结果作为对外投资的价值参考。</w:t>
      </w:r>
    </w:p>
    <w:p w14:paraId="6C1F3A2C">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为企业投资的实施主体和责任主体，对商业性投资项目的落实、投资效益、风险控制及投资结果全面负责。对尚未按规定完成前期研究论证工作和决策程序的投资项目，不得进行实际投资，不得签订具有法律约束力的相关协议。</w:t>
      </w:r>
    </w:p>
    <w:p w14:paraId="29D69763">
      <w:pPr>
        <w:numPr>
          <w:ilvl w:val="0"/>
          <w:numId w:val="1"/>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区政府指定直管企业承担的投资项目，</w:t>
      </w:r>
      <w:r>
        <w:rPr>
          <w:rFonts w:hint="eastAsia" w:hAnsi="仿宋" w:cs="仿宋"/>
          <w:b w:val="0"/>
          <w:bCs w:val="0"/>
          <w:color w:val="auto"/>
          <w:sz w:val="32"/>
          <w:szCs w:val="32"/>
          <w:highlight w:val="none"/>
          <w:u w:val="none"/>
          <w:lang w:eastAsia="zh-CN"/>
        </w:rPr>
        <w:t>直管企业</w:t>
      </w:r>
      <w:r>
        <w:rPr>
          <w:rFonts w:hint="eastAsia" w:ascii="仿宋_GB2312" w:hAnsi="仿宋" w:eastAsia="仿宋_GB2312" w:cs="仿宋"/>
          <w:b w:val="0"/>
          <w:bCs w:val="0"/>
          <w:color w:val="auto"/>
          <w:sz w:val="32"/>
          <w:szCs w:val="32"/>
          <w:highlight w:val="none"/>
          <w:u w:val="none"/>
        </w:rPr>
        <w:t>须按区政府相关文件的要求负责项目的落实。</w:t>
      </w:r>
    </w:p>
    <w:p w14:paraId="68D16931">
      <w:pPr>
        <w:spacing w:line="560" w:lineRule="exact"/>
        <w:jc w:val="center"/>
        <w:rPr>
          <w:rFonts w:hint="eastAsia" w:ascii="黑体" w:hAnsi="黑体" w:eastAsia="黑体" w:cs="仿宋"/>
          <w:b w:val="0"/>
          <w:bCs w:val="0"/>
          <w:color w:val="auto"/>
          <w:sz w:val="32"/>
          <w:szCs w:val="32"/>
          <w:highlight w:val="none"/>
          <w:u w:val="none"/>
        </w:rPr>
      </w:pPr>
    </w:p>
    <w:p w14:paraId="0D6858BD">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第六章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人事管理</w:t>
      </w:r>
    </w:p>
    <w:p w14:paraId="75BB2402">
      <w:pPr>
        <w:numPr>
          <w:ilvl w:val="0"/>
          <w:numId w:val="1"/>
        </w:numPr>
        <w:spacing w:line="560" w:lineRule="exact"/>
        <w:ind w:left="0" w:firstLine="640" w:firstLineChars="200"/>
        <w:rPr>
          <w:rStyle w:val="11"/>
          <w:rFonts w:ascii="仿宋_GB2312" w:hAnsi="仿宋" w:eastAsia="仿宋_GB2312" w:cs="仿宋"/>
          <w:b w:val="0"/>
          <w:bCs w:val="0"/>
          <w:color w:val="auto"/>
          <w:sz w:val="32"/>
          <w:szCs w:val="32"/>
          <w:highlight w:val="none"/>
          <w:u w:val="none"/>
        </w:rPr>
      </w:pPr>
      <w:r>
        <w:rPr>
          <w:rStyle w:val="11"/>
          <w:rFonts w:hint="eastAsia" w:ascii="仿宋_GB2312" w:hAnsi="仿宋" w:eastAsia="仿宋_GB2312" w:cs="仿宋"/>
          <w:b w:val="0"/>
          <w:bCs w:val="0"/>
          <w:color w:val="auto"/>
          <w:sz w:val="32"/>
          <w:szCs w:val="32"/>
          <w:highlight w:val="none"/>
          <w:u w:val="none"/>
        </w:rPr>
        <w:t>区国有</w:t>
      </w:r>
      <w:r>
        <w:rPr>
          <w:rFonts w:hint="eastAsia" w:ascii="仿宋_GB2312" w:eastAsia="仿宋_GB2312"/>
          <w:b w:val="0"/>
          <w:bCs w:val="0"/>
          <w:color w:val="auto"/>
          <w:sz w:val="32"/>
          <w:szCs w:val="32"/>
          <w:highlight w:val="none"/>
          <w:u w:val="none"/>
        </w:rPr>
        <w:t>企业</w:t>
      </w:r>
      <w:r>
        <w:rPr>
          <w:rStyle w:val="11"/>
          <w:rFonts w:hint="eastAsia" w:ascii="仿宋_GB2312" w:hAnsi="仿宋" w:eastAsia="仿宋_GB2312" w:cs="仿宋"/>
          <w:b w:val="0"/>
          <w:bCs w:val="0"/>
          <w:color w:val="auto"/>
          <w:sz w:val="32"/>
          <w:szCs w:val="32"/>
          <w:highlight w:val="none"/>
          <w:u w:val="none"/>
        </w:rPr>
        <w:t>实行定岗定员、以岗定薪、岗变薪变、以合同制管理为核心、以岗位管理为基础的用人机制。</w:t>
      </w:r>
    </w:p>
    <w:p w14:paraId="7FFD9CC8">
      <w:pPr>
        <w:numPr>
          <w:ilvl w:val="0"/>
          <w:numId w:val="1"/>
        </w:numPr>
        <w:spacing w:line="560" w:lineRule="exact"/>
        <w:ind w:left="0" w:firstLine="640" w:firstLineChars="200"/>
        <w:rPr>
          <w:rStyle w:val="11"/>
          <w:rFonts w:ascii="仿宋_GB2312" w:hAnsi="仿宋" w:eastAsia="仿宋_GB2312" w:cs="仿宋"/>
          <w:b w:val="0"/>
          <w:bCs w:val="0"/>
          <w:color w:val="auto"/>
          <w:sz w:val="32"/>
          <w:szCs w:val="32"/>
          <w:highlight w:val="none"/>
          <w:u w:val="none"/>
        </w:rPr>
      </w:pPr>
      <w:r>
        <w:rPr>
          <w:rStyle w:val="11"/>
          <w:rFonts w:hint="eastAsia" w:ascii="仿宋_GB2312" w:hAnsi="仿宋" w:eastAsia="仿宋_GB2312" w:cs="仿宋"/>
          <w:b w:val="0"/>
          <w:bCs w:val="0"/>
          <w:color w:val="auto"/>
          <w:sz w:val="32"/>
          <w:szCs w:val="32"/>
          <w:highlight w:val="none"/>
          <w:u w:val="none"/>
          <w:lang w:eastAsia="zh-CN"/>
        </w:rPr>
        <w:t>直管企业</w:t>
      </w:r>
      <w:r>
        <w:rPr>
          <w:rStyle w:val="11"/>
          <w:rFonts w:hint="eastAsia" w:ascii="仿宋_GB2312" w:hAnsi="仿宋" w:eastAsia="仿宋_GB2312" w:cs="仿宋"/>
          <w:b w:val="0"/>
          <w:bCs w:val="0"/>
          <w:color w:val="auto"/>
          <w:sz w:val="32"/>
          <w:szCs w:val="32"/>
          <w:highlight w:val="none"/>
          <w:u w:val="none"/>
        </w:rPr>
        <w:t>负责起草定岗定员方案（含所属企业），报区</w:t>
      </w:r>
      <w:r>
        <w:rPr>
          <w:rStyle w:val="11"/>
          <w:rFonts w:hint="eastAsia" w:hAnsi="仿宋" w:cs="仿宋"/>
          <w:b w:val="0"/>
          <w:bCs w:val="0"/>
          <w:color w:val="auto"/>
          <w:sz w:val="32"/>
          <w:szCs w:val="32"/>
          <w:highlight w:val="none"/>
          <w:u w:val="none"/>
          <w:lang w:eastAsia="zh-CN"/>
        </w:rPr>
        <w:t>国资监管部门备案</w:t>
      </w:r>
      <w:r>
        <w:rPr>
          <w:rStyle w:val="11"/>
          <w:rFonts w:hint="eastAsia" w:ascii="仿宋_GB2312" w:hAnsi="仿宋" w:eastAsia="仿宋_GB2312" w:cs="仿宋"/>
          <w:b w:val="0"/>
          <w:bCs w:val="0"/>
          <w:color w:val="auto"/>
          <w:sz w:val="32"/>
          <w:szCs w:val="32"/>
          <w:highlight w:val="none"/>
          <w:u w:val="none"/>
        </w:rPr>
        <w:t>。</w:t>
      </w:r>
    </w:p>
    <w:p w14:paraId="069E848A">
      <w:pPr>
        <w:spacing w:line="560" w:lineRule="exact"/>
        <w:ind w:firstLine="640" w:firstLineChars="200"/>
        <w:rPr>
          <w:rStyle w:val="11"/>
          <w:rFonts w:ascii="仿宋_GB2312" w:hAnsi="仿宋" w:eastAsia="仿宋_GB2312" w:cs="仿宋"/>
          <w:b w:val="0"/>
          <w:bCs w:val="0"/>
          <w:color w:val="auto"/>
          <w:sz w:val="32"/>
          <w:szCs w:val="32"/>
          <w:highlight w:val="none"/>
          <w:u w:val="none"/>
        </w:rPr>
      </w:pPr>
      <w:r>
        <w:rPr>
          <w:rStyle w:val="11"/>
          <w:rFonts w:hint="eastAsia" w:ascii="仿宋_GB2312" w:hAnsi="仿宋" w:eastAsia="仿宋_GB2312" w:cs="仿宋"/>
          <w:b w:val="0"/>
          <w:bCs w:val="0"/>
          <w:color w:val="auto"/>
          <w:sz w:val="32"/>
          <w:szCs w:val="32"/>
          <w:highlight w:val="none"/>
          <w:u w:val="none"/>
        </w:rPr>
        <w:t>区国有企业在定岗定员方案规定的员额总数内，根据实际用工需求编制年度用工计划。区国有企业员工录用坚持德才兼备的用人标准，贯彻公开、公平、择优、竞争的用人原则，可采用校招、社招等多种公开招聘方式。</w:t>
      </w:r>
    </w:p>
    <w:p w14:paraId="1D1F97A2">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Style w:val="11"/>
          <w:rFonts w:hint="eastAsia" w:ascii="仿宋_GB2312" w:hAnsi="仿宋" w:eastAsia="仿宋_GB2312" w:cs="仿宋"/>
          <w:b w:val="0"/>
          <w:bCs w:val="0"/>
          <w:color w:val="auto"/>
          <w:sz w:val="32"/>
          <w:szCs w:val="32"/>
          <w:highlight w:val="none"/>
          <w:u w:val="none"/>
        </w:rPr>
        <w:t>区国有企业应提倡减员增效。用人需求应优先在</w:t>
      </w:r>
      <w:r>
        <w:rPr>
          <w:rStyle w:val="11"/>
          <w:rFonts w:hint="eastAsia" w:hAnsi="仿宋" w:cs="仿宋"/>
          <w:b w:val="0"/>
          <w:bCs w:val="0"/>
          <w:color w:val="auto"/>
          <w:sz w:val="32"/>
          <w:szCs w:val="32"/>
          <w:highlight w:val="none"/>
          <w:u w:val="none"/>
          <w:lang w:eastAsia="zh-CN"/>
        </w:rPr>
        <w:t>本企业系统内</w:t>
      </w:r>
      <w:r>
        <w:rPr>
          <w:rStyle w:val="11"/>
          <w:rFonts w:hint="eastAsia" w:ascii="仿宋_GB2312" w:hAnsi="仿宋" w:eastAsia="仿宋_GB2312" w:cs="仿宋"/>
          <w:b w:val="0"/>
          <w:bCs w:val="0"/>
          <w:color w:val="auto"/>
          <w:sz w:val="32"/>
          <w:szCs w:val="32"/>
          <w:highlight w:val="none"/>
          <w:u w:val="none"/>
        </w:rPr>
        <w:t>统筹安排和调配解决</w:t>
      </w:r>
      <w:r>
        <w:rPr>
          <w:rStyle w:val="11"/>
          <w:rFonts w:hint="eastAsia" w:hAnsi="仿宋" w:cs="仿宋"/>
          <w:b w:val="0"/>
          <w:bCs w:val="0"/>
          <w:color w:val="auto"/>
          <w:sz w:val="32"/>
          <w:szCs w:val="32"/>
          <w:highlight w:val="none"/>
          <w:u w:val="none"/>
          <w:lang w:eastAsia="zh-CN"/>
        </w:rPr>
        <w:t>。</w:t>
      </w:r>
    </w:p>
    <w:p w14:paraId="3352A0C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企业领导人员的选拔任用管理按照区委、区政府印发的相关规定执行</w:t>
      </w:r>
      <w:r>
        <w:rPr>
          <w:rFonts w:hint="eastAsia" w:ascii="仿宋_GB2312" w:hAnsi="仿宋" w:eastAsia="仿宋_GB2312" w:cs="仿宋"/>
          <w:b w:val="0"/>
          <w:bCs w:val="0"/>
          <w:color w:val="auto"/>
          <w:sz w:val="32"/>
          <w:szCs w:val="32"/>
          <w:highlight w:val="none"/>
          <w:u w:val="none"/>
        </w:rPr>
        <w:t>。</w:t>
      </w:r>
    </w:p>
    <w:p w14:paraId="12F5FB04">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Style w:val="11"/>
          <w:rFonts w:hint="eastAsia" w:ascii="仿宋_GB2312" w:hAnsi="仿宋" w:eastAsia="仿宋_GB2312" w:cs="仿宋"/>
          <w:b w:val="0"/>
          <w:bCs w:val="0"/>
          <w:color w:val="auto"/>
          <w:sz w:val="32"/>
          <w:szCs w:val="32"/>
          <w:highlight w:val="none"/>
          <w:u w:val="none"/>
        </w:rPr>
        <w:t>区</w:t>
      </w:r>
      <w:r>
        <w:rPr>
          <w:rStyle w:val="11"/>
          <w:rFonts w:hint="eastAsia" w:hAnsi="仿宋" w:cs="仿宋"/>
          <w:b w:val="0"/>
          <w:bCs w:val="0"/>
          <w:color w:val="auto"/>
          <w:sz w:val="32"/>
          <w:szCs w:val="32"/>
          <w:highlight w:val="none"/>
          <w:u w:val="none"/>
          <w:lang w:eastAsia="zh-CN"/>
        </w:rPr>
        <w:t>国资监管部门</w:t>
      </w:r>
      <w:r>
        <w:rPr>
          <w:rStyle w:val="11"/>
          <w:rFonts w:hint="eastAsia" w:ascii="仿宋_GB2312" w:hAnsi="仿宋" w:eastAsia="仿宋_GB2312" w:cs="仿宋"/>
          <w:b w:val="0"/>
          <w:bCs w:val="0"/>
          <w:color w:val="auto"/>
          <w:sz w:val="32"/>
          <w:szCs w:val="32"/>
          <w:highlight w:val="none"/>
          <w:u w:val="none"/>
        </w:rPr>
        <w:t>根据监管制度、股东协议和章程，向企业委派或推荐财务总监，财务总监向区</w:t>
      </w:r>
      <w:r>
        <w:rPr>
          <w:rStyle w:val="11"/>
          <w:rFonts w:hint="eastAsia" w:hAnsi="仿宋" w:cs="仿宋"/>
          <w:b w:val="0"/>
          <w:bCs w:val="0"/>
          <w:color w:val="auto"/>
          <w:sz w:val="32"/>
          <w:szCs w:val="32"/>
          <w:highlight w:val="none"/>
          <w:u w:val="none"/>
          <w:lang w:eastAsia="zh-CN"/>
        </w:rPr>
        <w:t>国资监管部门</w:t>
      </w:r>
      <w:r>
        <w:rPr>
          <w:rStyle w:val="11"/>
          <w:rFonts w:hint="eastAsia" w:ascii="仿宋_GB2312" w:hAnsi="仿宋" w:eastAsia="仿宋_GB2312" w:cs="仿宋"/>
          <w:b w:val="0"/>
          <w:bCs w:val="0"/>
          <w:color w:val="auto"/>
          <w:sz w:val="32"/>
          <w:szCs w:val="32"/>
          <w:highlight w:val="none"/>
          <w:u w:val="none"/>
        </w:rPr>
        <w:t>负责，依法指导和监督企业会计、财务管理工作</w:t>
      </w:r>
      <w:r>
        <w:rPr>
          <w:rFonts w:hint="eastAsia" w:ascii="仿宋_GB2312" w:hAnsi="仿宋" w:eastAsia="仿宋_GB2312" w:cs="仿宋"/>
          <w:b w:val="0"/>
          <w:bCs w:val="0"/>
          <w:color w:val="auto"/>
          <w:sz w:val="32"/>
          <w:szCs w:val="32"/>
          <w:highlight w:val="none"/>
          <w:u w:val="none"/>
        </w:rPr>
        <w:t>。</w:t>
      </w:r>
    </w:p>
    <w:p w14:paraId="75BC2DB1">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直管企业应当成立</w:t>
      </w:r>
      <w:r>
        <w:rPr>
          <w:rFonts w:hint="eastAsia" w:hAnsi="仿宋" w:cs="仿宋"/>
          <w:b w:val="0"/>
          <w:bCs w:val="0"/>
          <w:color w:val="auto"/>
          <w:sz w:val="32"/>
          <w:szCs w:val="32"/>
          <w:highlight w:val="none"/>
          <w:u w:val="none"/>
          <w:lang w:eastAsia="zh-CN"/>
        </w:rPr>
        <w:t>廉洁合规委员会</w:t>
      </w:r>
      <w:r>
        <w:rPr>
          <w:rFonts w:hint="eastAsia" w:ascii="仿宋_GB2312" w:hAnsi="仿宋" w:eastAsia="仿宋_GB2312" w:cs="仿宋"/>
          <w:b w:val="0"/>
          <w:bCs w:val="0"/>
          <w:color w:val="auto"/>
          <w:sz w:val="32"/>
          <w:szCs w:val="32"/>
          <w:highlight w:val="none"/>
          <w:u w:val="none"/>
        </w:rPr>
        <w:t>，作为企业的常设监督机构，统筹纪检监察、财务总监、内部审计、内部控制、全面风险管理等监督力量。</w:t>
      </w:r>
    </w:p>
    <w:p w14:paraId="4501CAFE">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各直管企业应参照《干部人事档案工作条例》，建立健全人事档案管理的规章制度和工作机制，设立人事档案工作机构（含人事档案工作岗位）。</w:t>
      </w:r>
    </w:p>
    <w:p w14:paraId="72D143E7">
      <w:pPr>
        <w:numPr>
          <w:ilvl w:val="0"/>
          <w:numId w:val="1"/>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eastAsia" w:hAnsi="仿宋" w:cs="仿宋"/>
          <w:b w:val="0"/>
          <w:bCs w:val="0"/>
          <w:color w:val="auto"/>
          <w:sz w:val="32"/>
          <w:szCs w:val="32"/>
          <w:highlight w:val="none"/>
          <w:u w:val="none"/>
          <w:lang w:eastAsia="zh-CN"/>
        </w:rPr>
        <w:t>国资监管部门</w:t>
      </w:r>
      <w:r>
        <w:rPr>
          <w:rFonts w:hint="eastAsia" w:ascii="仿宋_GB2312" w:hAnsi="仿宋" w:eastAsia="仿宋_GB2312" w:cs="仿宋"/>
          <w:b w:val="0"/>
          <w:bCs w:val="0"/>
          <w:color w:val="auto"/>
          <w:sz w:val="32"/>
          <w:szCs w:val="32"/>
          <w:highlight w:val="none"/>
          <w:u w:val="none"/>
        </w:rPr>
        <w:t>结合区国有企业及行政事业单位的意见，负责组建区国有企业后备人才储备库和专业人才储备库，</w:t>
      </w:r>
      <w:r>
        <w:rPr>
          <w:rFonts w:hint="eastAsia" w:hAnsi="仿宋" w:cs="仿宋"/>
          <w:color w:val="auto"/>
          <w:highlight w:val="none"/>
          <w:u w:val="none"/>
        </w:rPr>
        <w:t>按照干部管理权限，</w:t>
      </w:r>
      <w:r>
        <w:rPr>
          <w:rFonts w:hint="eastAsia" w:ascii="仿宋_GB2312" w:hAnsi="仿宋" w:eastAsia="仿宋_GB2312" w:cs="仿宋"/>
          <w:b w:val="0"/>
          <w:bCs w:val="0"/>
          <w:color w:val="auto"/>
          <w:sz w:val="32"/>
          <w:szCs w:val="32"/>
          <w:highlight w:val="none"/>
          <w:u w:val="none"/>
        </w:rPr>
        <w:t>负责后备人才和专业人才的选拔、培养、推荐任用。</w:t>
      </w:r>
    </w:p>
    <w:p w14:paraId="121997D3">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w:t>
      </w:r>
      <w:r>
        <w:rPr>
          <w:rFonts w:hint="eastAsia" w:hAnsi="仿宋" w:cs="仿宋"/>
          <w:b w:val="0"/>
          <w:bCs w:val="0"/>
          <w:color w:val="auto"/>
          <w:sz w:val="32"/>
          <w:szCs w:val="32"/>
          <w:highlight w:val="none"/>
          <w:u w:val="none"/>
          <w:lang w:eastAsia="zh-CN"/>
        </w:rPr>
        <w:t>领导人员及普通员工的工资</w:t>
      </w:r>
      <w:r>
        <w:rPr>
          <w:rFonts w:hint="eastAsia" w:ascii="仿宋_GB2312" w:hAnsi="仿宋" w:eastAsia="仿宋_GB2312" w:cs="仿宋"/>
          <w:b w:val="0"/>
          <w:bCs w:val="0"/>
          <w:color w:val="auto"/>
          <w:sz w:val="32"/>
          <w:szCs w:val="32"/>
          <w:highlight w:val="none"/>
          <w:u w:val="none"/>
        </w:rPr>
        <w:t>是指企业以货币形式支付的劳动报酬及相关收益的税前收入（包括个人负担的个人所得税、社保、住房公积金、</w:t>
      </w:r>
      <w:r>
        <w:rPr>
          <w:rFonts w:hint="eastAsia" w:hAnsi="仿宋" w:cs="仿宋"/>
          <w:b w:val="0"/>
          <w:bCs w:val="0"/>
          <w:color w:val="auto"/>
          <w:sz w:val="32"/>
          <w:szCs w:val="32"/>
          <w:highlight w:val="none"/>
          <w:u w:val="none"/>
          <w:lang w:eastAsia="zh-CN"/>
        </w:rPr>
        <w:t>企业</w:t>
      </w:r>
      <w:r>
        <w:rPr>
          <w:rFonts w:hint="eastAsia" w:ascii="仿宋_GB2312" w:hAnsi="仿宋" w:eastAsia="仿宋_GB2312" w:cs="仿宋"/>
          <w:b w:val="0"/>
          <w:bCs w:val="0"/>
          <w:color w:val="auto"/>
          <w:sz w:val="32"/>
          <w:szCs w:val="32"/>
          <w:highlight w:val="none"/>
          <w:u w:val="none"/>
        </w:rPr>
        <w:t>年金及各项福利收入</w:t>
      </w:r>
      <w:r>
        <w:rPr>
          <w:rFonts w:hint="eastAsia" w:ascii="仿宋_GB2312" w:hAnsi="仿宋" w:eastAsia="仿宋_GB2312"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val="en-US" w:eastAsia="zh-CN"/>
        </w:rPr>
        <w:t>不包括</w:t>
      </w:r>
      <w:r>
        <w:rPr>
          <w:rFonts w:hint="eastAsia" w:ascii="仿宋_GB2312" w:hAnsi="仿宋" w:eastAsia="仿宋_GB2312" w:cs="仿宋"/>
          <w:b w:val="0"/>
          <w:bCs w:val="0"/>
          <w:color w:val="auto"/>
          <w:sz w:val="32"/>
          <w:szCs w:val="32"/>
          <w:highlight w:val="none"/>
          <w:u w:val="none"/>
          <w:lang w:val="en-US" w:eastAsia="zh-CN"/>
        </w:rPr>
        <w:t>单位负担的</w:t>
      </w:r>
      <w:r>
        <w:rPr>
          <w:rFonts w:hint="eastAsia" w:ascii="仿宋_GB2312" w:hAnsi="仿宋" w:eastAsia="仿宋_GB2312" w:cs="仿宋"/>
          <w:color w:val="auto"/>
          <w:sz w:val="32"/>
          <w:szCs w:val="32"/>
          <w:highlight w:val="none"/>
          <w:u w:val="none"/>
        </w:rPr>
        <w:t>社保、住房公积金、</w:t>
      </w:r>
      <w:r>
        <w:rPr>
          <w:rFonts w:hint="eastAsia" w:hAnsi="仿宋" w:cs="仿宋"/>
          <w:b w:val="0"/>
          <w:bCs w:val="0"/>
          <w:color w:val="auto"/>
          <w:sz w:val="32"/>
          <w:szCs w:val="32"/>
          <w:highlight w:val="none"/>
          <w:u w:val="none"/>
          <w:lang w:eastAsia="zh-CN"/>
        </w:rPr>
        <w:t>企业</w:t>
      </w:r>
      <w:r>
        <w:rPr>
          <w:rFonts w:hint="eastAsia" w:ascii="仿宋_GB2312" w:hAnsi="仿宋" w:eastAsia="仿宋_GB2312" w:cs="仿宋"/>
          <w:color w:val="auto"/>
          <w:sz w:val="32"/>
          <w:szCs w:val="32"/>
          <w:highlight w:val="none"/>
          <w:u w:val="none"/>
        </w:rPr>
        <w:t>年金</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w:t>
      </w:r>
    </w:p>
    <w:p w14:paraId="1C6CF3EC">
      <w:pPr>
        <w:numPr>
          <w:ilvl w:val="0"/>
          <w:numId w:val="1"/>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w:t>
      </w:r>
      <w:r>
        <w:rPr>
          <w:rFonts w:hint="eastAsia" w:hAnsi="仿宋" w:cs="仿宋"/>
          <w:b w:val="0"/>
          <w:bCs w:val="0"/>
          <w:color w:val="auto"/>
          <w:sz w:val="32"/>
          <w:szCs w:val="32"/>
          <w:highlight w:val="none"/>
          <w:u w:val="none"/>
          <w:lang w:eastAsia="zh-CN"/>
        </w:rPr>
        <w:t>企业</w:t>
      </w:r>
      <w:r>
        <w:rPr>
          <w:rFonts w:hint="eastAsia" w:hAnsi="仿宋" w:cs="仿宋"/>
          <w:color w:val="auto"/>
          <w:highlight w:val="none"/>
          <w:lang w:eastAsia="zh-CN"/>
        </w:rPr>
        <w:t>薪酬</w:t>
      </w:r>
      <w:r>
        <w:rPr>
          <w:rFonts w:hint="eastAsia" w:hAnsi="仿宋" w:cs="仿宋"/>
          <w:color w:val="auto"/>
          <w:highlight w:val="none"/>
        </w:rPr>
        <w:t>总额是指企业在一个会计年度内为获得职工提供的服务或解除劳动关系而给予的各种形式的报酬或补偿</w:t>
      </w:r>
      <w:r>
        <w:rPr>
          <w:rFonts w:hint="eastAsia" w:hAnsi="仿宋" w:cs="仿宋"/>
          <w:color w:val="auto"/>
          <w:highlight w:val="none"/>
          <w:lang w:eastAsia="zh-CN"/>
        </w:rPr>
        <w:t>，</w:t>
      </w:r>
      <w:r>
        <w:rPr>
          <w:rFonts w:hint="eastAsia" w:hAnsi="仿宋" w:cs="仿宋"/>
          <w:b w:val="0"/>
          <w:bCs w:val="0"/>
          <w:color w:val="auto"/>
          <w:sz w:val="32"/>
          <w:szCs w:val="32"/>
          <w:highlight w:val="none"/>
          <w:u w:val="none"/>
          <w:lang w:eastAsia="zh-CN"/>
        </w:rPr>
        <w:t>包含工资总额，</w:t>
      </w:r>
      <w:r>
        <w:rPr>
          <w:rFonts w:hint="eastAsia" w:hAnsi="仿宋" w:cs="仿宋"/>
          <w:b w:val="0"/>
          <w:bCs w:val="0"/>
          <w:color w:val="auto"/>
          <w:sz w:val="32"/>
          <w:szCs w:val="32"/>
          <w:highlight w:val="none"/>
          <w:u w:val="none"/>
          <w:lang w:val="en-US" w:eastAsia="zh-CN"/>
        </w:rPr>
        <w:t>劳务派遣费用（</w:t>
      </w:r>
      <w:r>
        <w:rPr>
          <w:rFonts w:hint="eastAsia" w:hAnsi="仿宋" w:cs="仿宋"/>
          <w:b w:val="0"/>
          <w:bCs w:val="0"/>
          <w:color w:val="auto"/>
          <w:sz w:val="32"/>
          <w:szCs w:val="32"/>
          <w:highlight w:val="none"/>
          <w:u w:val="none"/>
          <w:lang w:val="en" w:eastAsia="zh-CN"/>
        </w:rPr>
        <w:t>不包含支付劳务派遣公司的管理费），</w:t>
      </w:r>
      <w:r>
        <w:rPr>
          <w:rFonts w:hint="eastAsia" w:hAnsi="仿宋" w:cs="仿宋"/>
          <w:b w:val="0"/>
          <w:bCs w:val="0"/>
          <w:color w:val="auto"/>
          <w:sz w:val="32"/>
          <w:szCs w:val="32"/>
          <w:highlight w:val="none"/>
          <w:u w:val="none"/>
          <w:lang w:eastAsia="zh-CN"/>
        </w:rPr>
        <w:t>企业负担的社保，公积金，企业年金，员工离职补偿金，工会经费和教育经费，年休假货币补贴等。</w:t>
      </w:r>
    </w:p>
    <w:p w14:paraId="4B0A56D7">
      <w:pPr>
        <w:keepNext w:val="0"/>
        <w:keepLines w:val="0"/>
        <w:pageBreakBefore w:val="0"/>
        <w:numPr>
          <w:ilvl w:val="0"/>
          <w:numId w:val="1"/>
        </w:numPr>
        <w:kinsoku/>
        <w:wordWrap/>
        <w:overflowPunct/>
        <w:topLinePunct w:val="0"/>
        <w:bidi w:val="0"/>
        <w:spacing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区国有企业根据《企业年金办法》《企业年金基金管理办法》等有关政策规定，在员工自愿的基础上，可建立企业年金。</w:t>
      </w:r>
    </w:p>
    <w:p w14:paraId="4508DC0F">
      <w:pPr>
        <w:spacing w:line="560" w:lineRule="exact"/>
        <w:ind w:firstLine="640" w:firstLineChars="200"/>
        <w:rPr>
          <w:rFonts w:hint="eastAsia" w:ascii="仿宋_GB2312" w:hAnsi="仿宋" w:eastAsia="仿宋_GB2312" w:cs="仿宋"/>
          <w:b w:val="0"/>
          <w:bCs w:val="0"/>
          <w:color w:val="auto"/>
          <w:sz w:val="32"/>
          <w:szCs w:val="32"/>
          <w:highlight w:val="cyan"/>
          <w:u w:val="none"/>
        </w:rPr>
      </w:pPr>
      <w:r>
        <w:rPr>
          <w:rFonts w:hint="eastAsia" w:ascii="仿宋_GB2312" w:hAnsi="仿宋" w:eastAsia="仿宋_GB2312" w:cs="仿宋"/>
          <w:b w:val="0"/>
          <w:bCs w:val="0"/>
          <w:color w:val="auto"/>
          <w:sz w:val="32"/>
          <w:szCs w:val="32"/>
          <w:highlight w:val="none"/>
          <w:u w:val="none"/>
        </w:rPr>
        <w:t>区国有企业实行企业年金后，如遇到经营亏损、重组并购等当期不能继续缴费的情况，经与</w:t>
      </w:r>
      <w:r>
        <w:rPr>
          <w:rFonts w:hint="eastAsia" w:hAnsi="仿宋" w:cs="仿宋"/>
          <w:b w:val="0"/>
          <w:bCs w:val="0"/>
          <w:color w:val="auto"/>
          <w:sz w:val="32"/>
          <w:szCs w:val="32"/>
          <w:highlight w:val="none"/>
          <w:u w:val="none"/>
          <w:lang w:eastAsia="zh-CN"/>
        </w:rPr>
        <w:t>员工</w:t>
      </w:r>
      <w:r>
        <w:rPr>
          <w:rFonts w:hint="eastAsia" w:ascii="仿宋_GB2312" w:hAnsi="仿宋" w:eastAsia="仿宋_GB2312" w:cs="仿宋"/>
          <w:b w:val="0"/>
          <w:bCs w:val="0"/>
          <w:color w:val="auto"/>
          <w:sz w:val="32"/>
          <w:szCs w:val="32"/>
          <w:highlight w:val="none"/>
          <w:u w:val="none"/>
        </w:rPr>
        <w:t>一方协商，可以中止缴费。不能继续缴费的情况消失后，企业和</w:t>
      </w:r>
      <w:r>
        <w:rPr>
          <w:rFonts w:hint="eastAsia" w:hAnsi="仿宋" w:cs="仿宋"/>
          <w:b w:val="0"/>
          <w:bCs w:val="0"/>
          <w:color w:val="auto"/>
          <w:sz w:val="32"/>
          <w:szCs w:val="32"/>
          <w:highlight w:val="none"/>
          <w:u w:val="none"/>
          <w:lang w:eastAsia="zh-CN"/>
        </w:rPr>
        <w:t>员工</w:t>
      </w:r>
      <w:r>
        <w:rPr>
          <w:rFonts w:hint="eastAsia" w:ascii="仿宋_GB2312" w:hAnsi="仿宋" w:eastAsia="仿宋_GB2312" w:cs="仿宋"/>
          <w:b w:val="0"/>
          <w:bCs w:val="0"/>
          <w:color w:val="auto"/>
          <w:sz w:val="32"/>
          <w:szCs w:val="32"/>
          <w:highlight w:val="none"/>
          <w:u w:val="none"/>
        </w:rPr>
        <w:t>恢复缴费，并可以根据本企业实际情况，按照中止缴费时的企业年金方案予以补缴。</w:t>
      </w:r>
    </w:p>
    <w:p w14:paraId="7061847A">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区</w:t>
      </w:r>
      <w:r>
        <w:rPr>
          <w:rFonts w:hint="eastAsia" w:ascii="仿宋_GB2312" w:hAnsi="仿宋" w:eastAsia="仿宋_GB2312" w:cs="仿宋"/>
          <w:b w:val="0"/>
          <w:bCs w:val="0"/>
          <w:color w:val="auto"/>
          <w:sz w:val="32"/>
          <w:szCs w:val="32"/>
          <w:highlight w:val="none"/>
          <w:u w:val="none"/>
        </w:rPr>
        <w:t>国有企业</w:t>
      </w:r>
      <w:r>
        <w:rPr>
          <w:rFonts w:hint="eastAsia" w:hAnsi="仿宋" w:cs="仿宋"/>
          <w:b w:val="0"/>
          <w:bCs w:val="0"/>
          <w:color w:val="auto"/>
          <w:sz w:val="32"/>
          <w:szCs w:val="32"/>
          <w:highlight w:val="none"/>
          <w:u w:val="none"/>
          <w:lang w:eastAsia="zh-CN"/>
        </w:rPr>
        <w:t>薪酬总额</w:t>
      </w:r>
      <w:r>
        <w:rPr>
          <w:rFonts w:hint="eastAsia" w:ascii="仿宋_GB2312" w:hAnsi="仿宋" w:eastAsia="仿宋_GB2312" w:cs="仿宋"/>
          <w:b w:val="0"/>
          <w:bCs w:val="0"/>
          <w:color w:val="auto"/>
          <w:sz w:val="32"/>
          <w:szCs w:val="32"/>
          <w:highlight w:val="none"/>
          <w:u w:val="none"/>
        </w:rPr>
        <w:t>纳入全面预算管理。</w:t>
      </w:r>
      <w:r>
        <w:rPr>
          <w:rFonts w:hint="eastAsia" w:hAnsi="仿宋" w:cs="仿宋"/>
          <w:b w:val="0"/>
          <w:bCs w:val="0"/>
          <w:color w:val="auto"/>
          <w:sz w:val="32"/>
          <w:szCs w:val="32"/>
          <w:highlight w:val="none"/>
          <w:u w:val="none"/>
          <w:lang w:eastAsia="zh-CN"/>
        </w:rPr>
        <w:t>薪酬总额</w:t>
      </w:r>
      <w:r>
        <w:rPr>
          <w:rFonts w:hint="eastAsia" w:ascii="仿宋_GB2312" w:hAnsi="仿宋" w:eastAsia="仿宋_GB2312" w:cs="仿宋"/>
          <w:b w:val="0"/>
          <w:bCs w:val="0"/>
          <w:color w:val="auto"/>
          <w:sz w:val="32"/>
          <w:szCs w:val="32"/>
          <w:highlight w:val="none"/>
          <w:u w:val="none"/>
        </w:rPr>
        <w:t>预算包括企业合并会计报表范围内的</w:t>
      </w:r>
      <w:r>
        <w:rPr>
          <w:rFonts w:hint="eastAsia" w:hAnsi="仿宋" w:cs="仿宋"/>
          <w:b w:val="0"/>
          <w:bCs w:val="0"/>
          <w:color w:val="auto"/>
          <w:sz w:val="32"/>
          <w:szCs w:val="32"/>
          <w:highlight w:val="none"/>
          <w:u w:val="none"/>
          <w:lang w:eastAsia="zh-CN"/>
        </w:rPr>
        <w:t>直管企业薪酬</w:t>
      </w:r>
      <w:r>
        <w:rPr>
          <w:rFonts w:hint="eastAsia" w:ascii="仿宋_GB2312" w:hAnsi="仿宋" w:eastAsia="仿宋_GB2312" w:cs="仿宋"/>
          <w:b w:val="0"/>
          <w:bCs w:val="0"/>
          <w:color w:val="auto"/>
          <w:sz w:val="32"/>
          <w:szCs w:val="32"/>
          <w:highlight w:val="none"/>
          <w:u w:val="none"/>
        </w:rPr>
        <w:t>总额预算和</w:t>
      </w:r>
      <w:r>
        <w:rPr>
          <w:rFonts w:hint="eastAsia" w:hAnsi="仿宋" w:cs="仿宋"/>
          <w:b w:val="0"/>
          <w:bCs w:val="0"/>
          <w:color w:val="auto"/>
          <w:sz w:val="32"/>
          <w:szCs w:val="32"/>
          <w:highlight w:val="none"/>
          <w:u w:val="none"/>
          <w:lang w:eastAsia="zh-CN"/>
        </w:rPr>
        <w:t>所属企业</w:t>
      </w:r>
      <w:r>
        <w:rPr>
          <w:rFonts w:hint="eastAsia" w:hAnsi="仿宋" w:cs="仿宋"/>
          <w:b w:val="0"/>
          <w:bCs w:val="0"/>
          <w:color w:val="auto"/>
          <w:sz w:val="32"/>
          <w:szCs w:val="32"/>
          <w:highlight w:val="none"/>
          <w:u w:val="none"/>
          <w:lang w:val="en-US" w:eastAsia="zh-CN"/>
        </w:rPr>
        <w:t>薪酬</w:t>
      </w:r>
      <w:r>
        <w:rPr>
          <w:rFonts w:hint="eastAsia" w:hAnsi="仿宋" w:cs="仿宋"/>
          <w:b w:val="0"/>
          <w:bCs w:val="0"/>
          <w:color w:val="auto"/>
          <w:sz w:val="32"/>
          <w:szCs w:val="32"/>
          <w:highlight w:val="none"/>
          <w:u w:val="none"/>
          <w:lang w:eastAsia="zh-CN"/>
        </w:rPr>
        <w:t>总额</w:t>
      </w:r>
      <w:r>
        <w:rPr>
          <w:rFonts w:hint="eastAsia" w:ascii="仿宋_GB2312" w:hAnsi="仿宋" w:eastAsia="仿宋_GB2312" w:cs="仿宋"/>
          <w:b w:val="0"/>
          <w:bCs w:val="0"/>
          <w:color w:val="auto"/>
          <w:sz w:val="32"/>
          <w:szCs w:val="32"/>
          <w:highlight w:val="none"/>
          <w:u w:val="none"/>
        </w:rPr>
        <w:t>预算两部分。</w:t>
      </w:r>
    </w:p>
    <w:p w14:paraId="7B47BB1B">
      <w:pPr>
        <w:numPr>
          <w:ilvl w:val="-1"/>
          <w:numId w:val="0"/>
        </w:numPr>
        <w:spacing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rPr>
        <w:t>直管企业每年须将人员年度薪酬发放、构成等情况向区国资监管部门书面报告。</w:t>
      </w:r>
    </w:p>
    <w:p w14:paraId="3B84EA3E">
      <w:pPr>
        <w:numPr>
          <w:ilvl w:val="0"/>
          <w:numId w:val="1"/>
        </w:numPr>
        <w:spacing w:line="560" w:lineRule="exact"/>
        <w:ind w:left="0" w:firstLine="640" w:firstLineChars="200"/>
        <w:rPr>
          <w:rFonts w:hint="eastAsia" w:hAnsi="仿宋" w:cs="仿宋"/>
          <w:color w:val="auto"/>
          <w:highlight w:val="none"/>
        </w:rPr>
      </w:pPr>
      <w:r>
        <w:rPr>
          <w:rFonts w:hint="eastAsia" w:hAnsi="仿宋" w:cs="仿宋"/>
          <w:color w:val="auto"/>
          <w:highlight w:val="none"/>
        </w:rPr>
        <w:t>区国有企业实行薪酬变动与经济效益指标挂钩的分配办法，其中商业类国有企业主要选取利润总额（或净利润）、经济增加值等，功能类国有企业主要选取营业收入、利润总额（或净利润）、任务完成率等。</w:t>
      </w:r>
    </w:p>
    <w:p w14:paraId="31B968E4">
      <w:pPr>
        <w:pStyle w:val="10"/>
        <w:spacing w:line="560" w:lineRule="exact"/>
        <w:ind w:firstLine="640" w:firstLineChars="200"/>
        <w:rPr>
          <w:rFonts w:hint="eastAsia" w:ascii="仿宋_GB2312" w:hAnsi="仿宋" w:eastAsia="仿宋_GB2312" w:cs="仿宋"/>
          <w:color w:val="auto"/>
          <w:kern w:val="2"/>
          <w:sz w:val="32"/>
          <w:szCs w:val="32"/>
          <w:highlight w:val="none"/>
        </w:rPr>
      </w:pPr>
      <w:r>
        <w:rPr>
          <w:rFonts w:hint="eastAsia" w:ascii="仿宋_GB2312" w:hAnsi="仿宋" w:eastAsia="仿宋_GB2312" w:cs="仿宋"/>
          <w:color w:val="auto"/>
          <w:kern w:val="2"/>
          <w:sz w:val="32"/>
          <w:szCs w:val="32"/>
          <w:highlight w:val="none"/>
          <w:lang w:eastAsia="zh-CN"/>
        </w:rPr>
        <w:t>区国有企业</w:t>
      </w:r>
      <w:r>
        <w:rPr>
          <w:rFonts w:hint="eastAsia" w:ascii="仿宋_GB2312" w:hAnsi="仿宋" w:eastAsia="仿宋_GB2312" w:cs="仿宋"/>
          <w:color w:val="auto"/>
          <w:kern w:val="2"/>
          <w:sz w:val="32"/>
          <w:szCs w:val="32"/>
          <w:highlight w:val="none"/>
        </w:rPr>
        <w:t>经济效益增长的，当年薪酬总额增长幅度和员工平均</w:t>
      </w:r>
      <w:r>
        <w:rPr>
          <w:rFonts w:hint="eastAsia" w:ascii="仿宋_GB2312" w:hAnsi="仿宋" w:eastAsia="仿宋_GB2312" w:cs="仿宋"/>
          <w:color w:val="auto"/>
          <w:kern w:val="2"/>
          <w:sz w:val="32"/>
          <w:szCs w:val="32"/>
          <w:highlight w:val="none"/>
          <w:lang w:eastAsia="zh-CN"/>
        </w:rPr>
        <w:t>工资</w:t>
      </w:r>
      <w:r>
        <w:rPr>
          <w:rFonts w:hint="eastAsia" w:ascii="仿宋_GB2312" w:hAnsi="仿宋" w:eastAsia="仿宋_GB2312" w:cs="仿宋"/>
          <w:color w:val="auto"/>
          <w:kern w:val="2"/>
          <w:sz w:val="32"/>
          <w:szCs w:val="32"/>
          <w:highlight w:val="none"/>
        </w:rPr>
        <w:t>增长幅度可在不超过经济效益增长幅度范围内确定。</w:t>
      </w:r>
      <w:r>
        <w:rPr>
          <w:rFonts w:hint="eastAsia" w:ascii="仿宋_GB2312" w:hAnsi="仿宋" w:eastAsia="仿宋_GB2312" w:cs="仿宋"/>
          <w:color w:val="auto"/>
          <w:kern w:val="2"/>
          <w:sz w:val="32"/>
          <w:szCs w:val="32"/>
          <w:highlight w:val="none"/>
          <w:lang w:eastAsia="zh-CN"/>
        </w:rPr>
        <w:t>区国有企业</w:t>
      </w:r>
      <w:r>
        <w:rPr>
          <w:rFonts w:hint="eastAsia" w:ascii="仿宋_GB2312" w:hAnsi="仿宋" w:eastAsia="仿宋_GB2312" w:cs="仿宋"/>
          <w:color w:val="auto"/>
          <w:kern w:val="2"/>
          <w:sz w:val="32"/>
          <w:szCs w:val="32"/>
          <w:highlight w:val="none"/>
        </w:rPr>
        <w:t>经济效益下降的，除受政策调整等非经营性因素影响外，当年薪酬总额原则上相应下降，薪酬总额下降幅度原则上应与经济效益增长时薪酬总额增长幅度相对应。</w:t>
      </w:r>
    </w:p>
    <w:p w14:paraId="5B4FB726">
      <w:pPr>
        <w:numPr>
          <w:ilvl w:val="0"/>
          <w:numId w:val="0"/>
        </w:numPr>
        <w:spacing w:line="560" w:lineRule="exact"/>
        <w:ind w:left="0" w:leftChars="0" w:firstLine="0" w:firstLineChars="0"/>
        <w:rPr>
          <w:rFonts w:hint="eastAsia" w:ascii="仿宋_GB2312" w:hAnsi="仿宋" w:eastAsia="仿宋_GB2312" w:cs="仿宋"/>
          <w:b w:val="0"/>
          <w:bCs w:val="0"/>
          <w:color w:val="auto"/>
          <w:sz w:val="32"/>
          <w:szCs w:val="32"/>
          <w:highlight w:val="none"/>
          <w:u w:val="none"/>
        </w:rPr>
      </w:pPr>
      <w:r>
        <w:rPr>
          <w:rFonts w:hint="eastAsia"/>
          <w:highlight w:val="none"/>
          <w:lang w:val="en-US" w:eastAsia="zh-CN"/>
        </w:rPr>
        <w:t xml:space="preserve">    </w:t>
      </w:r>
      <w:r>
        <w:rPr>
          <w:rFonts w:hint="eastAsia" w:hAnsi="仿宋" w:cs="仿宋"/>
          <w:color w:val="auto"/>
          <w:highlight w:val="none"/>
        </w:rPr>
        <w:t>国家、省、市有相关规定的，从其规定</w:t>
      </w:r>
      <w:r>
        <w:rPr>
          <w:rFonts w:hint="eastAsia" w:ascii="仿宋_GB2312" w:hAnsi="仿宋" w:eastAsia="仿宋_GB2312" w:cs="仿宋"/>
          <w:b w:val="0"/>
          <w:bCs w:val="0"/>
          <w:color w:val="auto"/>
          <w:sz w:val="32"/>
          <w:szCs w:val="32"/>
          <w:highlight w:val="none"/>
          <w:u w:val="none"/>
        </w:rPr>
        <w:t>。</w:t>
      </w:r>
    </w:p>
    <w:p w14:paraId="76118790">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rPr>
        <w:t>原则上增人不增</w:t>
      </w:r>
      <w:r>
        <w:rPr>
          <w:rFonts w:hint="eastAsia" w:hAnsi="仿宋" w:cs="仿宋"/>
          <w:color w:val="auto"/>
          <w:highlight w:val="none"/>
          <w:lang w:eastAsia="zh-CN"/>
        </w:rPr>
        <w:t>薪酬</w:t>
      </w:r>
      <w:r>
        <w:rPr>
          <w:rFonts w:hint="eastAsia" w:hAnsi="仿宋" w:cs="仿宋"/>
          <w:color w:val="auto"/>
          <w:highlight w:val="none"/>
        </w:rPr>
        <w:t>总额、减人不减</w:t>
      </w:r>
      <w:r>
        <w:rPr>
          <w:rFonts w:hint="eastAsia" w:hAnsi="仿宋" w:cs="仿宋"/>
          <w:color w:val="auto"/>
          <w:highlight w:val="none"/>
          <w:lang w:eastAsia="zh-CN"/>
        </w:rPr>
        <w:t>薪酬</w:t>
      </w:r>
      <w:r>
        <w:rPr>
          <w:rFonts w:hint="eastAsia" w:hAnsi="仿宋" w:cs="仿宋"/>
          <w:color w:val="auto"/>
          <w:highlight w:val="none"/>
        </w:rPr>
        <w:t>总额，但</w:t>
      </w:r>
      <w:r>
        <w:rPr>
          <w:rFonts w:hint="eastAsia" w:hAnsi="仿宋" w:cs="仿宋"/>
          <w:color w:val="auto"/>
          <w:highlight w:val="none"/>
          <w:lang w:eastAsia="zh-CN"/>
        </w:rPr>
        <w:t>区国有企业</w:t>
      </w:r>
      <w:r>
        <w:rPr>
          <w:rFonts w:hint="eastAsia" w:hAnsi="仿宋" w:cs="仿宋"/>
          <w:color w:val="auto"/>
          <w:highlight w:val="none"/>
        </w:rPr>
        <w:t>发生兼并重组、新设企业或机构、新增项目等情况而规模性增加或者减少人员的，可以合理增加或者减少</w:t>
      </w:r>
      <w:r>
        <w:rPr>
          <w:rFonts w:hint="eastAsia" w:hAnsi="仿宋" w:cs="仿宋"/>
          <w:color w:val="auto"/>
          <w:highlight w:val="none"/>
          <w:lang w:eastAsia="zh-CN"/>
        </w:rPr>
        <w:t>薪酬</w:t>
      </w:r>
      <w:r>
        <w:rPr>
          <w:rFonts w:hint="eastAsia" w:hAnsi="仿宋" w:cs="仿宋"/>
          <w:color w:val="auto"/>
          <w:highlight w:val="none"/>
        </w:rPr>
        <w:t>总额</w:t>
      </w:r>
      <w:r>
        <w:rPr>
          <w:rFonts w:hint="eastAsia" w:hAnsi="仿宋" w:cs="仿宋"/>
          <w:b w:val="0"/>
          <w:bCs w:val="0"/>
          <w:color w:val="auto"/>
          <w:sz w:val="32"/>
          <w:szCs w:val="32"/>
          <w:highlight w:val="none"/>
          <w:u w:val="none"/>
          <w:lang w:eastAsia="zh-CN"/>
        </w:rPr>
        <w:t>。</w:t>
      </w:r>
    </w:p>
    <w:p w14:paraId="615C0C83">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加强</w:t>
      </w:r>
      <w:r>
        <w:rPr>
          <w:rFonts w:hint="eastAsia" w:hAnsi="仿宋" w:cs="仿宋"/>
          <w:color w:val="auto"/>
          <w:highlight w:val="none"/>
          <w:u w:val="none"/>
          <w:lang w:eastAsia="zh-CN"/>
        </w:rPr>
        <w:t>区国有企业</w:t>
      </w:r>
      <w:r>
        <w:rPr>
          <w:rFonts w:hint="eastAsia" w:hAnsi="仿宋" w:cs="仿宋"/>
          <w:color w:val="auto"/>
          <w:highlight w:val="none"/>
          <w:u w:val="none"/>
        </w:rPr>
        <w:t>薪酬管理，合理确定企业内部分配差距，严格实行企业员工薪酬总额和薪酬水平双重调控政策，高管人员薪酬增幅应低于企业平均薪酬增幅。</w:t>
      </w:r>
    </w:p>
    <w:p w14:paraId="28854EFE">
      <w:pPr>
        <w:spacing w:line="560" w:lineRule="exact"/>
        <w:ind w:firstLine="640" w:firstLineChars="200"/>
        <w:rPr>
          <w:rFonts w:ascii="仿宋_GB2312" w:hAnsi="仿宋" w:eastAsia="仿宋_GB2312" w:cs="仿宋"/>
          <w:b w:val="0"/>
          <w:bCs w:val="0"/>
          <w:color w:val="auto"/>
          <w:sz w:val="32"/>
          <w:szCs w:val="32"/>
          <w:highlight w:val="none"/>
          <w:u w:val="none"/>
        </w:rPr>
      </w:pPr>
    </w:p>
    <w:p w14:paraId="16F6E580">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七</w:t>
      </w:r>
      <w:r>
        <w:rPr>
          <w:rFonts w:hint="eastAsia" w:ascii="黑体" w:hAnsi="黑体" w:eastAsia="黑体" w:cs="仿宋"/>
          <w:b w:val="0"/>
          <w:bCs w:val="0"/>
          <w:color w:val="auto"/>
          <w:sz w:val="32"/>
          <w:szCs w:val="32"/>
          <w:highlight w:val="none"/>
          <w:u w:val="none"/>
        </w:rPr>
        <w:t>章</w:t>
      </w:r>
      <w:r>
        <w:rPr>
          <w:rFonts w:ascii="黑体" w:hAnsi="黑体" w:eastAsia="黑体" w:cs="仿宋"/>
          <w:b w:val="0"/>
          <w:bCs w:val="0"/>
          <w:color w:val="auto"/>
          <w:sz w:val="32"/>
          <w:szCs w:val="32"/>
          <w:highlight w:val="none"/>
          <w:u w:val="none"/>
        </w:rPr>
        <w:t xml:space="preserve">  </w:t>
      </w:r>
      <w:r>
        <w:rPr>
          <w:rFonts w:hint="eastAsia" w:ascii="黑体" w:hAnsi="黑体" w:eastAsia="黑体" w:cs="仿宋"/>
          <w:b w:val="0"/>
          <w:bCs w:val="0"/>
          <w:color w:val="auto"/>
          <w:sz w:val="32"/>
          <w:szCs w:val="32"/>
          <w:highlight w:val="none"/>
          <w:u w:val="none"/>
        </w:rPr>
        <w:t>责任追究</w:t>
      </w:r>
    </w:p>
    <w:p w14:paraId="71A20B21">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区国有企业管理人员、监督人员和其他有关人员违规违纪违法，未履行或未正确履行职责，造成国有资产损失或其他不良后果的，应分别视具体情形</w:t>
      </w:r>
      <w:r>
        <w:rPr>
          <w:rFonts w:hint="eastAsia" w:hAnsi="仿宋" w:cs="仿宋"/>
          <w:b w:val="0"/>
          <w:bCs w:val="0"/>
          <w:color w:val="auto"/>
          <w:sz w:val="32"/>
          <w:szCs w:val="32"/>
          <w:highlight w:val="none"/>
          <w:u w:val="none"/>
          <w:lang w:eastAsia="zh-CN"/>
        </w:rPr>
        <w:t>，按照干部管理权限</w:t>
      </w:r>
      <w:r>
        <w:rPr>
          <w:rFonts w:hint="eastAsia" w:ascii="仿宋_GB2312" w:hAnsi="仿宋" w:eastAsia="仿宋_GB2312" w:cs="仿宋"/>
          <w:b w:val="0"/>
          <w:bCs w:val="0"/>
          <w:color w:val="auto"/>
          <w:sz w:val="32"/>
          <w:szCs w:val="32"/>
          <w:highlight w:val="none"/>
          <w:u w:val="none"/>
        </w:rPr>
        <w:t>依规依纪依法追究相应责任，</w:t>
      </w:r>
      <w:r>
        <w:rPr>
          <w:rFonts w:hint="eastAsia" w:hAnsi="仿宋" w:cs="仿宋"/>
          <w:b w:val="0"/>
          <w:bCs w:val="0"/>
          <w:color w:val="auto"/>
          <w:sz w:val="32"/>
          <w:szCs w:val="32"/>
          <w:highlight w:val="none"/>
          <w:u w:val="none"/>
          <w:lang w:eastAsia="zh-CN"/>
        </w:rPr>
        <w:t>分别</w:t>
      </w:r>
      <w:r>
        <w:rPr>
          <w:rFonts w:hint="eastAsia" w:ascii="仿宋_GB2312" w:hAnsi="仿宋" w:eastAsia="仿宋_GB2312" w:cs="仿宋"/>
          <w:b w:val="0"/>
          <w:bCs w:val="0"/>
          <w:color w:val="auto"/>
          <w:sz w:val="32"/>
          <w:szCs w:val="32"/>
          <w:highlight w:val="none"/>
          <w:u w:val="none"/>
        </w:rPr>
        <w:t>给予</w:t>
      </w:r>
      <w:r>
        <w:rPr>
          <w:rFonts w:hint="eastAsia" w:hAnsi="仿宋" w:cs="仿宋"/>
          <w:b w:val="0"/>
          <w:bCs w:val="0"/>
          <w:color w:val="auto"/>
          <w:sz w:val="32"/>
          <w:szCs w:val="32"/>
          <w:highlight w:val="none"/>
          <w:u w:val="none"/>
          <w:lang w:val="en-US" w:eastAsia="zh-CN"/>
        </w:rPr>
        <w:t>诫勉、</w:t>
      </w:r>
      <w:r>
        <w:rPr>
          <w:rFonts w:hint="eastAsia" w:hAnsi="仿宋" w:cs="仿宋"/>
          <w:b w:val="0"/>
          <w:bCs w:val="0"/>
          <w:color w:val="auto"/>
          <w:sz w:val="32"/>
          <w:szCs w:val="32"/>
          <w:highlight w:val="none"/>
          <w:u w:val="none"/>
          <w:lang w:eastAsia="zh-CN"/>
        </w:rPr>
        <w:t>组织处理、</w:t>
      </w:r>
      <w:r>
        <w:rPr>
          <w:rFonts w:hint="eastAsia" w:ascii="仿宋_GB2312" w:hAnsi="仿宋" w:eastAsia="仿宋_GB2312" w:cs="仿宋"/>
          <w:b w:val="0"/>
          <w:bCs w:val="0"/>
          <w:color w:val="auto"/>
          <w:sz w:val="32"/>
          <w:szCs w:val="32"/>
          <w:highlight w:val="none"/>
          <w:u w:val="none"/>
        </w:rPr>
        <w:t>党纪处分、政务处分；构成犯罪的，依法追究刑事责任。</w:t>
      </w:r>
    </w:p>
    <w:p w14:paraId="77407BF0">
      <w:pPr>
        <w:numPr>
          <w:ilvl w:val="0"/>
          <w:numId w:val="1"/>
        </w:numPr>
        <w:spacing w:line="560" w:lineRule="exact"/>
        <w:ind w:left="0" w:leftChars="0"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区国有企业集体作出的决定违规违纪违法，造成国有资产损失或者其他不良后果的，对负有责任的领导人员和其他直接责任人依规依纪依法追究相应责任；构成犯罪的，依法追究刑事责任</w:t>
      </w:r>
      <w:r>
        <w:rPr>
          <w:rFonts w:hint="eastAsia" w:ascii="仿宋_GB2312" w:hAnsi="仿宋" w:eastAsia="仿宋_GB2312" w:cs="仿宋"/>
          <w:b w:val="0"/>
          <w:bCs w:val="0"/>
          <w:color w:val="auto"/>
          <w:sz w:val="32"/>
          <w:szCs w:val="32"/>
          <w:highlight w:val="none"/>
          <w:u w:val="none"/>
          <w:lang w:eastAsia="zh-CN"/>
        </w:rPr>
        <w:t>。</w:t>
      </w:r>
    </w:p>
    <w:p w14:paraId="16492AE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经营管理有关人员在企业改革发展中所出现的失误，不属于有令不行、有禁不止、不当谋利、主观故意、独断专行等的，根据有关规定和程序予以容错。有下列情形之一的，可以对违规经营投资相关责任人从轻或减轻处理：</w:t>
      </w:r>
    </w:p>
    <w:p w14:paraId="719A82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（一）情节轻微的。</w:t>
      </w:r>
    </w:p>
    <w:p w14:paraId="4BC4C6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（二）以促进企业改革发展稳定或履行企业经济责任、政治责任、社会责任为目标，且个人没有谋取私利的。</w:t>
      </w:r>
    </w:p>
    <w:p w14:paraId="293C83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（三）党和国家方针政策、党章党规党纪、国家法律法规、地方性法规和规章等没有明确限制或禁止的。</w:t>
      </w:r>
    </w:p>
    <w:p w14:paraId="7DCD45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（四）处置突发事件或紧急情况下，个人或少数人决策，事后及时履行报告程序并得到追认，且不存在故意或重大过失的。</w:t>
      </w:r>
    </w:p>
    <w:p w14:paraId="116590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（五）及时采取有效措施减少、挽回资产损失并消除不良影响的。</w:t>
      </w:r>
    </w:p>
    <w:p w14:paraId="0E2AC2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（六）主动反映资产损失情况，积极配合责任追究工作的，或主动检举其他造成资产损失相关人员，查证属实的。</w:t>
      </w:r>
    </w:p>
    <w:p w14:paraId="38B10C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（七）其他可以从轻或减轻处理的。</w:t>
      </w:r>
    </w:p>
    <w:p w14:paraId="411D51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p>
    <w:p w14:paraId="2CC9B67E">
      <w:pPr>
        <w:spacing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八</w:t>
      </w:r>
      <w:r>
        <w:rPr>
          <w:rFonts w:hint="eastAsia" w:ascii="黑体" w:hAnsi="黑体" w:eastAsia="黑体" w:cs="仿宋"/>
          <w:b w:val="0"/>
          <w:bCs w:val="0"/>
          <w:color w:val="auto"/>
          <w:sz w:val="32"/>
          <w:szCs w:val="32"/>
          <w:highlight w:val="none"/>
          <w:u w:val="none"/>
        </w:rPr>
        <w:t>章  附则</w:t>
      </w:r>
    </w:p>
    <w:p w14:paraId="44EAEEFF">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本办法所称“以上”含本数，“以下”不含本数；金额币别为人民币。</w:t>
      </w:r>
    </w:p>
    <w:p w14:paraId="27A804FA">
      <w:pPr>
        <w:numPr>
          <w:ilvl w:val="0"/>
          <w:numId w:val="1"/>
        </w:numPr>
        <w:spacing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本办法由区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负责解释。</w:t>
      </w:r>
      <w:r>
        <w:rPr>
          <w:rFonts w:hint="eastAsia" w:ascii="仿宋_GB2312" w:hAnsi="仿宋" w:eastAsia="仿宋_GB2312" w:cs="仿宋"/>
          <w:b w:val="0"/>
          <w:bCs w:val="0"/>
          <w:color w:val="auto"/>
          <w:sz w:val="32"/>
          <w:szCs w:val="32"/>
          <w:highlight w:val="none"/>
          <w:u w:val="none"/>
          <w:lang w:val="en-US" w:eastAsia="zh-CN"/>
        </w:rPr>
        <w:t>本办法未尽事宜，</w:t>
      </w:r>
      <w:r>
        <w:rPr>
          <w:rFonts w:hint="eastAsia" w:hAnsi="仿宋" w:cs="仿宋"/>
          <w:color w:val="auto"/>
          <w:highlight w:val="none"/>
        </w:rPr>
        <w:t>由区国资监管部门</w:t>
      </w:r>
      <w:r>
        <w:rPr>
          <w:rFonts w:hint="eastAsia" w:ascii="仿宋_GB2312" w:hAnsi="仿宋" w:eastAsia="仿宋_GB2312" w:cs="仿宋"/>
          <w:b w:val="0"/>
          <w:bCs w:val="0"/>
          <w:color w:val="auto"/>
          <w:sz w:val="32"/>
          <w:szCs w:val="32"/>
          <w:u w:val="none"/>
          <w:lang w:val="en-US" w:eastAsia="zh-CN"/>
        </w:rPr>
        <w:t>另行制定</w:t>
      </w:r>
      <w:r>
        <w:rPr>
          <w:rFonts w:hint="eastAsia" w:hAnsi="仿宋" w:cs="仿宋"/>
          <w:b w:val="0"/>
          <w:bCs w:val="0"/>
          <w:color w:val="auto"/>
          <w:sz w:val="32"/>
          <w:szCs w:val="32"/>
          <w:highlight w:val="none"/>
          <w:u w:val="none"/>
          <w:lang w:val="en-US" w:eastAsia="zh-CN"/>
        </w:rPr>
        <w:t>相关制度规范</w:t>
      </w:r>
      <w:r>
        <w:rPr>
          <w:rFonts w:hint="eastAsia" w:ascii="仿宋_GB2312" w:hAnsi="仿宋" w:eastAsia="仿宋_GB2312" w:cs="仿宋"/>
          <w:b w:val="0"/>
          <w:bCs w:val="0"/>
          <w:color w:val="auto"/>
          <w:sz w:val="32"/>
          <w:szCs w:val="32"/>
          <w:highlight w:val="none"/>
          <w:u w:val="none"/>
          <w:lang w:val="en-US" w:eastAsia="zh-CN"/>
        </w:rPr>
        <w:t>。</w:t>
      </w:r>
    </w:p>
    <w:p w14:paraId="6136B1AB">
      <w:pPr>
        <w:numPr>
          <w:ilvl w:val="0"/>
          <w:numId w:val="1"/>
        </w:numPr>
        <w:spacing w:line="560" w:lineRule="exact"/>
        <w:ind w:left="0" w:firstLine="640" w:firstLineChars="200"/>
        <w:rPr>
          <w:rFonts w:hint="eastAsia" w:ascii="仿宋_GB2312" w:hAnsi="仿宋" w:eastAsia="仿宋_GB2312" w:cs="仿宋"/>
          <w:b w:val="0"/>
          <w:bCs w:val="0"/>
          <w:color w:val="auto"/>
          <w:sz w:val="32"/>
          <w:szCs w:val="32"/>
          <w:highlight w:val="none"/>
          <w:u w:val="none"/>
        </w:rPr>
      </w:pPr>
      <w:bookmarkStart w:id="3" w:name="OLE_LINK1"/>
      <w:r>
        <w:rPr>
          <w:rFonts w:hint="eastAsia" w:ascii="仿宋_GB2312" w:hAnsi="仿宋" w:eastAsia="仿宋_GB2312" w:cs="仿宋"/>
          <w:b w:val="0"/>
          <w:bCs w:val="0"/>
          <w:color w:val="auto"/>
          <w:sz w:val="32"/>
          <w:szCs w:val="32"/>
          <w:highlight w:val="none"/>
          <w:u w:val="none"/>
        </w:rPr>
        <w:t>本办法</w:t>
      </w:r>
      <w:bookmarkEnd w:id="3"/>
      <w:r>
        <w:rPr>
          <w:rFonts w:hint="eastAsia" w:ascii="仿宋_GB2312" w:hAnsi="仿宋" w:eastAsia="仿宋_GB2312" w:cs="仿宋"/>
          <w:color w:val="auto"/>
          <w:sz w:val="32"/>
          <w:szCs w:val="32"/>
          <w:highlight w:val="none"/>
          <w:u w:val="none"/>
        </w:rPr>
        <w:t>自</w:t>
      </w:r>
      <w:r>
        <w:rPr>
          <w:rFonts w:hint="eastAsia" w:ascii="仿宋_GB2312" w:hAnsi="仿宋" w:eastAsia="仿宋_GB2312" w:cs="仿宋"/>
          <w:color w:val="auto"/>
          <w:sz w:val="32"/>
          <w:szCs w:val="32"/>
          <w:highlight w:val="none"/>
          <w:u w:val="none"/>
          <w:lang w:val="en-US" w:eastAsia="zh-CN"/>
        </w:rPr>
        <w:t>20</w:t>
      </w:r>
      <w:r>
        <w:rPr>
          <w:rFonts w:hint="eastAsia" w:hAnsi="仿宋" w:cs="仿宋"/>
          <w:color w:val="auto"/>
          <w:sz w:val="32"/>
          <w:szCs w:val="32"/>
          <w:highlight w:val="none"/>
          <w:u w:val="none"/>
          <w:lang w:val="en-US" w:eastAsia="zh-CN"/>
        </w:rPr>
        <w:t>2</w:t>
      </w:r>
      <w:r>
        <w:rPr>
          <w:rFonts w:hint="eastAsia" w:hAnsi="仿宋" w:cs="宋体"/>
          <w:color w:val="auto"/>
          <w:sz w:val="32"/>
          <w:szCs w:val="28"/>
          <w:highlight w:val="none"/>
          <w:u w:val="none"/>
          <w:lang w:val="en-US" w:eastAsia="zh-CN"/>
        </w:rPr>
        <w:t>6</w:t>
      </w:r>
      <w:r>
        <w:rPr>
          <w:rFonts w:hint="eastAsia" w:ascii="仿宋_GB2312" w:hAnsi="仿宋" w:eastAsia="仿宋_GB2312" w:cs="宋体"/>
          <w:color w:val="auto"/>
          <w:sz w:val="32"/>
          <w:szCs w:val="28"/>
          <w:highlight w:val="none"/>
          <w:u w:val="none"/>
          <w:lang w:val="en-US" w:eastAsia="zh-CN"/>
        </w:rPr>
        <w:t>年</w:t>
      </w:r>
      <w:r>
        <w:rPr>
          <w:rFonts w:hint="eastAsia" w:hAnsi="仿宋" w:cs="宋体"/>
          <w:color w:val="auto"/>
          <w:sz w:val="32"/>
          <w:szCs w:val="28"/>
          <w:highlight w:val="none"/>
          <w:u w:val="none"/>
          <w:lang w:val="en-US" w:eastAsia="zh-CN"/>
        </w:rPr>
        <w:t>3</w:t>
      </w:r>
      <w:r>
        <w:rPr>
          <w:rFonts w:hint="eastAsia" w:ascii="仿宋_GB2312" w:hAnsi="仿宋" w:eastAsia="仿宋_GB2312" w:cs="宋体"/>
          <w:color w:val="auto"/>
          <w:sz w:val="32"/>
          <w:szCs w:val="28"/>
          <w:highlight w:val="none"/>
          <w:u w:val="none"/>
          <w:lang w:val="en-US" w:eastAsia="zh-CN"/>
        </w:rPr>
        <w:t>月</w:t>
      </w:r>
      <w:r>
        <w:rPr>
          <w:rFonts w:hint="eastAsia" w:hAnsi="仿宋" w:cs="宋体"/>
          <w:color w:val="auto"/>
          <w:sz w:val="32"/>
          <w:szCs w:val="28"/>
          <w:highlight w:val="none"/>
          <w:u w:val="none"/>
          <w:lang w:val="en-US" w:eastAsia="zh-CN"/>
        </w:rPr>
        <w:t>1日</w:t>
      </w:r>
      <w:r>
        <w:rPr>
          <w:rFonts w:hint="eastAsia" w:ascii="仿宋_GB2312" w:hAnsi="仿宋" w:eastAsia="仿宋_GB2312" w:cs="仿宋"/>
          <w:color w:val="auto"/>
          <w:sz w:val="32"/>
          <w:szCs w:val="32"/>
          <w:highlight w:val="none"/>
          <w:u w:val="none"/>
        </w:rPr>
        <w:t>起施行</w:t>
      </w:r>
      <w:r>
        <w:rPr>
          <w:rFonts w:hint="eastAsia" w:ascii="仿宋_GB2312" w:hAnsi="仿宋" w:eastAsia="仿宋_GB2312" w:cs="仿宋"/>
          <w:b w:val="0"/>
          <w:bCs w:val="0"/>
          <w:color w:val="auto"/>
          <w:sz w:val="32"/>
          <w:szCs w:val="32"/>
          <w:highlight w:val="none"/>
          <w:u w:val="none"/>
        </w:rPr>
        <w:t>。</w:t>
      </w:r>
    </w:p>
    <w:bookmarkEnd w:id="0"/>
    <w:bookmarkEnd w:id="1"/>
    <w:p w14:paraId="6140315E">
      <w:pPr>
        <w:shd w:val="clear" w:color="auto" w:fill="auto"/>
        <w:spacing w:line="560" w:lineRule="exact"/>
        <w:ind w:firstLine="640" w:firstLineChars="200"/>
        <w:rPr>
          <w:rFonts w:hint="eastAsia" w:ascii="黑体" w:hAnsi="黑体" w:eastAsia="黑体" w:cs="黑体"/>
          <w:color w:val="auto"/>
          <w:highlight w:val="none"/>
          <w:u w:val="none"/>
          <w:lang w:val="en-US" w:eastAsia="zh-CN"/>
        </w:rPr>
      </w:pPr>
    </w:p>
    <w:p w14:paraId="79CC2E6F">
      <w:pPr>
        <w:shd w:val="clear" w:color="auto" w:fill="auto"/>
        <w:spacing w:line="560" w:lineRule="exact"/>
        <w:ind w:firstLine="640" w:firstLineChars="200"/>
        <w:rPr>
          <w:highlight w:val="none"/>
          <w:u w:val="none"/>
        </w:rPr>
      </w:pPr>
    </w:p>
    <w:sectPr>
      <w:headerReference r:id="rId3" w:type="default"/>
      <w:footerReference r:id="rId4"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altName w:val="黑体"/>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8AE03">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1E7736">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uOxM0BAACnAwAADgAAAGRycy9lMm9Eb2MueG1srVNLbtswEN0H6B0I&#10;7mspBlo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U/A1nTlh68PPPH+dfj+eH72yZ&#10;5OkDVlR1F6guDu/9QEszx5GCifXQgk1f4sMoT+KeLuKqITKZLq2Wq1VJKUm52SH84ul6AIwflLcs&#10;GTUHer0sqjh+wjiWziWpm/O32pj8gsb9FSDMMaLyCky3E5Nx4mTFYTdM9Ha+ORG7ntag5o62njPz&#10;0ZHKaWNmA2ZjNxuHAHrf5ZVK3TG8O0QaKU+aOoywxDA59H6Z67RraUH+9HPV0/+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JauOxM0BAACnAwAADgAAAAAAAAABACAAAAAeAQAAZHJzL2Uy&#10;b0RvYy54bWxQSwUGAAAAAAYABgBZAQAAXQUAAAAA&#10;">
              <v:fill on="f" focussize="0,0"/>
              <v:stroke on="f"/>
              <v:imagedata o:title=""/>
              <o:lock v:ext="edit" aspectratio="f"/>
              <v:textbox inset="0mm,0mm,0mm,0mm" style="mso-fit-shape-to-text:t;">
                <w:txbxContent>
                  <w:p w14:paraId="201E7736">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v:textbox>
            </v:shape>
          </w:pict>
        </mc:Fallback>
      </mc:AlternateContent>
    </w:r>
  </w:p>
  <w:p w14:paraId="295B220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94998">
    <w:pPr>
      <w:pStyle w:val="5"/>
      <w:pBdr>
        <w:bottom w:val="none" w:color="auto" w:sz="0" w:space="0"/>
      </w:pBdr>
    </w:pPr>
  </w:p>
  <w:p w14:paraId="54EE901E">
    <w:pPr>
      <w:pStyle w:val="5"/>
      <w:pBdr>
        <w:bottom w:val="none" w:color="auto" w:sz="0" w:space="0"/>
      </w:pBdr>
    </w:pPr>
  </w:p>
  <w:p w14:paraId="4FB2A99A">
    <w:pPr>
      <w:pStyle w:val="5"/>
      <w:pBdr>
        <w:bottom w:val="none" w:color="auto" w:sz="0" w:space="0"/>
      </w:pBdr>
      <w:jc w:val="right"/>
      <w:rPr>
        <w:rFonts w:hint="eastAsia" w:eastAsia="宋体"/>
        <w:sz w:val="24"/>
        <w:szCs w:val="2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E431F"/>
    <w:multiLevelType w:val="multilevel"/>
    <w:tmpl w:val="420E431F"/>
    <w:lvl w:ilvl="0" w:tentative="0">
      <w:start w:val="1"/>
      <w:numFmt w:val="chineseCountingThousand"/>
      <w:lvlText w:val="第%1条"/>
      <w:lvlJc w:val="left"/>
      <w:pPr>
        <w:ind w:left="2405" w:hanging="420"/>
      </w:pPr>
      <w:rPr>
        <w:rFonts w:hint="eastAsia" w:ascii="仿宋_GB2312" w:hAnsi="仿宋_GB2312" w:eastAsia="仿宋_GB2312" w:cs="仿宋_GB2312"/>
        <w:b/>
        <w:color w:val="auto"/>
        <w:lang w:val="en-US"/>
      </w:rPr>
    </w:lvl>
    <w:lvl w:ilvl="1" w:tentative="0">
      <w:start w:val="1"/>
      <w:numFmt w:val="japaneseCounting"/>
      <w:lvlText w:val="（%2）"/>
      <w:lvlJc w:val="left"/>
      <w:pPr>
        <w:ind w:left="2702" w:hanging="1080"/>
      </w:pPr>
      <w:rPr>
        <w:rFonts w:hint="default"/>
      </w:rPr>
    </w:lvl>
    <w:lvl w:ilvl="2" w:tentative="0">
      <w:start w:val="1"/>
      <w:numFmt w:val="lowerRoman"/>
      <w:lvlText w:val="%3."/>
      <w:lvlJc w:val="right"/>
      <w:pPr>
        <w:ind w:left="2462" w:hanging="420"/>
      </w:pPr>
    </w:lvl>
    <w:lvl w:ilvl="3" w:tentative="0">
      <w:start w:val="1"/>
      <w:numFmt w:val="decimal"/>
      <w:lvlText w:val="%4."/>
      <w:lvlJc w:val="left"/>
      <w:pPr>
        <w:ind w:left="2882" w:hanging="420"/>
      </w:pPr>
    </w:lvl>
    <w:lvl w:ilvl="4" w:tentative="0">
      <w:start w:val="1"/>
      <w:numFmt w:val="lowerLetter"/>
      <w:lvlText w:val="%5)"/>
      <w:lvlJc w:val="left"/>
      <w:pPr>
        <w:ind w:left="3302" w:hanging="420"/>
      </w:pPr>
    </w:lvl>
    <w:lvl w:ilvl="5" w:tentative="0">
      <w:start w:val="1"/>
      <w:numFmt w:val="lowerRoman"/>
      <w:lvlText w:val="%6."/>
      <w:lvlJc w:val="right"/>
      <w:pPr>
        <w:ind w:left="3722" w:hanging="420"/>
      </w:pPr>
    </w:lvl>
    <w:lvl w:ilvl="6" w:tentative="0">
      <w:start w:val="1"/>
      <w:numFmt w:val="decimal"/>
      <w:lvlText w:val="%7."/>
      <w:lvlJc w:val="left"/>
      <w:pPr>
        <w:ind w:left="4142" w:hanging="420"/>
      </w:pPr>
    </w:lvl>
    <w:lvl w:ilvl="7" w:tentative="0">
      <w:start w:val="1"/>
      <w:numFmt w:val="lowerLetter"/>
      <w:lvlText w:val="%8)"/>
      <w:lvlJc w:val="left"/>
      <w:pPr>
        <w:ind w:left="4562" w:hanging="420"/>
      </w:pPr>
    </w:lvl>
    <w:lvl w:ilvl="8" w:tentative="0">
      <w:start w:val="1"/>
      <w:numFmt w:val="lowerRoman"/>
      <w:lvlText w:val="%9."/>
      <w:lvlJc w:val="right"/>
      <w:pPr>
        <w:ind w:left="49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27A6905"/>
    <w:rsid w:val="04FF3D68"/>
    <w:rsid w:val="07BB1BEE"/>
    <w:rsid w:val="07C5554C"/>
    <w:rsid w:val="07D74439"/>
    <w:rsid w:val="07F7F415"/>
    <w:rsid w:val="09BB5873"/>
    <w:rsid w:val="0B0C1F3E"/>
    <w:rsid w:val="0BB68240"/>
    <w:rsid w:val="0DD7CC10"/>
    <w:rsid w:val="0FDDD668"/>
    <w:rsid w:val="101E46CB"/>
    <w:rsid w:val="11C86715"/>
    <w:rsid w:val="135B5CA2"/>
    <w:rsid w:val="15B93F7C"/>
    <w:rsid w:val="165E1A4D"/>
    <w:rsid w:val="167C1BC6"/>
    <w:rsid w:val="174B51AA"/>
    <w:rsid w:val="177D6515"/>
    <w:rsid w:val="17FAB2B0"/>
    <w:rsid w:val="192A068F"/>
    <w:rsid w:val="197A737A"/>
    <w:rsid w:val="1B5BD7BD"/>
    <w:rsid w:val="1E3CF1BF"/>
    <w:rsid w:val="1EF947E5"/>
    <w:rsid w:val="1EFFC6A1"/>
    <w:rsid w:val="1F010698"/>
    <w:rsid w:val="1F779317"/>
    <w:rsid w:val="1FBE78A4"/>
    <w:rsid w:val="1FD707C9"/>
    <w:rsid w:val="1FF9705C"/>
    <w:rsid w:val="1FFCABD0"/>
    <w:rsid w:val="1FFE96A3"/>
    <w:rsid w:val="20E71F9A"/>
    <w:rsid w:val="217E83DF"/>
    <w:rsid w:val="21D00C81"/>
    <w:rsid w:val="22D21FE9"/>
    <w:rsid w:val="23ED161E"/>
    <w:rsid w:val="25F73812"/>
    <w:rsid w:val="27FC28F5"/>
    <w:rsid w:val="27FDF3E6"/>
    <w:rsid w:val="2A3873C3"/>
    <w:rsid w:val="2A9F2DF0"/>
    <w:rsid w:val="2B6E7D0A"/>
    <w:rsid w:val="2BE5D993"/>
    <w:rsid w:val="2BEEFC23"/>
    <w:rsid w:val="2C6F3E2C"/>
    <w:rsid w:val="2CA90A4C"/>
    <w:rsid w:val="2CF69D14"/>
    <w:rsid w:val="2D8804C4"/>
    <w:rsid w:val="2DD843AB"/>
    <w:rsid w:val="2DFF71D3"/>
    <w:rsid w:val="2EB7EA29"/>
    <w:rsid w:val="2EF7C117"/>
    <w:rsid w:val="2F4552CD"/>
    <w:rsid w:val="2F7F4922"/>
    <w:rsid w:val="2FD77E40"/>
    <w:rsid w:val="2FDA1360"/>
    <w:rsid w:val="2FFF28B9"/>
    <w:rsid w:val="30B70406"/>
    <w:rsid w:val="333E188A"/>
    <w:rsid w:val="33CE6621"/>
    <w:rsid w:val="33FF6073"/>
    <w:rsid w:val="359B45F6"/>
    <w:rsid w:val="362FB868"/>
    <w:rsid w:val="365FF976"/>
    <w:rsid w:val="36BE3D17"/>
    <w:rsid w:val="36FB68E0"/>
    <w:rsid w:val="371BB5C2"/>
    <w:rsid w:val="376FC536"/>
    <w:rsid w:val="377F851C"/>
    <w:rsid w:val="377FF6C2"/>
    <w:rsid w:val="37EF5B81"/>
    <w:rsid w:val="38763D00"/>
    <w:rsid w:val="39522F81"/>
    <w:rsid w:val="397D803C"/>
    <w:rsid w:val="39F7BE63"/>
    <w:rsid w:val="3A27446B"/>
    <w:rsid w:val="3AAF21F7"/>
    <w:rsid w:val="3B3FEFC6"/>
    <w:rsid w:val="3BB2D926"/>
    <w:rsid w:val="3BDF5DF1"/>
    <w:rsid w:val="3BEF5109"/>
    <w:rsid w:val="3BFBFC5B"/>
    <w:rsid w:val="3BFE550A"/>
    <w:rsid w:val="3BFF5DCB"/>
    <w:rsid w:val="3CBDD6D1"/>
    <w:rsid w:val="3CFB85E8"/>
    <w:rsid w:val="3CFFECC2"/>
    <w:rsid w:val="3DBA16E0"/>
    <w:rsid w:val="3DBC0929"/>
    <w:rsid w:val="3DCBFC8F"/>
    <w:rsid w:val="3DDDE9FA"/>
    <w:rsid w:val="3DF3D950"/>
    <w:rsid w:val="3DF789B6"/>
    <w:rsid w:val="3DFEC356"/>
    <w:rsid w:val="3E3FD107"/>
    <w:rsid w:val="3E77F767"/>
    <w:rsid w:val="3EBF771D"/>
    <w:rsid w:val="3ED75D75"/>
    <w:rsid w:val="3EDE6207"/>
    <w:rsid w:val="3EDFB90C"/>
    <w:rsid w:val="3EF13255"/>
    <w:rsid w:val="3F2DA9F5"/>
    <w:rsid w:val="3F2F2112"/>
    <w:rsid w:val="3F3BA958"/>
    <w:rsid w:val="3F3FAFF4"/>
    <w:rsid w:val="3F51ADC1"/>
    <w:rsid w:val="3F53CF37"/>
    <w:rsid w:val="3F5A9191"/>
    <w:rsid w:val="3F7F2256"/>
    <w:rsid w:val="3F7F6A22"/>
    <w:rsid w:val="3FAB4DAB"/>
    <w:rsid w:val="3FAF87EA"/>
    <w:rsid w:val="3FB9675B"/>
    <w:rsid w:val="3FBF7E73"/>
    <w:rsid w:val="3FDD9C71"/>
    <w:rsid w:val="3FDFF306"/>
    <w:rsid w:val="3FEE46F9"/>
    <w:rsid w:val="3FF7D110"/>
    <w:rsid w:val="3FF7E718"/>
    <w:rsid w:val="3FFA3DA3"/>
    <w:rsid w:val="3FFB924A"/>
    <w:rsid w:val="3FFE1762"/>
    <w:rsid w:val="3FFF7F04"/>
    <w:rsid w:val="40926D1C"/>
    <w:rsid w:val="435D4969"/>
    <w:rsid w:val="43DBFC5C"/>
    <w:rsid w:val="44385116"/>
    <w:rsid w:val="443BFC0E"/>
    <w:rsid w:val="44BF1B37"/>
    <w:rsid w:val="45CE2118"/>
    <w:rsid w:val="45DD824F"/>
    <w:rsid w:val="47BD1801"/>
    <w:rsid w:val="47D299F0"/>
    <w:rsid w:val="47E78A18"/>
    <w:rsid w:val="47F3283D"/>
    <w:rsid w:val="49341933"/>
    <w:rsid w:val="4AB915D4"/>
    <w:rsid w:val="4BDF3BA5"/>
    <w:rsid w:val="4BEB0116"/>
    <w:rsid w:val="4BFF4947"/>
    <w:rsid w:val="4CB1D8DF"/>
    <w:rsid w:val="4CFB9B23"/>
    <w:rsid w:val="4CFF3EAF"/>
    <w:rsid w:val="4DF5E7D0"/>
    <w:rsid w:val="4EF6EB99"/>
    <w:rsid w:val="4EF74D19"/>
    <w:rsid w:val="4EF9B8D2"/>
    <w:rsid w:val="4F336113"/>
    <w:rsid w:val="4F361CD0"/>
    <w:rsid w:val="4F5F4614"/>
    <w:rsid w:val="4FBEB55D"/>
    <w:rsid w:val="4FED2DF6"/>
    <w:rsid w:val="4FFB1CE6"/>
    <w:rsid w:val="511F58A1"/>
    <w:rsid w:val="517789D4"/>
    <w:rsid w:val="517EE4AE"/>
    <w:rsid w:val="53115D65"/>
    <w:rsid w:val="5455CEA6"/>
    <w:rsid w:val="54BB841E"/>
    <w:rsid w:val="54D78784"/>
    <w:rsid w:val="54DF1B0C"/>
    <w:rsid w:val="553F5DDE"/>
    <w:rsid w:val="55C027DF"/>
    <w:rsid w:val="55CE40E4"/>
    <w:rsid w:val="55DF24D4"/>
    <w:rsid w:val="55FF3980"/>
    <w:rsid w:val="567D0B80"/>
    <w:rsid w:val="56DD6784"/>
    <w:rsid w:val="571E5B6E"/>
    <w:rsid w:val="576F29CF"/>
    <w:rsid w:val="578DD94E"/>
    <w:rsid w:val="57F45EB5"/>
    <w:rsid w:val="588FF164"/>
    <w:rsid w:val="59561609"/>
    <w:rsid w:val="59DD2BD5"/>
    <w:rsid w:val="59F30D3D"/>
    <w:rsid w:val="59FFEF3C"/>
    <w:rsid w:val="5A9F98F2"/>
    <w:rsid w:val="5AFFCE0E"/>
    <w:rsid w:val="5B589142"/>
    <w:rsid w:val="5B694D7F"/>
    <w:rsid w:val="5B958986"/>
    <w:rsid w:val="5BA02E96"/>
    <w:rsid w:val="5BEA4111"/>
    <w:rsid w:val="5D6C883E"/>
    <w:rsid w:val="5DBB360A"/>
    <w:rsid w:val="5DBB8B8A"/>
    <w:rsid w:val="5DC9DDCE"/>
    <w:rsid w:val="5DDB73EF"/>
    <w:rsid w:val="5EBF5BA1"/>
    <w:rsid w:val="5EC17021"/>
    <w:rsid w:val="5ECF8F19"/>
    <w:rsid w:val="5ED79646"/>
    <w:rsid w:val="5EDF9D3B"/>
    <w:rsid w:val="5EFA3C7E"/>
    <w:rsid w:val="5EFAB4FE"/>
    <w:rsid w:val="5EFF7672"/>
    <w:rsid w:val="5F2F4E71"/>
    <w:rsid w:val="5F6D11AA"/>
    <w:rsid w:val="5F784CB0"/>
    <w:rsid w:val="5F7DF9A6"/>
    <w:rsid w:val="5F952D55"/>
    <w:rsid w:val="5F9CD6BE"/>
    <w:rsid w:val="5FAF2414"/>
    <w:rsid w:val="5FB5B4E1"/>
    <w:rsid w:val="5FBBA753"/>
    <w:rsid w:val="5FBD3B86"/>
    <w:rsid w:val="5FBF40EE"/>
    <w:rsid w:val="5FCF7AC5"/>
    <w:rsid w:val="5FD74FBF"/>
    <w:rsid w:val="5FE3A437"/>
    <w:rsid w:val="5FEF35FB"/>
    <w:rsid w:val="5FF6414F"/>
    <w:rsid w:val="5FF7A3F7"/>
    <w:rsid w:val="5FFB2BAE"/>
    <w:rsid w:val="5FFBA933"/>
    <w:rsid w:val="5FFBC642"/>
    <w:rsid w:val="5FFDB9B7"/>
    <w:rsid w:val="5FFFC111"/>
    <w:rsid w:val="60185ACF"/>
    <w:rsid w:val="60E45628"/>
    <w:rsid w:val="616D4A65"/>
    <w:rsid w:val="61777B89"/>
    <w:rsid w:val="626A60E7"/>
    <w:rsid w:val="645A5BAC"/>
    <w:rsid w:val="64DB6F9A"/>
    <w:rsid w:val="65777272"/>
    <w:rsid w:val="662BCFD6"/>
    <w:rsid w:val="667F08E8"/>
    <w:rsid w:val="67396072"/>
    <w:rsid w:val="676FF7CB"/>
    <w:rsid w:val="67BF6B70"/>
    <w:rsid w:val="67E94FB4"/>
    <w:rsid w:val="67FF090E"/>
    <w:rsid w:val="68BE2BB4"/>
    <w:rsid w:val="69361230"/>
    <w:rsid w:val="69675EBB"/>
    <w:rsid w:val="69AF3C43"/>
    <w:rsid w:val="69EB5BFE"/>
    <w:rsid w:val="69EF83E2"/>
    <w:rsid w:val="69F406AD"/>
    <w:rsid w:val="6B7EFB95"/>
    <w:rsid w:val="6B92145E"/>
    <w:rsid w:val="6BEB0B59"/>
    <w:rsid w:val="6CFFB4F6"/>
    <w:rsid w:val="6DB740FF"/>
    <w:rsid w:val="6DB78920"/>
    <w:rsid w:val="6DC34E29"/>
    <w:rsid w:val="6DFF0DFC"/>
    <w:rsid w:val="6DFF263D"/>
    <w:rsid w:val="6DFFB3B0"/>
    <w:rsid w:val="6E7E9B3A"/>
    <w:rsid w:val="6EA39F19"/>
    <w:rsid w:val="6EBF327A"/>
    <w:rsid w:val="6EDF1605"/>
    <w:rsid w:val="6EEDD3EF"/>
    <w:rsid w:val="6EF63FB7"/>
    <w:rsid w:val="6EFE75E2"/>
    <w:rsid w:val="6EFFBD3B"/>
    <w:rsid w:val="6EFFD1AF"/>
    <w:rsid w:val="6F0F0FFF"/>
    <w:rsid w:val="6F1EF796"/>
    <w:rsid w:val="6F4DA78B"/>
    <w:rsid w:val="6F5DC9F0"/>
    <w:rsid w:val="6F5E49BC"/>
    <w:rsid w:val="6F7E8087"/>
    <w:rsid w:val="6F9713D4"/>
    <w:rsid w:val="6FAE5D5D"/>
    <w:rsid w:val="6FDB47B3"/>
    <w:rsid w:val="6FDF2E5B"/>
    <w:rsid w:val="6FED4AD0"/>
    <w:rsid w:val="6FEFFEDF"/>
    <w:rsid w:val="6FF58F05"/>
    <w:rsid w:val="6FF5A77E"/>
    <w:rsid w:val="6FFABABA"/>
    <w:rsid w:val="6FFF41E5"/>
    <w:rsid w:val="70424A70"/>
    <w:rsid w:val="70DDEE4B"/>
    <w:rsid w:val="71DE09F3"/>
    <w:rsid w:val="72B7E403"/>
    <w:rsid w:val="72F7A50A"/>
    <w:rsid w:val="731FB429"/>
    <w:rsid w:val="737FA07C"/>
    <w:rsid w:val="737FFC53"/>
    <w:rsid w:val="73B51771"/>
    <w:rsid w:val="73BE5BFF"/>
    <w:rsid w:val="73DFE641"/>
    <w:rsid w:val="74270412"/>
    <w:rsid w:val="74F69932"/>
    <w:rsid w:val="74FD4FE8"/>
    <w:rsid w:val="7539933F"/>
    <w:rsid w:val="754E7A68"/>
    <w:rsid w:val="757D31DE"/>
    <w:rsid w:val="75AFE8D0"/>
    <w:rsid w:val="75B97D12"/>
    <w:rsid w:val="75DD6D4A"/>
    <w:rsid w:val="75E283BD"/>
    <w:rsid w:val="75EF2A1B"/>
    <w:rsid w:val="75FDDB11"/>
    <w:rsid w:val="762A3135"/>
    <w:rsid w:val="76EFF6EE"/>
    <w:rsid w:val="76FF487A"/>
    <w:rsid w:val="772587C1"/>
    <w:rsid w:val="773BCB5A"/>
    <w:rsid w:val="777B8B76"/>
    <w:rsid w:val="777E176F"/>
    <w:rsid w:val="777F7AE1"/>
    <w:rsid w:val="779C89D2"/>
    <w:rsid w:val="779E9705"/>
    <w:rsid w:val="77BC19B7"/>
    <w:rsid w:val="77BDA92F"/>
    <w:rsid w:val="77BE0CA1"/>
    <w:rsid w:val="77C2083E"/>
    <w:rsid w:val="77D96C14"/>
    <w:rsid w:val="77E538EA"/>
    <w:rsid w:val="77EB794E"/>
    <w:rsid w:val="77F5B78F"/>
    <w:rsid w:val="77FBE0FF"/>
    <w:rsid w:val="77FCFA98"/>
    <w:rsid w:val="783A1FD1"/>
    <w:rsid w:val="797B2E99"/>
    <w:rsid w:val="79ABC19A"/>
    <w:rsid w:val="79AF6907"/>
    <w:rsid w:val="79BFF678"/>
    <w:rsid w:val="79D69EE4"/>
    <w:rsid w:val="79D9DAED"/>
    <w:rsid w:val="79DFB32B"/>
    <w:rsid w:val="79FE4653"/>
    <w:rsid w:val="79FF1D77"/>
    <w:rsid w:val="7A9AEB68"/>
    <w:rsid w:val="7AAE1A50"/>
    <w:rsid w:val="7ABF0F94"/>
    <w:rsid w:val="7ABF2B69"/>
    <w:rsid w:val="7ADFD7C1"/>
    <w:rsid w:val="7AF916FA"/>
    <w:rsid w:val="7AFBA20B"/>
    <w:rsid w:val="7AFD2091"/>
    <w:rsid w:val="7AFD4D02"/>
    <w:rsid w:val="7AFF58F5"/>
    <w:rsid w:val="7AFFB3D8"/>
    <w:rsid w:val="7AFFD81A"/>
    <w:rsid w:val="7B2C1B2B"/>
    <w:rsid w:val="7B3FF3B2"/>
    <w:rsid w:val="7B6F774D"/>
    <w:rsid w:val="7B96F5A5"/>
    <w:rsid w:val="7B9F04E3"/>
    <w:rsid w:val="7BBDC477"/>
    <w:rsid w:val="7BDB8CE3"/>
    <w:rsid w:val="7BDEA78B"/>
    <w:rsid w:val="7BF0EE26"/>
    <w:rsid w:val="7BF6CAFC"/>
    <w:rsid w:val="7BF76852"/>
    <w:rsid w:val="7BFEF6DF"/>
    <w:rsid w:val="7BFF7838"/>
    <w:rsid w:val="7BFF7BB0"/>
    <w:rsid w:val="7BFFA4FE"/>
    <w:rsid w:val="7CAE5B1B"/>
    <w:rsid w:val="7CDECBAB"/>
    <w:rsid w:val="7CE1BFEB"/>
    <w:rsid w:val="7CEAF52E"/>
    <w:rsid w:val="7CF65519"/>
    <w:rsid w:val="7CFFB650"/>
    <w:rsid w:val="7D3897C6"/>
    <w:rsid w:val="7D3F12A1"/>
    <w:rsid w:val="7D57A4F5"/>
    <w:rsid w:val="7D6B542C"/>
    <w:rsid w:val="7D771E53"/>
    <w:rsid w:val="7D7B1206"/>
    <w:rsid w:val="7DA666D6"/>
    <w:rsid w:val="7DBFD2CF"/>
    <w:rsid w:val="7DDA61A8"/>
    <w:rsid w:val="7DDDB054"/>
    <w:rsid w:val="7DDE7950"/>
    <w:rsid w:val="7DEB7382"/>
    <w:rsid w:val="7DF57309"/>
    <w:rsid w:val="7DF7BB68"/>
    <w:rsid w:val="7DFB4F23"/>
    <w:rsid w:val="7DFBE93A"/>
    <w:rsid w:val="7DFF31EC"/>
    <w:rsid w:val="7E1E5CCA"/>
    <w:rsid w:val="7E3D0D6E"/>
    <w:rsid w:val="7E3F052E"/>
    <w:rsid w:val="7E77EAC3"/>
    <w:rsid w:val="7E7E0351"/>
    <w:rsid w:val="7EBFFE39"/>
    <w:rsid w:val="7ECD46F3"/>
    <w:rsid w:val="7ED743E8"/>
    <w:rsid w:val="7EDD5D82"/>
    <w:rsid w:val="7EE934C4"/>
    <w:rsid w:val="7EEB7A06"/>
    <w:rsid w:val="7EFAB833"/>
    <w:rsid w:val="7EFB4614"/>
    <w:rsid w:val="7EFD749B"/>
    <w:rsid w:val="7EFD766D"/>
    <w:rsid w:val="7EFE9981"/>
    <w:rsid w:val="7EFFED68"/>
    <w:rsid w:val="7F156270"/>
    <w:rsid w:val="7F4513E6"/>
    <w:rsid w:val="7F5F0661"/>
    <w:rsid w:val="7F5FFF2D"/>
    <w:rsid w:val="7F65DA52"/>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35608"/>
    <w:rsid w:val="7FAD5621"/>
    <w:rsid w:val="7FAFDBED"/>
    <w:rsid w:val="7FB2E7D2"/>
    <w:rsid w:val="7FB59ABB"/>
    <w:rsid w:val="7FB7349F"/>
    <w:rsid w:val="7FB8BA28"/>
    <w:rsid w:val="7FB9CD2D"/>
    <w:rsid w:val="7FBA1DBA"/>
    <w:rsid w:val="7FBB977E"/>
    <w:rsid w:val="7FBE2778"/>
    <w:rsid w:val="7FBECC9B"/>
    <w:rsid w:val="7FBF10E2"/>
    <w:rsid w:val="7FBF3EEE"/>
    <w:rsid w:val="7FCD5260"/>
    <w:rsid w:val="7FD71F84"/>
    <w:rsid w:val="7FDCDB3B"/>
    <w:rsid w:val="7FDD20F2"/>
    <w:rsid w:val="7FDF2EF7"/>
    <w:rsid w:val="7FDF7E94"/>
    <w:rsid w:val="7FE221C4"/>
    <w:rsid w:val="7FE3A67E"/>
    <w:rsid w:val="7FEF18A0"/>
    <w:rsid w:val="7FEF8E13"/>
    <w:rsid w:val="7FEF9C63"/>
    <w:rsid w:val="7FEFABFD"/>
    <w:rsid w:val="7FEFFD45"/>
    <w:rsid w:val="7FF3A5D8"/>
    <w:rsid w:val="7FF3C3CD"/>
    <w:rsid w:val="7FF3FC8F"/>
    <w:rsid w:val="7FF6B8AA"/>
    <w:rsid w:val="7FF6CED8"/>
    <w:rsid w:val="7FF74957"/>
    <w:rsid w:val="7FF75CB9"/>
    <w:rsid w:val="7FF7A590"/>
    <w:rsid w:val="7FF9C1EE"/>
    <w:rsid w:val="7FFAD525"/>
    <w:rsid w:val="7FFB9394"/>
    <w:rsid w:val="7FFCEEFD"/>
    <w:rsid w:val="7FFD671D"/>
    <w:rsid w:val="7FFF9774"/>
    <w:rsid w:val="7FFF9A02"/>
    <w:rsid w:val="7FFFB26F"/>
    <w:rsid w:val="7FFFB27B"/>
    <w:rsid w:val="7FFFCBE5"/>
    <w:rsid w:val="7FFFD4B5"/>
    <w:rsid w:val="7FFFDE7E"/>
    <w:rsid w:val="7FFFFE48"/>
    <w:rsid w:val="869DDACA"/>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B4BD99"/>
    <w:rsid w:val="9FDA1372"/>
    <w:rsid w:val="9FDF31CC"/>
    <w:rsid w:val="9FF91159"/>
    <w:rsid w:val="9FFB1C94"/>
    <w:rsid w:val="A1DB92BA"/>
    <w:rsid w:val="A3BF7A6E"/>
    <w:rsid w:val="A4FFC953"/>
    <w:rsid w:val="A7A759BF"/>
    <w:rsid w:val="A7DBBB39"/>
    <w:rsid w:val="A7FF3554"/>
    <w:rsid w:val="AB77B036"/>
    <w:rsid w:val="AB7C060F"/>
    <w:rsid w:val="ABF7C4D1"/>
    <w:rsid w:val="ACBBBA0D"/>
    <w:rsid w:val="ADFAC2E0"/>
    <w:rsid w:val="ADFF3058"/>
    <w:rsid w:val="AEBF0B41"/>
    <w:rsid w:val="AF1F0AFE"/>
    <w:rsid w:val="AF766D12"/>
    <w:rsid w:val="AF7FA2B4"/>
    <w:rsid w:val="AF8C3F21"/>
    <w:rsid w:val="AF8FFF3B"/>
    <w:rsid w:val="AFB723C9"/>
    <w:rsid w:val="AFFFF0EE"/>
    <w:rsid w:val="B53E8DB0"/>
    <w:rsid w:val="B5B2263E"/>
    <w:rsid w:val="B67ED74B"/>
    <w:rsid w:val="B6EFEBC8"/>
    <w:rsid w:val="B7683BFF"/>
    <w:rsid w:val="B7DFE060"/>
    <w:rsid w:val="B7F35326"/>
    <w:rsid w:val="B7F6B58A"/>
    <w:rsid w:val="B7FB09B9"/>
    <w:rsid w:val="B7FC9887"/>
    <w:rsid w:val="B7FD9431"/>
    <w:rsid w:val="B9FFB812"/>
    <w:rsid w:val="BB3B2490"/>
    <w:rsid w:val="BB9CCD26"/>
    <w:rsid w:val="BBAE740E"/>
    <w:rsid w:val="BBAF8B5F"/>
    <w:rsid w:val="BBC8831B"/>
    <w:rsid w:val="BCFBDD9E"/>
    <w:rsid w:val="BD655EEA"/>
    <w:rsid w:val="BDAE5644"/>
    <w:rsid w:val="BDDE8383"/>
    <w:rsid w:val="BDFDDE43"/>
    <w:rsid w:val="BE37FC8F"/>
    <w:rsid w:val="BE4B00DC"/>
    <w:rsid w:val="BE571C8B"/>
    <w:rsid w:val="BE7C6463"/>
    <w:rsid w:val="BEAF3918"/>
    <w:rsid w:val="BEBFB2C6"/>
    <w:rsid w:val="BECD101F"/>
    <w:rsid w:val="BEEF9D35"/>
    <w:rsid w:val="BEF7C3A1"/>
    <w:rsid w:val="BF4BD5A7"/>
    <w:rsid w:val="BF672029"/>
    <w:rsid w:val="BFA0262D"/>
    <w:rsid w:val="BFB7CE2B"/>
    <w:rsid w:val="BFBAFAD5"/>
    <w:rsid w:val="BFD42DF6"/>
    <w:rsid w:val="BFDA1ED4"/>
    <w:rsid w:val="BFDFDFD9"/>
    <w:rsid w:val="BFEBBC6E"/>
    <w:rsid w:val="BFEF5FFF"/>
    <w:rsid w:val="BFF720CF"/>
    <w:rsid w:val="BFFC29C5"/>
    <w:rsid w:val="BFFF4E2B"/>
    <w:rsid w:val="BFFFC28D"/>
    <w:rsid w:val="C15FE2D7"/>
    <w:rsid w:val="C48F29F9"/>
    <w:rsid w:val="C6FEC181"/>
    <w:rsid w:val="C7BF2ACF"/>
    <w:rsid w:val="C7F79D3B"/>
    <w:rsid w:val="C9EA5742"/>
    <w:rsid w:val="CAFD3B02"/>
    <w:rsid w:val="CB9F1240"/>
    <w:rsid w:val="CBB82702"/>
    <w:rsid w:val="CBDC6C85"/>
    <w:rsid w:val="CD7F835E"/>
    <w:rsid w:val="CDFB3ACB"/>
    <w:rsid w:val="CDFFE013"/>
    <w:rsid w:val="CE5FDF3C"/>
    <w:rsid w:val="CE7F3602"/>
    <w:rsid w:val="CF7F9057"/>
    <w:rsid w:val="CF97264A"/>
    <w:rsid w:val="CFCA0001"/>
    <w:rsid w:val="CFDBC38D"/>
    <w:rsid w:val="CFDF2AF4"/>
    <w:rsid w:val="CFFB5A73"/>
    <w:rsid w:val="CFFD56F7"/>
    <w:rsid w:val="CFFFE25E"/>
    <w:rsid w:val="D56B49E7"/>
    <w:rsid w:val="D63C48EA"/>
    <w:rsid w:val="D6FD385E"/>
    <w:rsid w:val="D7B5398A"/>
    <w:rsid w:val="D7DA8F7B"/>
    <w:rsid w:val="D7DFEC15"/>
    <w:rsid w:val="D7E7EB5E"/>
    <w:rsid w:val="D7EBDEE1"/>
    <w:rsid w:val="D7FF4D17"/>
    <w:rsid w:val="D8EB152E"/>
    <w:rsid w:val="D9BDFA27"/>
    <w:rsid w:val="D9F7F492"/>
    <w:rsid w:val="D9FF4A30"/>
    <w:rsid w:val="DADF5E61"/>
    <w:rsid w:val="DB37AA42"/>
    <w:rsid w:val="DB7D4AA3"/>
    <w:rsid w:val="DBBE2281"/>
    <w:rsid w:val="DBBF6F2B"/>
    <w:rsid w:val="DBF421BD"/>
    <w:rsid w:val="DCECF78F"/>
    <w:rsid w:val="DD6D1D66"/>
    <w:rsid w:val="DD9C11E8"/>
    <w:rsid w:val="DDD7C777"/>
    <w:rsid w:val="DDDF9A5B"/>
    <w:rsid w:val="DDEB209C"/>
    <w:rsid w:val="DDF7BEB9"/>
    <w:rsid w:val="DDFBE280"/>
    <w:rsid w:val="DDFF01CE"/>
    <w:rsid w:val="DE9970DB"/>
    <w:rsid w:val="DEBDA1B0"/>
    <w:rsid w:val="DECFCA45"/>
    <w:rsid w:val="DEF22306"/>
    <w:rsid w:val="DEF55A9C"/>
    <w:rsid w:val="DEF87B44"/>
    <w:rsid w:val="DEFFAE64"/>
    <w:rsid w:val="DF2EA739"/>
    <w:rsid w:val="DF3FCD8D"/>
    <w:rsid w:val="DF4D6803"/>
    <w:rsid w:val="DF6ECFE4"/>
    <w:rsid w:val="DF7FE58B"/>
    <w:rsid w:val="DFAFF021"/>
    <w:rsid w:val="DFBD66A7"/>
    <w:rsid w:val="DFBFB32C"/>
    <w:rsid w:val="DFDEA4E0"/>
    <w:rsid w:val="DFE72300"/>
    <w:rsid w:val="DFEF4734"/>
    <w:rsid w:val="DFF7ECD2"/>
    <w:rsid w:val="DFFBB891"/>
    <w:rsid w:val="DFFC4B6D"/>
    <w:rsid w:val="DFFD0AF5"/>
    <w:rsid w:val="DFFD20DE"/>
    <w:rsid w:val="DFFE10B1"/>
    <w:rsid w:val="DFFEA0C9"/>
    <w:rsid w:val="DFFF1305"/>
    <w:rsid w:val="DFFFDF80"/>
    <w:rsid w:val="E1F965CF"/>
    <w:rsid w:val="E32B1C67"/>
    <w:rsid w:val="E3FF0DCF"/>
    <w:rsid w:val="E4DF7F8F"/>
    <w:rsid w:val="E65FF0A3"/>
    <w:rsid w:val="E7566DAB"/>
    <w:rsid w:val="E779D38A"/>
    <w:rsid w:val="E77F000E"/>
    <w:rsid w:val="E77FD953"/>
    <w:rsid w:val="E7BF3E61"/>
    <w:rsid w:val="E7EB5DA9"/>
    <w:rsid w:val="E7FA17DC"/>
    <w:rsid w:val="E7FF3CDD"/>
    <w:rsid w:val="E8F6C72D"/>
    <w:rsid w:val="E8FF3E9C"/>
    <w:rsid w:val="E8FFB92E"/>
    <w:rsid w:val="E97FC7F3"/>
    <w:rsid w:val="E9DEAC92"/>
    <w:rsid w:val="EADA5092"/>
    <w:rsid w:val="EB9AE22B"/>
    <w:rsid w:val="EBED4AEB"/>
    <w:rsid w:val="EBFE014B"/>
    <w:rsid w:val="EBFF4EFE"/>
    <w:rsid w:val="EBFF8C58"/>
    <w:rsid w:val="EBFFC4A7"/>
    <w:rsid w:val="ECBEB972"/>
    <w:rsid w:val="ECBF47C7"/>
    <w:rsid w:val="ECBF81B1"/>
    <w:rsid w:val="ECDFD9E5"/>
    <w:rsid w:val="ED6DF23C"/>
    <w:rsid w:val="ED6F5C2F"/>
    <w:rsid w:val="ED6F8231"/>
    <w:rsid w:val="ED9DC764"/>
    <w:rsid w:val="EDAC993F"/>
    <w:rsid w:val="EDEB3623"/>
    <w:rsid w:val="EDFA8C59"/>
    <w:rsid w:val="EDFF2FA3"/>
    <w:rsid w:val="EDFFF7FE"/>
    <w:rsid w:val="EEAE9E1D"/>
    <w:rsid w:val="EEAFEDF4"/>
    <w:rsid w:val="EEBD4B34"/>
    <w:rsid w:val="EEBF696A"/>
    <w:rsid w:val="EEEEABEB"/>
    <w:rsid w:val="EF4E2503"/>
    <w:rsid w:val="EF67BD34"/>
    <w:rsid w:val="EF73A65B"/>
    <w:rsid w:val="EF744E76"/>
    <w:rsid w:val="EF7723C9"/>
    <w:rsid w:val="EF9D3F5D"/>
    <w:rsid w:val="EF9FF9D6"/>
    <w:rsid w:val="EFA72EE9"/>
    <w:rsid w:val="EFBB4774"/>
    <w:rsid w:val="EFBF7A35"/>
    <w:rsid w:val="EFBF8E55"/>
    <w:rsid w:val="EFDDD301"/>
    <w:rsid w:val="EFEB8DBE"/>
    <w:rsid w:val="EFEF1247"/>
    <w:rsid w:val="EFEF4138"/>
    <w:rsid w:val="EFF60730"/>
    <w:rsid w:val="EFFB61A4"/>
    <w:rsid w:val="EFFBD30A"/>
    <w:rsid w:val="EFFD6B1C"/>
    <w:rsid w:val="EFFE83F3"/>
    <w:rsid w:val="F0DF8D9D"/>
    <w:rsid w:val="F0FB2005"/>
    <w:rsid w:val="F0FFD219"/>
    <w:rsid w:val="F17DF9B6"/>
    <w:rsid w:val="F17EB1D2"/>
    <w:rsid w:val="F1CFE81F"/>
    <w:rsid w:val="F1D797B3"/>
    <w:rsid w:val="F23ED0DD"/>
    <w:rsid w:val="F2DE3EFE"/>
    <w:rsid w:val="F3BFEE0A"/>
    <w:rsid w:val="F3C76ADC"/>
    <w:rsid w:val="F3E258DD"/>
    <w:rsid w:val="F437F64B"/>
    <w:rsid w:val="F4BFBCDF"/>
    <w:rsid w:val="F52B829B"/>
    <w:rsid w:val="F5A7625E"/>
    <w:rsid w:val="F5BE4FE5"/>
    <w:rsid w:val="F5EEB797"/>
    <w:rsid w:val="F5F3B7DC"/>
    <w:rsid w:val="F657DD69"/>
    <w:rsid w:val="F67F1D87"/>
    <w:rsid w:val="F67F7E7F"/>
    <w:rsid w:val="F6BF9F3B"/>
    <w:rsid w:val="F6FF47BB"/>
    <w:rsid w:val="F6FFAF89"/>
    <w:rsid w:val="F71F2573"/>
    <w:rsid w:val="F74EB729"/>
    <w:rsid w:val="F7773FB1"/>
    <w:rsid w:val="F77F346E"/>
    <w:rsid w:val="F77F9F1F"/>
    <w:rsid w:val="F7867B6D"/>
    <w:rsid w:val="F7BA0131"/>
    <w:rsid w:val="F7BCE4B3"/>
    <w:rsid w:val="F7CFAA6D"/>
    <w:rsid w:val="F7D64ABC"/>
    <w:rsid w:val="F7DB95CA"/>
    <w:rsid w:val="F7F30F8B"/>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F7613C"/>
    <w:rsid w:val="FAF9AEDD"/>
    <w:rsid w:val="FB17C95F"/>
    <w:rsid w:val="FB3679B7"/>
    <w:rsid w:val="FB37C0BA"/>
    <w:rsid w:val="FB3F4A47"/>
    <w:rsid w:val="FB7FB783"/>
    <w:rsid w:val="FB9DFAAB"/>
    <w:rsid w:val="FBBACC48"/>
    <w:rsid w:val="FBBED9D7"/>
    <w:rsid w:val="FBBFBB6F"/>
    <w:rsid w:val="FBC08DCD"/>
    <w:rsid w:val="FBCF8371"/>
    <w:rsid w:val="FBD67B9A"/>
    <w:rsid w:val="FBD7FFA7"/>
    <w:rsid w:val="FBDAD2AE"/>
    <w:rsid w:val="FBDC28B9"/>
    <w:rsid w:val="FBDF823A"/>
    <w:rsid w:val="FBEDB77E"/>
    <w:rsid w:val="FBF59882"/>
    <w:rsid w:val="FBFBB5A0"/>
    <w:rsid w:val="FBFF5C7A"/>
    <w:rsid w:val="FBFFBCB5"/>
    <w:rsid w:val="FCCE718A"/>
    <w:rsid w:val="FCDA46A8"/>
    <w:rsid w:val="FCF3F7AE"/>
    <w:rsid w:val="FCFF1215"/>
    <w:rsid w:val="FCFF6FF0"/>
    <w:rsid w:val="FD3759FC"/>
    <w:rsid w:val="FD3F6B6D"/>
    <w:rsid w:val="FD75ACA5"/>
    <w:rsid w:val="FD7B78C1"/>
    <w:rsid w:val="FDABCD02"/>
    <w:rsid w:val="FDAF1E02"/>
    <w:rsid w:val="FDB41AF9"/>
    <w:rsid w:val="FDB7B079"/>
    <w:rsid w:val="FDBD64A7"/>
    <w:rsid w:val="FDBF438A"/>
    <w:rsid w:val="FDCF1865"/>
    <w:rsid w:val="FDD32E04"/>
    <w:rsid w:val="FDDD67C0"/>
    <w:rsid w:val="FDDF157E"/>
    <w:rsid w:val="FDDF7F8E"/>
    <w:rsid w:val="FDE3ABC3"/>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59AAA"/>
    <w:rsid w:val="FEDEFA73"/>
    <w:rsid w:val="FEDF7BD7"/>
    <w:rsid w:val="FEF752E6"/>
    <w:rsid w:val="FEF7E766"/>
    <w:rsid w:val="FEFB71D6"/>
    <w:rsid w:val="FEFB86BD"/>
    <w:rsid w:val="FEFE3D4D"/>
    <w:rsid w:val="FEFEF01C"/>
    <w:rsid w:val="FF1B7F5F"/>
    <w:rsid w:val="FF1F6B8C"/>
    <w:rsid w:val="FF3DDCC5"/>
    <w:rsid w:val="FF3F29D2"/>
    <w:rsid w:val="FF3FB06C"/>
    <w:rsid w:val="FF46ECEE"/>
    <w:rsid w:val="FF513FAA"/>
    <w:rsid w:val="FF5F9C96"/>
    <w:rsid w:val="FF6929A6"/>
    <w:rsid w:val="FF734CDE"/>
    <w:rsid w:val="FF73DAD7"/>
    <w:rsid w:val="FF7C3AB7"/>
    <w:rsid w:val="FF7D59F0"/>
    <w:rsid w:val="FF7ED0A6"/>
    <w:rsid w:val="FF7F6A55"/>
    <w:rsid w:val="FFAB84B1"/>
    <w:rsid w:val="FFADD265"/>
    <w:rsid w:val="FFAF3C6B"/>
    <w:rsid w:val="FFAF4A5C"/>
    <w:rsid w:val="FFBB8872"/>
    <w:rsid w:val="FFBBAA47"/>
    <w:rsid w:val="FFBF2386"/>
    <w:rsid w:val="FFBF6D14"/>
    <w:rsid w:val="FFBFCF0C"/>
    <w:rsid w:val="FFC76103"/>
    <w:rsid w:val="FFD7FEC1"/>
    <w:rsid w:val="FFDA96D8"/>
    <w:rsid w:val="FFDBD54A"/>
    <w:rsid w:val="FFDC3C25"/>
    <w:rsid w:val="FFDDE0E3"/>
    <w:rsid w:val="FFDEC6CF"/>
    <w:rsid w:val="FFE3FA90"/>
    <w:rsid w:val="FFE55971"/>
    <w:rsid w:val="FFEE4F9F"/>
    <w:rsid w:val="FFEEA80D"/>
    <w:rsid w:val="FFF47665"/>
    <w:rsid w:val="FFF58084"/>
    <w:rsid w:val="FFF79986"/>
    <w:rsid w:val="FFF8AEA6"/>
    <w:rsid w:val="FFF908FD"/>
    <w:rsid w:val="FFFB1B05"/>
    <w:rsid w:val="FFFB3D03"/>
    <w:rsid w:val="FFFBDBBC"/>
    <w:rsid w:val="FFFBF126"/>
    <w:rsid w:val="FFFCF7FB"/>
    <w:rsid w:val="FFFD113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rFonts w:ascii="Times New Roman" w:hAnsi="Times New Roman" w:eastAsia="宋体"/>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50" w:after="150" w:line="480" w:lineRule="auto"/>
      <w:jc w:val="left"/>
    </w:pPr>
    <w:rPr>
      <w:rFonts w:ascii="宋体" w:eastAsia="宋体"/>
      <w:color w:val="000000"/>
      <w:kern w:val="0"/>
      <w:sz w:val="21"/>
      <w:szCs w:val="21"/>
    </w:rPr>
  </w:style>
  <w:style w:type="paragraph" w:customStyle="1" w:styleId="10">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1">
    <w:name w:val="artcontent"/>
    <w:qFormat/>
    <w:uiPriority w:val="0"/>
    <w:rPr>
      <w:sz w:val="30"/>
    </w:rPr>
  </w:style>
  <w:style w:type="paragraph" w:customStyle="1" w:styleId="12">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3">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0287e2c5-14de-42a4-9ed6-00b1e63699de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同一形式括号套用。</explain>
      <paraID xmlns="http://schemas.wps.cn/vas-ai-hub/contract-review">5E8D7848</paraID>
      <start xmlns="http://schemas.wps.cn/vas-ai-hub/contract-review">72</start>
      <end xmlns="http://schemas.wps.cn/vas-ai-hub/contract-review">73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a42b521d-3c6e-4caf-8632-905ec2e5c62e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5E8D7848</paraID>
      <start xmlns="http://schemas.wps.cn/vas-ai-hub/contract-review">104</start>
      <end xmlns="http://schemas.wps.cn/vas-ai-hub/contract-review">105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b2379f91-b61b-494d-9b2b-e7be0f4ed5ab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5E8D7848</paraID>
      <start xmlns="http://schemas.wps.cn/vas-ai-hub/contract-review">107</start>
      <end xmlns="http://schemas.wps.cn/vas-ai-hub/contract-review">108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d3c78331-a150-419c-9cf2-7d5d6cb4959a</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5E8D7848</paraID>
      <start xmlns="http://schemas.wps.cn/vas-ai-hub/contract-review">138</start>
      <end xmlns="http://schemas.wps.cn/vas-ai-hub/contract-review">139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1eae01d2-ec51-42e1-99d6-8ae4e8037b4b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5E8D7848</paraID>
      <start xmlns="http://schemas.wps.cn/vas-ai-hub/contract-review">141</start>
      <end xmlns="http://schemas.wps.cn/vas-ai-hub/contract-review">142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645fb464-d10d-4c4f-8ce7-6bf7b14bb2e0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5E8D7848</paraID>
      <start xmlns="http://schemas.wps.cn/vas-ai-hub/contract-review">197</start>
      <end xmlns="http://schemas.wps.cn/vas-ai-hub/contract-review">198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8e1a10c4-baf0-45ec-91a0-9040266f08be</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23E113B7</paraID>
      <start xmlns="http://schemas.wps.cn/vas-ai-hub/contract-review">15</start>
      <end xmlns="http://schemas.wps.cn/vas-ai-hub/contract-review">20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cd05ee89-67d6-4437-90a9-7f160dcb7796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23E113B7</paraID>
      <start xmlns="http://schemas.wps.cn/vas-ai-hub/contract-review">23</start>
      <end xmlns="http://schemas.wps.cn/vas-ai-hub/contract-review">25</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a17c4c36-2bf0-4666-97a5-49323c8d9f7b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23E113B7</paraID>
      <start xmlns="http://schemas.wps.cn/vas-ai-hub/contract-review">36</start>
      <end xmlns="http://schemas.wps.cn/vas-ai-hub/contract-review">38</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ebed510d-76b4-4578-8baa-236132a1b84e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3E31F9B3</paraID>
      <start xmlns="http://schemas.wps.cn/vas-ai-hub/contract-review">65</start>
      <end xmlns="http://schemas.wps.cn/vas-ai-hub/contract-review">67</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6f6c36bf-962b-429c-afca-28ddcfa68c26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3E31F9B3</paraID>
      <start xmlns="http://schemas.wps.cn/vas-ai-hub/contract-review">88</start>
      <end xmlns="http://schemas.wps.cn/vas-ai-hub/contract-review">90</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a9ec8a0b-fd26-44e4-bebd-97dff69566b0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428652DB</paraID>
      <start xmlns="http://schemas.wps.cn/vas-ai-hub/contract-review">19</start>
      <end xmlns="http://schemas.wps.cn/vas-ai-hub/contract-review">21</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211d4bea-cc93-44fc-9092-926c0f85bc52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428652DB</paraID>
      <start xmlns="http://schemas.wps.cn/vas-ai-hub/contract-review">44</start>
      <end xmlns="http://schemas.wps.cn/vas-ai-hub/contract-review">46</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c7f203c5-387c-49ef-bf97-1eb532ebf993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428652DB</paraID>
      <start xmlns="http://schemas.wps.cn/vas-ai-hub/contract-review">77</start>
      <end xmlns="http://schemas.wps.cn/vas-ai-hub/contract-review">79</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afdacf5a-e453-447a-886e-ebddf99b1f46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428652DB</paraID>
      <start xmlns="http://schemas.wps.cn/vas-ai-hub/contract-review">90</start>
      <end xmlns="http://schemas.wps.cn/vas-ai-hub/contract-review">92</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8699f10f-6c8e-47e6-b92c-5b08b82492fc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6BBEE204</paraID>
      <start xmlns="http://schemas.wps.cn/vas-ai-hub/contract-review">82</start>
      <end xmlns="http://schemas.wps.cn/vas-ai-hub/contract-review">84</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48d895bc-c508-4836-82ce-3f2d9796f010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400FFF80</paraID>
      <start xmlns="http://schemas.wps.cn/vas-ai-hub/contract-review">25</start>
      <end xmlns="http://schemas.wps.cn/vas-ai-hub/contract-review">27</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303ffdf3-5af0-4502-9784-5ac125f25c76</errorID>
      <errorWord xmlns="http://schemas.wps.cn/vas-ai-hub/contract-review">国有资本经营预决算</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国有资本经营预算</item>
      </candidateList>
      <explain xmlns="http://schemas.wps.cn/vas-ai-hub/contract-review">词汇“国有资本经营预算”在特定场景下为固定表述形式，请确认此处的“国有资本经营预决算”是否存在不当。</explain>
      <paraID xmlns="http://schemas.wps.cn/vas-ai-hub/contract-review">400FFF80</paraID>
      <start xmlns="http://schemas.wps.cn/vas-ai-hub/contract-review">35</start>
      <end xmlns="http://schemas.wps.cn/vas-ai-hub/contract-review">44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2344efcf-14aa-47bf-b667-93e74acbc077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400FFF80</paraID>
      <start xmlns="http://schemas.wps.cn/vas-ai-hub/contract-review">68</start>
      <end xmlns="http://schemas.wps.cn/vas-ai-hub/contract-review">70</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455d8433-c350-49c8-be28-7db5139a10bc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C5ADD7</paraID>
      <start xmlns="http://schemas.wps.cn/vas-ai-hub/contract-review">60</start>
      <end xmlns="http://schemas.wps.cn/vas-ai-hub/contract-review">62</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b3502eae-d0cf-4f63-a502-79f3533f47be</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661729B7</paraID>
      <start xmlns="http://schemas.wps.cn/vas-ai-hub/contract-review">4</start>
      <end xmlns="http://schemas.wps.cn/vas-ai-hub/contract-review">13</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f423a326-de14-4878-b119-8d54d737bdc3</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 50489F1</paraID>
      <start xmlns="http://schemas.wps.cn/vas-ai-hub/contract-review">33</start>
      <end xmlns="http://schemas.wps.cn/vas-ai-hub/contract-review">38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029b1282-7e30-4d60-91d2-333b620c5dda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7D997597</paraID>
      <start xmlns="http://schemas.wps.cn/vas-ai-hub/contract-review">22</start>
      <end xmlns="http://schemas.wps.cn/vas-ai-hub/contract-review">31</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2075ad9d-87c3-4b71-8844-a132129c3044</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》和</item>
      </candidateList>
      <explain xmlns="http://schemas.wps.cn/vas-ai-hub/contract-review"/>
      <paraID xmlns="http://schemas.wps.cn/vas-ai-hub/contract-review">3A813969</paraID>
      <start xmlns="http://schemas.wps.cn/vas-ai-hub/contract-review">17</start>
      <end xmlns="http://schemas.wps.cn/vas-ai-hub/contract-review">18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2fda5028-0c53-44a9-a9fe-584ee6b480f7</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29DCC35A</paraID>
      <start xmlns="http://schemas.wps.cn/vas-ai-hub/contract-review">16</start>
      <end xmlns="http://schemas.wps.cn/vas-ai-hub/contract-review">25</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101afd5c-cf94-4c60-a835-bfd872efa396</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1C6CF3EC</paraID>
      <start xmlns="http://schemas.wps.cn/vas-ai-hub/contract-review">7</start>
      <end xmlns="http://schemas.wps.cn/vas-ai-hub/contract-review">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ce125e75-ca13-4255-8b42-ffb903f03c12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1C6CF3EC</paraID>
      <start xmlns="http://schemas.wps.cn/vas-ai-hub/contract-review">21</start>
      <end xmlns="http://schemas.wps.cn/vas-ai-hub/contract-review">22</end>
      <status xmlns="http://schemas.wps.cn/vas-ai-hub/contract-review">modified</status>
      <modifiedWord xmlns="http://schemas.wps.cn/vas-ai-hub/contract-review">（</modifiedWord>
      <trackRevisions xmlns="http://schemas.wps.cn/vas-ai-hub/contract-review">true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dfa79-b653-4e8f-ac86-69581a6bdfc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9271</Words>
  <Characters>9282</Characters>
  <Lines>0</Lines>
  <Paragraphs>0</Paragraphs>
  <TotalTime>34</TotalTime>
  <ScaleCrop>false</ScaleCrop>
  <LinksUpToDate>false</LinksUpToDate>
  <CharactersWithSpaces>9313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2023-10-26T01:01:00Z</dcterms:created>
  <dc:creator>user</dc:creator>
  <cp:lastModifiedBy>吴晓玲</cp:lastModifiedBy>
  <cp:lastPrinted>2025-03-15T15:39:00Z</cp:lastPrinted>
  <dcterms:modified xsi:type="dcterms:W3CDTF">2026-03-25T14:13:15Z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2067C5C5914341FFAA6739924D8FB929_13</vt:lpwstr>
  </property>
  <property fmtid="{D5CDD505-2E9C-101B-9397-08002B2CF9AE}" pid="4" name="KSOTemplateDocerSaveRecord">
    <vt:lpwstr>eyJoZGlkIjoiMjc4ZmZlODQ1NmNiOTIwNjFmZTBjODFhZWEyYzU1YmYiLCJ1c2VySWQiOiIyMjU5ODY0MDEifQ==</vt:lpwstr>
  </property>
</Properties>
</file>