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C0A9E">
      <w:pPr>
        <w:spacing w:afterLines="0" w:line="560" w:lineRule="exact"/>
        <w:jc w:val="center"/>
        <w:rPr>
          <w:rFonts w:hint="eastAsia" w:ascii="仿宋_GB2312" w:hAnsi="仿宋_GB2312" w:eastAsia="仿宋_GB2312" w:cs="仿宋_GB2312"/>
          <w:b w:val="0"/>
          <w:bCs w:val="0"/>
          <w:color w:val="auto"/>
          <w:sz w:val="32"/>
          <w:szCs w:val="32"/>
          <w:highlight w:val="none"/>
          <w:u w:val="none"/>
        </w:rPr>
      </w:pPr>
      <w:bookmarkStart w:id="5" w:name="_GoBack"/>
      <w:bookmarkEnd w:id="5"/>
      <w:r>
        <w:rPr>
          <w:rFonts w:hint="eastAsia" w:ascii="方正小标宋简体" w:hAnsi="方正小标宋简体" w:eastAsia="方正小标宋简体" w:cs="方正小标宋简体"/>
          <w:b w:val="0"/>
          <w:bCs w:val="0"/>
          <w:color w:val="auto"/>
          <w:sz w:val="44"/>
          <w:szCs w:val="44"/>
          <w:highlight w:val="none"/>
          <w:u w:val="none"/>
        </w:rPr>
        <w:t>深圳市光明区企业国有产权变动管理规定</w:t>
      </w:r>
    </w:p>
    <w:p w14:paraId="5DC281D8">
      <w:pPr>
        <w:spacing w:line="560" w:lineRule="exact"/>
        <w:jc w:val="center"/>
        <w:rPr>
          <w:rFonts w:hint="eastAsia" w:ascii="仿宋_GB2312" w:hAnsi="仿宋_GB2312" w:eastAsia="仿宋_GB2312" w:cs="仿宋_GB2312"/>
          <w:bCs/>
          <w:color w:val="auto"/>
          <w:kern w:val="0"/>
          <w:sz w:val="32"/>
          <w:szCs w:val="32"/>
          <w:highlight w:val="none"/>
          <w:u w:val="none"/>
          <w:lang w:eastAsia="zh-CN"/>
        </w:rPr>
      </w:pPr>
      <w:r>
        <w:rPr>
          <w:rFonts w:hint="eastAsia" w:hAnsi="仿宋_GB2312" w:cs="仿宋_GB2312"/>
          <w:bCs/>
          <w:color w:val="auto"/>
          <w:kern w:val="0"/>
          <w:sz w:val="32"/>
          <w:szCs w:val="32"/>
          <w:highlight w:val="none"/>
          <w:u w:val="none"/>
          <w:lang w:eastAsia="zh-CN"/>
        </w:rPr>
        <w:t>（</w:t>
      </w:r>
      <w:r>
        <w:rPr>
          <w:rFonts w:hint="eastAsia" w:hAnsi="仿宋_GB2312" w:cs="仿宋_GB2312"/>
          <w:bCs/>
          <w:color w:val="auto"/>
          <w:kern w:val="0"/>
          <w:sz w:val="32"/>
          <w:szCs w:val="32"/>
          <w:highlight w:val="none"/>
          <w:u w:val="none"/>
          <w:lang w:val="en-US" w:eastAsia="zh-CN"/>
        </w:rPr>
        <w:t>征求意见</w:t>
      </w:r>
      <w:r>
        <w:rPr>
          <w:rFonts w:hint="eastAsia" w:hAnsi="仿宋_GB2312" w:cs="仿宋_GB2312"/>
          <w:bCs/>
          <w:color w:val="auto"/>
          <w:kern w:val="0"/>
          <w:sz w:val="32"/>
          <w:szCs w:val="32"/>
          <w:highlight w:val="none"/>
          <w:u w:val="none"/>
          <w:lang w:eastAsia="zh-CN"/>
        </w:rPr>
        <w:t>稿）</w:t>
      </w:r>
    </w:p>
    <w:p w14:paraId="39F9DF2A">
      <w:pPr>
        <w:spacing w:afterLines="0" w:line="560" w:lineRule="exact"/>
        <w:jc w:val="center"/>
        <w:rPr>
          <w:rFonts w:hint="eastAsia" w:ascii="黑体" w:hAnsi="黑体" w:eastAsia="黑体" w:cs="仿宋"/>
          <w:b w:val="0"/>
          <w:bCs w:val="0"/>
          <w:color w:val="auto"/>
          <w:sz w:val="32"/>
          <w:szCs w:val="32"/>
          <w:highlight w:val="none"/>
          <w:u w:val="none"/>
        </w:rPr>
      </w:pPr>
    </w:p>
    <w:p w14:paraId="1D5D905F">
      <w:pPr>
        <w:spacing w:afterLines="0" w:line="560" w:lineRule="exact"/>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第一章  总则</w:t>
      </w:r>
    </w:p>
    <w:p w14:paraId="656C4C0D">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val="en-US" w:eastAsia="zh-CN"/>
        </w:rPr>
        <w:t xml:space="preserve"> </w:t>
      </w:r>
      <w:r>
        <w:rPr>
          <w:rFonts w:hint="eastAsia" w:ascii="仿宋_GB2312" w:hAnsi="仿宋" w:eastAsia="仿宋_GB2312" w:cs="仿宋"/>
          <w:b w:val="0"/>
          <w:bCs w:val="0"/>
          <w:color w:val="auto"/>
          <w:sz w:val="32"/>
          <w:szCs w:val="32"/>
          <w:highlight w:val="none"/>
          <w:u w:val="none"/>
        </w:rPr>
        <w:t>为规范光明区企业国有产权变动行为，加强企业国有产权变动的监督管理，防止国有资产流失，根据《中华人民共和国企业国有资产法》《中华人民共和国公司法》《企业国有资产监督管理暂行条例》《企业国有资产交易监督管理办法》等规定，结合我区实际，制定本规定。</w:t>
      </w:r>
    </w:p>
    <w:p w14:paraId="65FC5C24">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val="en-US" w:eastAsia="zh-CN"/>
        </w:rPr>
        <w:t xml:space="preserve"> </w:t>
      </w:r>
      <w:r>
        <w:rPr>
          <w:rFonts w:hint="eastAsia" w:ascii="仿宋_GB2312" w:hAnsi="仿宋" w:eastAsia="仿宋_GB2312" w:cs="仿宋"/>
          <w:b w:val="0"/>
          <w:bCs w:val="0"/>
          <w:color w:val="auto"/>
          <w:sz w:val="32"/>
          <w:szCs w:val="32"/>
          <w:highlight w:val="none"/>
          <w:u w:val="none"/>
        </w:rPr>
        <w:t>本规定所称企业国有产权，是指国家对企业以各种形式的出资形成的权益、国有及国有控股企业各种投资所形成的应享有的权益，以及依法认定为国家所有的其他权益。本规定所称控股包含绝对控股和</w:t>
      </w:r>
      <w:r>
        <w:rPr>
          <w:rFonts w:hint="eastAsia" w:hAnsi="仿宋" w:cs="仿宋"/>
          <w:b w:val="0"/>
          <w:bCs w:val="0"/>
          <w:color w:val="auto"/>
          <w:sz w:val="32"/>
          <w:szCs w:val="32"/>
          <w:highlight w:val="none"/>
          <w:u w:val="none"/>
          <w:lang w:eastAsia="zh-CN"/>
        </w:rPr>
        <w:t>相对控股</w:t>
      </w:r>
      <w:r>
        <w:rPr>
          <w:rFonts w:hint="eastAsia" w:ascii="仿宋_GB2312" w:hAnsi="仿宋" w:eastAsia="仿宋_GB2312" w:cs="仿宋"/>
          <w:b w:val="0"/>
          <w:bCs w:val="0"/>
          <w:color w:val="auto"/>
          <w:sz w:val="32"/>
          <w:szCs w:val="32"/>
          <w:highlight w:val="none"/>
          <w:u w:val="none"/>
        </w:rPr>
        <w:t>。</w:t>
      </w:r>
    </w:p>
    <w:p w14:paraId="79992127">
      <w:pPr>
        <w:spacing w:afterLines="0"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本规定所称国有产权变动行为</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是指包括企业国有</w:t>
      </w:r>
      <w:r>
        <w:rPr>
          <w:rFonts w:hint="eastAsia" w:ascii="仿宋_GB2312" w:hAnsi="仿宋" w:eastAsia="仿宋_GB2312" w:cs="仿宋"/>
          <w:b w:val="0"/>
          <w:bCs w:val="0"/>
          <w:color w:val="auto"/>
          <w:sz w:val="32"/>
          <w:szCs w:val="32"/>
          <w:highlight w:val="none"/>
          <w:u w:val="none"/>
          <w:lang w:val="en-US" w:eastAsia="zh-CN"/>
        </w:rPr>
        <w:t>股权变动</w:t>
      </w:r>
      <w:r>
        <w:rPr>
          <w:rFonts w:hint="eastAsia" w:ascii="仿宋_GB2312" w:hAnsi="仿宋" w:eastAsia="仿宋_GB2312" w:cs="仿宋"/>
          <w:b w:val="0"/>
          <w:bCs w:val="0"/>
          <w:color w:val="auto"/>
          <w:sz w:val="32"/>
          <w:szCs w:val="32"/>
          <w:highlight w:val="none"/>
          <w:u w:val="none"/>
        </w:rPr>
        <w:t>、国有</w:t>
      </w:r>
      <w:r>
        <w:rPr>
          <w:rFonts w:hint="eastAsia" w:ascii="仿宋_GB2312" w:hAnsi="仿宋" w:eastAsia="仿宋_GB2312" w:cs="仿宋"/>
          <w:b w:val="0"/>
          <w:bCs w:val="0"/>
          <w:color w:val="auto"/>
          <w:sz w:val="32"/>
          <w:szCs w:val="32"/>
          <w:highlight w:val="none"/>
          <w:u w:val="none"/>
          <w:lang w:val="en-US" w:eastAsia="zh-CN"/>
        </w:rPr>
        <w:t>资产变动</w:t>
      </w:r>
      <w:r>
        <w:rPr>
          <w:rFonts w:hint="eastAsia" w:ascii="仿宋_GB2312" w:hAnsi="仿宋" w:eastAsia="仿宋_GB2312" w:cs="仿宋"/>
          <w:b w:val="0"/>
          <w:bCs w:val="0"/>
          <w:color w:val="auto"/>
          <w:sz w:val="32"/>
          <w:szCs w:val="32"/>
          <w:highlight w:val="none"/>
          <w:u w:val="none"/>
        </w:rPr>
        <w:t>、增资扩股</w:t>
      </w:r>
      <w:r>
        <w:rPr>
          <w:rFonts w:hint="eastAsia" w:hAnsi="仿宋" w:cs="仿宋"/>
          <w:b w:val="0"/>
          <w:bCs w:val="0"/>
          <w:color w:val="auto"/>
          <w:sz w:val="32"/>
          <w:szCs w:val="32"/>
          <w:highlight w:val="none"/>
          <w:u w:val="none"/>
          <w:lang w:eastAsia="zh-CN"/>
        </w:rPr>
        <w:t>、无偿划转</w:t>
      </w:r>
      <w:r>
        <w:rPr>
          <w:rFonts w:hint="eastAsia" w:ascii="仿宋_GB2312" w:hAnsi="仿宋" w:eastAsia="仿宋_GB2312" w:cs="仿宋"/>
          <w:b w:val="0"/>
          <w:bCs w:val="0"/>
          <w:color w:val="auto"/>
          <w:sz w:val="32"/>
          <w:szCs w:val="32"/>
          <w:highlight w:val="none"/>
          <w:u w:val="none"/>
        </w:rPr>
        <w:t>等引起国有产权权属变动或比例</w:t>
      </w:r>
      <w:r>
        <w:rPr>
          <w:rFonts w:ascii="仿宋_GB2312" w:hAnsi="仿宋" w:eastAsia="仿宋_GB2312" w:cs="仿宋"/>
          <w:b w:val="0"/>
          <w:bCs w:val="0"/>
          <w:color w:val="auto"/>
          <w:sz w:val="32"/>
          <w:szCs w:val="32"/>
          <w:highlight w:val="none"/>
          <w:u w:val="none"/>
        </w:rPr>
        <w:t>增减</w:t>
      </w:r>
      <w:r>
        <w:rPr>
          <w:rFonts w:hint="eastAsia" w:ascii="仿宋_GB2312" w:hAnsi="仿宋" w:eastAsia="仿宋_GB2312" w:cs="仿宋"/>
          <w:b w:val="0"/>
          <w:bCs w:val="0"/>
          <w:color w:val="auto"/>
          <w:sz w:val="32"/>
          <w:szCs w:val="32"/>
          <w:highlight w:val="none"/>
          <w:u w:val="none"/>
        </w:rPr>
        <w:t>的行为。</w:t>
      </w:r>
    </w:p>
    <w:p w14:paraId="596DBE26">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val="en-US" w:eastAsia="zh-CN"/>
        </w:rPr>
        <w:t xml:space="preserve"> </w:t>
      </w:r>
      <w:r>
        <w:rPr>
          <w:rFonts w:hint="eastAsia" w:ascii="仿宋_GB2312" w:hAnsi="仿宋" w:eastAsia="仿宋_GB2312" w:cs="仿宋"/>
          <w:b w:val="0"/>
          <w:bCs w:val="0"/>
          <w:color w:val="auto"/>
          <w:sz w:val="32"/>
          <w:szCs w:val="32"/>
          <w:highlight w:val="none"/>
          <w:u w:val="none"/>
        </w:rPr>
        <w:t>本规定适用于</w:t>
      </w:r>
      <w:r>
        <w:rPr>
          <w:rFonts w:hint="eastAsia" w:hAnsi="仿宋" w:cs="仿宋"/>
          <w:b w:val="0"/>
          <w:bCs w:val="0"/>
          <w:color w:val="auto"/>
          <w:sz w:val="32"/>
          <w:szCs w:val="32"/>
          <w:highlight w:val="none"/>
          <w:u w:val="none"/>
          <w:lang w:val="en-US" w:eastAsia="zh-CN"/>
        </w:rPr>
        <w:t>区国有企业</w:t>
      </w:r>
      <w:r>
        <w:rPr>
          <w:rFonts w:hint="eastAsia" w:ascii="仿宋_GB2312" w:hAnsi="仿宋" w:eastAsia="仿宋_GB2312" w:cs="仿宋"/>
          <w:b w:val="0"/>
          <w:bCs w:val="0"/>
          <w:color w:val="auto"/>
          <w:sz w:val="32"/>
          <w:szCs w:val="32"/>
          <w:highlight w:val="none"/>
          <w:u w:val="none"/>
        </w:rPr>
        <w:t>的国有产权变动行为，包括：</w:t>
      </w:r>
    </w:p>
    <w:p w14:paraId="643C3046">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（一）股权变动：区政府或区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持有直管企业的股权及直管企业持有其所属企业的股权因转让</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无偿划转等方式导致股权发生变动的行为。</w:t>
      </w:r>
    </w:p>
    <w:p w14:paraId="0AC8A209">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（二）资产变动：</w:t>
      </w:r>
      <w:r>
        <w:rPr>
          <w:rFonts w:hint="eastAsia" w:hAnsi="仿宋" w:cs="仿宋"/>
          <w:b w:val="0"/>
          <w:bCs w:val="0"/>
          <w:color w:val="auto"/>
          <w:sz w:val="32"/>
          <w:szCs w:val="32"/>
          <w:highlight w:val="none"/>
          <w:u w:val="none"/>
          <w:lang w:eastAsia="zh-CN"/>
        </w:rPr>
        <w:t>区国有企业</w:t>
      </w:r>
      <w:r>
        <w:rPr>
          <w:rFonts w:hint="eastAsia" w:ascii="仿宋_GB2312" w:hAnsi="仿宋" w:eastAsia="仿宋_GB2312" w:cs="仿宋"/>
          <w:b w:val="0"/>
          <w:bCs w:val="0"/>
          <w:color w:val="auto"/>
          <w:sz w:val="32"/>
          <w:szCs w:val="32"/>
          <w:highlight w:val="none"/>
          <w:u w:val="none"/>
        </w:rPr>
        <w:t>的固定资产、无形资产、合同权益等非股权资产通过转让、无偿划转等方式进行处置的行为。</w:t>
      </w:r>
    </w:p>
    <w:p w14:paraId="286C866D">
      <w:pPr>
        <w:keepNext w:val="0"/>
        <w:keepLines w:val="0"/>
        <w:pageBreakBefore w:val="0"/>
        <w:kinsoku/>
        <w:wordWrap/>
        <w:overflowPunct/>
        <w:topLinePunct w:val="0"/>
        <w:bidi w:val="0"/>
        <w:spacing w:afterLines="0" w:line="560" w:lineRule="exact"/>
        <w:ind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（三）增资扩股：</w:t>
      </w:r>
      <w:r>
        <w:rPr>
          <w:rFonts w:hint="eastAsia" w:hAnsi="仿宋" w:cs="仿宋"/>
          <w:b w:val="0"/>
          <w:bCs w:val="0"/>
          <w:color w:val="auto"/>
          <w:sz w:val="32"/>
          <w:szCs w:val="32"/>
          <w:highlight w:val="none"/>
          <w:u w:val="none"/>
          <w:lang w:eastAsia="zh-CN"/>
        </w:rPr>
        <w:t>区国有企业</w:t>
      </w:r>
      <w:r>
        <w:rPr>
          <w:rFonts w:hint="eastAsia" w:ascii="仿宋_GB2312" w:hAnsi="仿宋" w:eastAsia="仿宋_GB2312" w:cs="仿宋"/>
          <w:b w:val="0"/>
          <w:bCs w:val="0"/>
          <w:color w:val="auto"/>
          <w:sz w:val="32"/>
          <w:szCs w:val="32"/>
          <w:highlight w:val="none"/>
          <w:u w:val="none"/>
        </w:rPr>
        <w:t>因增资扩股引起的持股比例增减或者控股权发生变化的行为。</w:t>
      </w:r>
    </w:p>
    <w:p w14:paraId="616B3F96">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国有参股公司的产权变动行为，除本规定特别规定外，按照</w:t>
      </w:r>
      <w:r>
        <w:rPr>
          <w:rFonts w:hint="eastAsia" w:hAnsi="仿宋" w:cs="仿宋"/>
          <w:b w:val="0"/>
          <w:bCs w:val="0"/>
          <w:color w:val="auto"/>
          <w:sz w:val="32"/>
          <w:szCs w:val="32"/>
          <w:highlight w:val="none"/>
          <w:u w:val="none"/>
          <w:lang w:eastAsia="zh-CN"/>
        </w:rPr>
        <w:t>法律法规</w:t>
      </w:r>
      <w:r>
        <w:rPr>
          <w:rFonts w:hint="eastAsia" w:ascii="仿宋_GB2312" w:hAnsi="仿宋" w:eastAsia="仿宋_GB2312" w:cs="仿宋"/>
          <w:b w:val="0"/>
          <w:bCs w:val="0"/>
          <w:color w:val="auto"/>
          <w:sz w:val="32"/>
          <w:szCs w:val="32"/>
          <w:highlight w:val="none"/>
          <w:u w:val="none"/>
        </w:rPr>
        <w:t>的规定及公司章程和股东的约定执行。</w:t>
      </w:r>
    </w:p>
    <w:p w14:paraId="16189FB5">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上市公司的国有</w:t>
      </w:r>
      <w:r>
        <w:rPr>
          <w:rFonts w:hint="eastAsia" w:ascii="仿宋_GB2312" w:hAnsi="仿宋" w:eastAsia="仿宋_GB2312" w:cs="仿宋"/>
          <w:b w:val="0"/>
          <w:bCs w:val="0"/>
          <w:color w:val="auto"/>
          <w:sz w:val="32"/>
          <w:szCs w:val="32"/>
          <w:highlight w:val="none"/>
          <w:u w:val="none"/>
          <w:lang w:val="en-US" w:eastAsia="zh-CN"/>
        </w:rPr>
        <w:t>产权</w:t>
      </w:r>
      <w:r>
        <w:rPr>
          <w:rFonts w:hint="eastAsia" w:ascii="仿宋_GB2312" w:hAnsi="仿宋" w:eastAsia="仿宋_GB2312" w:cs="仿宋"/>
          <w:b w:val="0"/>
          <w:bCs w:val="0"/>
          <w:color w:val="auto"/>
          <w:sz w:val="32"/>
          <w:szCs w:val="32"/>
          <w:highlight w:val="none"/>
          <w:u w:val="none"/>
        </w:rPr>
        <w:t>变动</w:t>
      </w:r>
      <w:r>
        <w:rPr>
          <w:rFonts w:hint="eastAsia" w:ascii="仿宋_GB2312" w:hAnsi="仿宋" w:eastAsia="仿宋_GB2312"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企业境外国有产权变动、国有创投企业所持有的创业企业股权变动，国家、省、市</w:t>
      </w:r>
      <w:r>
        <w:rPr>
          <w:rFonts w:hint="eastAsia" w:hAnsi="仿宋" w:cs="仿宋"/>
          <w:b w:val="0"/>
          <w:bCs w:val="0"/>
          <w:color w:val="auto"/>
          <w:sz w:val="32"/>
          <w:szCs w:val="32"/>
          <w:highlight w:val="none"/>
          <w:u w:val="none"/>
          <w:lang w:eastAsia="zh-CN"/>
        </w:rPr>
        <w:t>、</w:t>
      </w:r>
      <w:r>
        <w:rPr>
          <w:rFonts w:hint="eastAsia" w:hAnsi="仿宋" w:cs="仿宋"/>
          <w:b w:val="0"/>
          <w:bCs w:val="0"/>
          <w:color w:val="auto"/>
          <w:sz w:val="32"/>
          <w:szCs w:val="32"/>
          <w:highlight w:val="none"/>
          <w:u w:val="none"/>
          <w:lang w:val="en-US" w:eastAsia="zh-CN"/>
        </w:rPr>
        <w:t>区</w:t>
      </w:r>
      <w:r>
        <w:rPr>
          <w:rFonts w:hint="eastAsia" w:ascii="仿宋_GB2312" w:hAnsi="仿宋" w:eastAsia="仿宋_GB2312" w:cs="仿宋"/>
          <w:b w:val="0"/>
          <w:bCs w:val="0"/>
          <w:color w:val="auto"/>
          <w:sz w:val="32"/>
          <w:szCs w:val="32"/>
          <w:highlight w:val="none"/>
          <w:u w:val="none"/>
        </w:rPr>
        <w:t>另有规定的，从其规定。</w:t>
      </w:r>
    </w:p>
    <w:p w14:paraId="5D294BB0">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val="en-US" w:eastAsia="zh-CN"/>
        </w:rPr>
        <w:t xml:space="preserve"> </w:t>
      </w:r>
      <w:r>
        <w:rPr>
          <w:rFonts w:hint="eastAsia" w:ascii="仿宋_GB2312" w:hAnsi="仿宋" w:eastAsia="仿宋_GB2312" w:cs="仿宋"/>
          <w:b w:val="0"/>
          <w:bCs w:val="0"/>
          <w:color w:val="auto"/>
          <w:sz w:val="32"/>
          <w:szCs w:val="32"/>
          <w:highlight w:val="none"/>
          <w:u w:val="none"/>
        </w:rPr>
        <w:t>企业国有产权变动应当遵循公开、公平、公正的原则，遵守国家</w:t>
      </w:r>
      <w:r>
        <w:rPr>
          <w:rFonts w:hint="eastAsia" w:hAnsi="仿宋" w:cs="仿宋"/>
          <w:b w:val="0"/>
          <w:bCs w:val="0"/>
          <w:color w:val="auto"/>
          <w:sz w:val="32"/>
          <w:szCs w:val="32"/>
          <w:highlight w:val="none"/>
          <w:u w:val="none"/>
          <w:lang w:eastAsia="zh-CN"/>
        </w:rPr>
        <w:t>法律法规</w:t>
      </w:r>
      <w:r>
        <w:rPr>
          <w:rFonts w:hint="eastAsia" w:ascii="仿宋_GB2312" w:hAnsi="仿宋" w:eastAsia="仿宋_GB2312" w:cs="仿宋"/>
          <w:b w:val="0"/>
          <w:bCs w:val="0"/>
          <w:color w:val="auto"/>
          <w:sz w:val="32"/>
          <w:szCs w:val="32"/>
          <w:highlight w:val="none"/>
          <w:u w:val="none"/>
        </w:rPr>
        <w:t>、规章和有关政策规定，有利于国有经济布局和结构的战略性调整，促进国有资本优化配置，保护国家和其他各方合法权益。</w:t>
      </w:r>
    </w:p>
    <w:p w14:paraId="6014886F">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val="en-US" w:eastAsia="zh-CN"/>
        </w:rPr>
        <w:t xml:space="preserve"> </w:t>
      </w:r>
      <w:r>
        <w:rPr>
          <w:rFonts w:hint="eastAsia" w:ascii="仿宋_GB2312" w:hAnsi="仿宋" w:eastAsia="仿宋_GB2312" w:cs="仿宋"/>
          <w:b w:val="0"/>
          <w:bCs w:val="0"/>
          <w:color w:val="auto"/>
          <w:sz w:val="32"/>
          <w:szCs w:val="32"/>
          <w:highlight w:val="none"/>
          <w:u w:val="none"/>
        </w:rPr>
        <w:t>变动的企业国有产权权属应当清晰，权属关系不明确或者存在权属纠纷的企业国有产权不得进行变动</w:t>
      </w:r>
      <w:r>
        <w:rPr>
          <w:rFonts w:hint="eastAsia" w:hAnsi="仿宋" w:cs="仿宋"/>
          <w:b w:val="0"/>
          <w:bCs w:val="0"/>
          <w:color w:val="auto"/>
          <w:sz w:val="32"/>
          <w:szCs w:val="32"/>
          <w:highlight w:val="none"/>
          <w:u w:val="none"/>
          <w:lang w:eastAsia="zh-CN"/>
        </w:rPr>
        <w:t>。</w:t>
      </w:r>
    </w:p>
    <w:p w14:paraId="3ABC4903">
      <w:pPr>
        <w:numPr>
          <w:ilvl w:val="-1"/>
          <w:numId w:val="0"/>
        </w:numPr>
        <w:spacing w:afterLines="0"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u w:val="none"/>
        </w:rPr>
        <w:t>被设置为担保物权的企业国有产权转让，应当符合《中华人民共和国民法典》等相关法律的有关规定</w:t>
      </w:r>
      <w:r>
        <w:rPr>
          <w:rFonts w:hint="eastAsia" w:ascii="仿宋_GB2312" w:hAnsi="仿宋" w:eastAsia="仿宋_GB2312" w:cs="仿宋"/>
          <w:b w:val="0"/>
          <w:bCs w:val="0"/>
          <w:color w:val="auto"/>
          <w:sz w:val="32"/>
          <w:szCs w:val="32"/>
          <w:highlight w:val="none"/>
          <w:u w:val="none"/>
        </w:rPr>
        <w:t>。</w:t>
      </w:r>
    </w:p>
    <w:p w14:paraId="0DC2792A">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val="en-US" w:eastAsia="zh-CN"/>
        </w:rPr>
        <w:t xml:space="preserve"> </w:t>
      </w: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是企业国有产权变动的监督管理机构，履行下列监管职责：</w:t>
      </w:r>
    </w:p>
    <w:p w14:paraId="25D020CC">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（一）按照国家</w:t>
      </w:r>
      <w:r>
        <w:rPr>
          <w:rFonts w:hint="eastAsia" w:hAnsi="仿宋" w:cs="仿宋"/>
          <w:b w:val="0"/>
          <w:bCs w:val="0"/>
          <w:color w:val="auto"/>
          <w:sz w:val="32"/>
          <w:szCs w:val="32"/>
          <w:highlight w:val="none"/>
          <w:u w:val="none"/>
          <w:lang w:eastAsia="zh-CN"/>
        </w:rPr>
        <w:t>法律法规</w:t>
      </w:r>
      <w:r>
        <w:rPr>
          <w:rFonts w:hint="eastAsia" w:ascii="仿宋_GB2312" w:hAnsi="仿宋" w:eastAsia="仿宋_GB2312" w:cs="仿宋"/>
          <w:b w:val="0"/>
          <w:bCs w:val="0"/>
          <w:color w:val="auto"/>
          <w:sz w:val="32"/>
          <w:szCs w:val="32"/>
          <w:highlight w:val="none"/>
          <w:u w:val="none"/>
        </w:rPr>
        <w:t>、规章和政策的规定，制定企业国有产权变动监管制度和办法。</w:t>
      </w:r>
    </w:p>
    <w:p w14:paraId="53EE808A">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（二）按照权限审核审批企业国有产权变动事项。</w:t>
      </w:r>
    </w:p>
    <w:p w14:paraId="423608EC">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（三）按照权限负责企业的资产评估监督管理工作。</w:t>
      </w:r>
    </w:p>
    <w:p w14:paraId="5DBDDED7">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（四）选择从事企业国有产权交易活动的产权交易机构，并对其从事的企业国有产权交易活动进行监督管理。</w:t>
      </w:r>
    </w:p>
    <w:p w14:paraId="03A2634E">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（五）负责企业国有产权变动情况的监督检查工作。</w:t>
      </w:r>
    </w:p>
    <w:p w14:paraId="3A6DF37A">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（六）负责企业国有产权变动信息的收集、汇总、分析和上报工作。</w:t>
      </w:r>
    </w:p>
    <w:p w14:paraId="05976941">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（七）履行区政府赋予的其他监管职责。</w:t>
      </w:r>
    </w:p>
    <w:p w14:paraId="2EBB3E4A">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val="en-US" w:eastAsia="zh-CN"/>
        </w:rPr>
        <w:t xml:space="preserve"> </w:t>
      </w:r>
      <w:r>
        <w:rPr>
          <w:rFonts w:hint="eastAsia" w:ascii="仿宋_GB2312" w:hAnsi="仿宋" w:eastAsia="仿宋_GB2312" w:cs="仿宋"/>
          <w:b w:val="0"/>
          <w:bCs w:val="0"/>
          <w:color w:val="auto"/>
          <w:sz w:val="32"/>
          <w:szCs w:val="32"/>
          <w:highlight w:val="none"/>
          <w:u w:val="none"/>
        </w:rPr>
        <w:t>直管企业对企业国有产权变动履行下列职责：</w:t>
      </w:r>
    </w:p>
    <w:p w14:paraId="770D642B">
      <w:pPr>
        <w:spacing w:afterLines="0" w:line="560" w:lineRule="exact"/>
        <w:ind w:firstLine="640" w:firstLineChars="200"/>
        <w:rPr>
          <w:rFonts w:hint="eastAsia" w:ascii="仿宋_GB2312" w:hAnsi="仿宋" w:eastAsia="仿宋_GB2312" w:cs="仿宋"/>
          <w:b w:val="0"/>
          <w:bCs w:val="0"/>
          <w:color w:val="auto"/>
          <w:sz w:val="32"/>
          <w:szCs w:val="32"/>
          <w:highlight w:val="none"/>
          <w:u w:val="none"/>
          <w:lang w:val="en-US" w:eastAsia="zh-CN"/>
        </w:rPr>
      </w:pPr>
      <w:r>
        <w:rPr>
          <w:rFonts w:hint="eastAsia" w:ascii="仿宋_GB2312" w:hAnsi="仿宋" w:eastAsia="仿宋_GB2312" w:cs="仿宋"/>
          <w:b w:val="0"/>
          <w:bCs w:val="0"/>
          <w:color w:val="auto"/>
          <w:sz w:val="32"/>
          <w:szCs w:val="32"/>
          <w:highlight w:val="none"/>
          <w:u w:val="none"/>
          <w:lang w:eastAsia="zh-CN"/>
        </w:rPr>
        <w:t>（</w:t>
      </w:r>
      <w:r>
        <w:rPr>
          <w:rFonts w:hint="eastAsia" w:hAnsi="仿宋" w:cs="仿宋"/>
          <w:b w:val="0"/>
          <w:bCs w:val="0"/>
          <w:color w:val="auto"/>
          <w:sz w:val="32"/>
          <w:szCs w:val="32"/>
          <w:highlight w:val="none"/>
          <w:u w:val="none"/>
          <w:lang w:val="en-US" w:eastAsia="zh-CN"/>
        </w:rPr>
        <w:t>一</w:t>
      </w:r>
      <w:r>
        <w:rPr>
          <w:rFonts w:hint="eastAsia" w:ascii="仿宋_GB2312" w:hAnsi="仿宋" w:eastAsia="仿宋_GB2312" w:cs="仿宋"/>
          <w:b w:val="0"/>
          <w:bCs w:val="0"/>
          <w:color w:val="auto"/>
          <w:sz w:val="32"/>
          <w:szCs w:val="32"/>
          <w:highlight w:val="none"/>
          <w:u w:val="none"/>
          <w:lang w:val="en-US" w:eastAsia="zh-CN"/>
        </w:rPr>
        <w:t>）按照权限决定</w:t>
      </w:r>
      <w:r>
        <w:rPr>
          <w:rFonts w:hint="eastAsia" w:hAnsi="仿宋" w:cs="仿宋"/>
          <w:b w:val="0"/>
          <w:bCs w:val="0"/>
          <w:color w:val="auto"/>
          <w:sz w:val="32"/>
          <w:szCs w:val="32"/>
          <w:highlight w:val="none"/>
          <w:u w:val="none"/>
          <w:lang w:val="en-US" w:eastAsia="zh-CN"/>
        </w:rPr>
        <w:t>本</w:t>
      </w:r>
      <w:r>
        <w:rPr>
          <w:rFonts w:hint="eastAsia" w:ascii="仿宋_GB2312" w:hAnsi="仿宋" w:eastAsia="仿宋_GB2312" w:cs="仿宋"/>
          <w:b w:val="0"/>
          <w:bCs w:val="0"/>
          <w:color w:val="auto"/>
          <w:sz w:val="32"/>
          <w:szCs w:val="32"/>
          <w:highlight w:val="none"/>
          <w:u w:val="none"/>
          <w:lang w:val="en-US" w:eastAsia="zh-CN"/>
        </w:rPr>
        <w:t>企业国有产权变动事项，研究、审议重大产权变动事项。</w:t>
      </w:r>
    </w:p>
    <w:p w14:paraId="536D64D6">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val="en-US" w:eastAsia="zh-CN"/>
        </w:rPr>
        <w:t>二</w:t>
      </w:r>
      <w:r>
        <w:rPr>
          <w:rFonts w:hint="eastAsia" w:ascii="仿宋_GB2312" w:hAnsi="仿宋" w:eastAsia="仿宋_GB2312" w:cs="仿宋"/>
          <w:b w:val="0"/>
          <w:bCs w:val="0"/>
          <w:color w:val="auto"/>
          <w:sz w:val="32"/>
          <w:szCs w:val="32"/>
          <w:highlight w:val="none"/>
          <w:u w:val="none"/>
        </w:rPr>
        <w:t>）按照国家、</w:t>
      </w:r>
      <w:r>
        <w:rPr>
          <w:rFonts w:hint="eastAsia" w:ascii="仿宋_GB2312" w:hAnsi="仿宋" w:eastAsia="仿宋_GB2312" w:cs="仿宋"/>
          <w:b w:val="0"/>
          <w:bCs w:val="0"/>
          <w:color w:val="auto"/>
          <w:sz w:val="32"/>
          <w:szCs w:val="32"/>
          <w:highlight w:val="none"/>
          <w:u w:val="none"/>
          <w:lang w:val="en-US" w:eastAsia="zh-CN"/>
        </w:rPr>
        <w:t>省、市、区</w:t>
      </w:r>
      <w:r>
        <w:rPr>
          <w:rFonts w:hint="eastAsia" w:ascii="仿宋_GB2312" w:hAnsi="仿宋" w:eastAsia="仿宋_GB2312" w:cs="仿宋"/>
          <w:b w:val="0"/>
          <w:bCs w:val="0"/>
          <w:color w:val="auto"/>
          <w:sz w:val="32"/>
          <w:szCs w:val="32"/>
          <w:highlight w:val="none"/>
          <w:u w:val="none"/>
        </w:rPr>
        <w:t>的规定，制定所属企业国有产权变动管理制度和内部决策程序，指定专门部门和人员负责产权变动管理工作。</w:t>
      </w:r>
    </w:p>
    <w:p w14:paraId="46FF1F2A">
      <w:pPr>
        <w:spacing w:afterLines="0" w:line="560" w:lineRule="exact"/>
        <w:ind w:firstLine="640" w:firstLineChars="200"/>
        <w:rPr>
          <w:rFonts w:hint="default" w:eastAsia="仿宋_GB2312"/>
          <w:highlight w:val="none"/>
          <w:lang w:val="en-US" w:eastAsia="zh-CN"/>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val="en-US" w:eastAsia="zh-CN"/>
        </w:rPr>
        <w:t>三</w:t>
      </w:r>
      <w:r>
        <w:rPr>
          <w:rFonts w:hint="eastAsia" w:ascii="仿宋_GB2312" w:hAnsi="仿宋" w:eastAsia="仿宋_GB2312" w:cs="仿宋"/>
          <w:b w:val="0"/>
          <w:bCs w:val="0"/>
          <w:color w:val="auto"/>
          <w:sz w:val="32"/>
          <w:szCs w:val="32"/>
          <w:highlight w:val="none"/>
          <w:u w:val="none"/>
        </w:rPr>
        <w:t>）对所属企业国有产权变动行为是否有利于提高企业的核心竞争力，促进企业的持续发展，维护社会的稳定等进行研究和论证。</w:t>
      </w:r>
    </w:p>
    <w:p w14:paraId="02B50F6F">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val="en-US" w:eastAsia="zh-CN"/>
        </w:rPr>
        <w:t>四</w:t>
      </w:r>
      <w:r>
        <w:rPr>
          <w:rFonts w:hint="eastAsia" w:ascii="仿宋_GB2312" w:hAnsi="仿宋" w:eastAsia="仿宋_GB2312" w:cs="仿宋"/>
          <w:b w:val="0"/>
          <w:bCs w:val="0"/>
          <w:color w:val="auto"/>
          <w:sz w:val="32"/>
          <w:szCs w:val="32"/>
          <w:highlight w:val="none"/>
          <w:u w:val="none"/>
        </w:rPr>
        <w:t>）向区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报告有关国有产权变动情况。</w:t>
      </w:r>
    </w:p>
    <w:p w14:paraId="0FB04296">
      <w:pPr>
        <w:spacing w:afterLines="0" w:line="560" w:lineRule="exact"/>
        <w:ind w:firstLine="640" w:firstLineChars="200"/>
        <w:jc w:val="left"/>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val="en-US" w:eastAsia="zh-CN"/>
        </w:rPr>
        <w:t>五</w:t>
      </w:r>
      <w:r>
        <w:rPr>
          <w:rFonts w:hint="eastAsia" w:ascii="仿宋_GB2312" w:hAnsi="仿宋" w:eastAsia="仿宋_GB2312" w:cs="仿宋"/>
          <w:b w:val="0"/>
          <w:bCs w:val="0"/>
          <w:color w:val="auto"/>
          <w:sz w:val="32"/>
          <w:szCs w:val="32"/>
          <w:highlight w:val="none"/>
          <w:u w:val="none"/>
        </w:rPr>
        <w:t>）履行区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赋予的其他职责。</w:t>
      </w:r>
    </w:p>
    <w:p w14:paraId="11E0086F">
      <w:pPr>
        <w:spacing w:afterLines="0" w:line="560" w:lineRule="exact"/>
        <w:ind w:firstLine="640" w:firstLineChars="200"/>
        <w:jc w:val="left"/>
        <w:rPr>
          <w:rFonts w:hint="eastAsia" w:ascii="黑体" w:hAnsi="黑体" w:eastAsia="黑体" w:cs="仿宋"/>
          <w:b w:val="0"/>
          <w:bCs w:val="0"/>
          <w:color w:val="auto"/>
          <w:sz w:val="32"/>
          <w:szCs w:val="32"/>
          <w:highlight w:val="none"/>
          <w:u w:val="none"/>
        </w:rPr>
      </w:pPr>
    </w:p>
    <w:p w14:paraId="28DF4819">
      <w:pPr>
        <w:spacing w:afterLines="0" w:line="560" w:lineRule="exact"/>
        <w:ind w:firstLine="640" w:firstLineChars="200"/>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第二章  企业国有产权变动内部决策程序</w:t>
      </w:r>
    </w:p>
    <w:p w14:paraId="012461D6">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val="en-US" w:eastAsia="zh-CN"/>
        </w:rPr>
        <w:t xml:space="preserve"> </w:t>
      </w:r>
      <w:r>
        <w:rPr>
          <w:rFonts w:hint="eastAsia" w:hAnsi="仿宋" w:cs="仿宋"/>
          <w:b w:val="0"/>
          <w:bCs w:val="0"/>
          <w:color w:val="auto"/>
          <w:sz w:val="32"/>
          <w:szCs w:val="32"/>
          <w:highlight w:val="none"/>
          <w:u w:val="none"/>
          <w:lang w:eastAsia="zh-CN"/>
        </w:rPr>
        <w:t>除捐赠产生的产权变动外，</w:t>
      </w:r>
      <w:r>
        <w:rPr>
          <w:rFonts w:hint="eastAsia" w:ascii="仿宋_GB2312" w:hAnsi="仿宋" w:eastAsia="仿宋_GB2312" w:cs="仿宋"/>
          <w:b w:val="0"/>
          <w:bCs w:val="0"/>
          <w:color w:val="auto"/>
          <w:sz w:val="32"/>
          <w:szCs w:val="32"/>
          <w:highlight w:val="none"/>
          <w:u w:val="none"/>
        </w:rPr>
        <w:t>产权转让方或拟增资扩股企业（以下简称产权单位）应当做好企业国有产权变动的可行性研究，通过充分论证、比较分析形成企业国有产权变动方案。</w:t>
      </w:r>
    </w:p>
    <w:p w14:paraId="68490242">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val="en-US" w:eastAsia="zh-CN"/>
        </w:rPr>
        <w:t xml:space="preserve"> </w:t>
      </w:r>
      <w:r>
        <w:rPr>
          <w:rFonts w:hint="eastAsia" w:ascii="仿宋_GB2312" w:hAnsi="仿宋" w:eastAsia="仿宋_GB2312" w:cs="仿宋"/>
          <w:b w:val="0"/>
          <w:bCs w:val="0"/>
          <w:color w:val="auto"/>
          <w:sz w:val="32"/>
          <w:szCs w:val="32"/>
          <w:highlight w:val="none"/>
          <w:u w:val="none"/>
        </w:rPr>
        <w:t>企业国有产权变动的可行性研究应当遵循有利于国有经济布局</w:t>
      </w:r>
      <w:r>
        <w:rPr>
          <w:rFonts w:hint="eastAsia" w:hAnsi="仿宋" w:cs="仿宋"/>
          <w:b w:val="0"/>
          <w:bCs w:val="0"/>
          <w:color w:val="auto"/>
          <w:sz w:val="32"/>
          <w:szCs w:val="32"/>
          <w:highlight w:val="none"/>
          <w:u w:val="none"/>
          <w:lang w:eastAsia="zh-CN"/>
        </w:rPr>
        <w:t>优化</w:t>
      </w:r>
      <w:r>
        <w:rPr>
          <w:rFonts w:hint="eastAsia" w:ascii="仿宋_GB2312" w:hAnsi="仿宋" w:eastAsia="仿宋_GB2312" w:cs="仿宋"/>
          <w:b w:val="0"/>
          <w:bCs w:val="0"/>
          <w:color w:val="auto"/>
          <w:sz w:val="32"/>
          <w:szCs w:val="32"/>
          <w:highlight w:val="none"/>
          <w:u w:val="none"/>
        </w:rPr>
        <w:t>和结构调整，有利于提高企业核心竞争力、促进企业长远发展，有利于保护国家和其他各方合法利益的原则。</w:t>
      </w:r>
    </w:p>
    <w:p w14:paraId="61234B1B">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val="en-US" w:eastAsia="zh-CN"/>
        </w:rPr>
        <w:t xml:space="preserve"> </w:t>
      </w:r>
      <w:r>
        <w:rPr>
          <w:rFonts w:hint="eastAsia" w:ascii="仿宋_GB2312" w:hAnsi="仿宋" w:eastAsia="仿宋_GB2312" w:cs="仿宋"/>
          <w:b w:val="0"/>
          <w:bCs w:val="0"/>
          <w:color w:val="auto"/>
          <w:sz w:val="32"/>
          <w:szCs w:val="32"/>
          <w:highlight w:val="none"/>
          <w:u w:val="none"/>
        </w:rPr>
        <w:t>企业国有产权变动方案应当载明下列内容：</w:t>
      </w:r>
    </w:p>
    <w:p w14:paraId="58FB2CBD">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国有产权的基本情况。</w:t>
      </w:r>
    </w:p>
    <w:p w14:paraId="7CC2D092">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（二）企业国有产权变动行为的有关论证情况。</w:t>
      </w:r>
    </w:p>
    <w:p w14:paraId="0EE385F8">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涉及的债权、债务（包括拖欠职工工资）的处理方案。</w:t>
      </w:r>
    </w:p>
    <w:p w14:paraId="7C43F23A">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（四）企业国有产权变动收益处置意见。</w:t>
      </w:r>
    </w:p>
    <w:p w14:paraId="5B74BD46">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（五）企业国有产权交易公开挂牌的主要内容，受让方资格条件的设置情况。</w:t>
      </w:r>
    </w:p>
    <w:p w14:paraId="3C53E4CC">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（六）企业国有产权变动导致产权单位不再拥有控股地位的，应当提出</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涉及的职工安置方案。</w:t>
      </w:r>
    </w:p>
    <w:p w14:paraId="7979B363">
      <w:pPr>
        <w:keepNext w:val="0"/>
        <w:keepLines w:val="0"/>
        <w:pageBreakBefore w:val="0"/>
        <w:numPr>
          <w:ilvl w:val="0"/>
          <w:numId w:val="1"/>
        </w:numPr>
        <w:kinsoku/>
        <w:wordWrap/>
        <w:overflowPunct/>
        <w:topLinePunct w:val="0"/>
        <w:bidi w:val="0"/>
        <w:spacing w:afterLines="0" w:line="560" w:lineRule="exact"/>
        <w:ind w:left="0"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申请企业土地、房屋等不动产处置的，应当说明处置地块的基本情况（四至、面积、权属、规划用途等）、资产处置目的、资产处置方式、受让（合作）资产用途、可行性分析、转让金标准及政策依据、受让方（合作方）条件、资产评估情况等。</w:t>
      </w:r>
    </w:p>
    <w:p w14:paraId="40DDF9DE">
      <w:pPr>
        <w:numPr>
          <w:ilvl w:val="0"/>
          <w:numId w:val="1"/>
        </w:numPr>
        <w:spacing w:afterLines="0" w:line="560" w:lineRule="exact"/>
        <w:ind w:left="54" w:firstLine="640" w:firstLineChars="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产权单位应按照企业内部决策程序对企业国有产权变动方案进行审议，并作出书面决议。涉及职工安置事项的，安置方案应当经职工代表大会或职工大会审议通过；涉及债权债务处置事项的，应当符合国家相关法律法规的规定。</w:t>
      </w:r>
    </w:p>
    <w:p w14:paraId="573B4F86">
      <w:pPr>
        <w:numPr>
          <w:ilvl w:val="0"/>
          <w:numId w:val="1"/>
        </w:numPr>
        <w:spacing w:afterLines="0" w:line="560" w:lineRule="exact"/>
        <w:ind w:left="54" w:firstLine="640" w:firstLineChars="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产权</w:t>
      </w:r>
      <w:r>
        <w:rPr>
          <w:rFonts w:hint="eastAsia" w:hAnsi="仿宋" w:cs="仿宋"/>
          <w:b w:val="0"/>
          <w:bCs w:val="0"/>
          <w:color w:val="auto"/>
          <w:sz w:val="32"/>
          <w:szCs w:val="32"/>
          <w:highlight w:val="none"/>
          <w:u w:val="none"/>
          <w:lang w:eastAsia="zh-CN"/>
        </w:rPr>
        <w:t>单位</w:t>
      </w:r>
      <w:r>
        <w:rPr>
          <w:rFonts w:hint="eastAsia" w:ascii="仿宋_GB2312" w:hAnsi="仿宋" w:eastAsia="仿宋_GB2312" w:cs="仿宋"/>
          <w:b w:val="0"/>
          <w:bCs w:val="0"/>
          <w:color w:val="auto"/>
          <w:sz w:val="32"/>
          <w:szCs w:val="32"/>
          <w:highlight w:val="none"/>
          <w:u w:val="none"/>
        </w:rPr>
        <w:t>的董事、高级管理人员及其近亲属，以及此类人员所有或者实际控制的企业如受让国有产权或参与增资的，相关董事和高级管理人员不得参与变动方案制定和组织实施的各项工作。关于企业员工持股的</w:t>
      </w:r>
      <w:r>
        <w:rPr>
          <w:rFonts w:hint="eastAsia" w:hAnsi="仿宋" w:cs="仿宋"/>
          <w:b w:val="0"/>
          <w:bCs w:val="0"/>
          <w:color w:val="auto"/>
          <w:sz w:val="32"/>
          <w:szCs w:val="32"/>
          <w:highlight w:val="none"/>
          <w:u w:val="none"/>
          <w:lang w:eastAsia="zh-CN"/>
        </w:rPr>
        <w:t>法律法规</w:t>
      </w:r>
      <w:r>
        <w:rPr>
          <w:rFonts w:hint="eastAsia" w:ascii="仿宋_GB2312" w:hAnsi="仿宋" w:eastAsia="仿宋_GB2312" w:cs="仿宋"/>
          <w:b w:val="0"/>
          <w:bCs w:val="0"/>
          <w:color w:val="auto"/>
          <w:sz w:val="32"/>
          <w:szCs w:val="32"/>
          <w:highlight w:val="none"/>
          <w:u w:val="none"/>
        </w:rPr>
        <w:t>、规章或规范性文件另有规定的，从其规定。</w:t>
      </w:r>
    </w:p>
    <w:p w14:paraId="2BB78B00">
      <w:pPr>
        <w:numPr>
          <w:ilvl w:val="0"/>
          <w:numId w:val="0"/>
        </w:numPr>
        <w:spacing w:afterLines="0" w:line="560" w:lineRule="exact"/>
        <w:ind w:left="640" w:leftChars="200" w:firstLine="0" w:firstLineChars="0"/>
        <w:rPr>
          <w:rFonts w:hint="eastAsia" w:ascii="仿宋_GB2312" w:hAnsi="仿宋" w:eastAsia="仿宋_GB2312" w:cs="仿宋"/>
          <w:b w:val="0"/>
          <w:bCs w:val="0"/>
          <w:color w:val="auto"/>
          <w:sz w:val="32"/>
          <w:szCs w:val="32"/>
          <w:highlight w:val="none"/>
          <w:u w:val="none"/>
        </w:rPr>
      </w:pPr>
    </w:p>
    <w:p w14:paraId="73444462">
      <w:pPr>
        <w:keepNext w:val="0"/>
        <w:keepLines w:val="0"/>
        <w:pageBreakBefore w:val="0"/>
        <w:kinsoku/>
        <w:wordWrap/>
        <w:overflowPunct/>
        <w:topLinePunct w:val="0"/>
        <w:bidi w:val="0"/>
        <w:spacing w:afterLines="0" w:line="560" w:lineRule="exact"/>
        <w:ind w:firstLine="640" w:firstLineChars="200"/>
        <w:jc w:val="center"/>
        <w:textAlignment w:val="auto"/>
        <w:rPr>
          <w:rFonts w:hint="eastAsia"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第三章  企业国有产权变动审批权限和程序</w:t>
      </w:r>
    </w:p>
    <w:p w14:paraId="78FE4D34">
      <w:pPr>
        <w:keepNext w:val="0"/>
        <w:keepLines w:val="0"/>
        <w:pageBreakBefore w:val="0"/>
        <w:numPr>
          <w:ilvl w:val="0"/>
          <w:numId w:val="1"/>
        </w:numPr>
        <w:kinsoku/>
        <w:wordWrap/>
        <w:overflowPunct/>
        <w:topLinePunct w:val="0"/>
        <w:bidi w:val="0"/>
        <w:spacing w:afterLines="0" w:line="560" w:lineRule="exact"/>
        <w:ind w:left="0" w:firstLine="640" w:firstLineChars="200"/>
        <w:textAlignment w:val="auto"/>
        <w:rPr>
          <w:rFonts w:hint="eastAsia" w:ascii="仿宋_GB2312" w:hAnsi="仿宋" w:eastAsia="仿宋_GB2312" w:cs="仿宋"/>
          <w:b w:val="0"/>
          <w:bCs w:val="0"/>
          <w:color w:val="auto"/>
          <w:sz w:val="32"/>
          <w:szCs w:val="32"/>
          <w:highlight w:val="none"/>
          <w:u w:val="none"/>
        </w:rPr>
      </w:pPr>
      <w:bookmarkStart w:id="0" w:name="OLE_LINK3"/>
      <w:r>
        <w:rPr>
          <w:rFonts w:hint="eastAsia" w:ascii="仿宋_GB2312" w:hAnsi="仿宋" w:eastAsia="仿宋_GB2312" w:cs="仿宋"/>
          <w:b w:val="0"/>
          <w:bCs w:val="0"/>
          <w:color w:val="auto"/>
          <w:sz w:val="32"/>
          <w:szCs w:val="32"/>
          <w:highlight w:val="none"/>
          <w:u w:val="none"/>
        </w:rPr>
        <w:t>股权变动</w:t>
      </w:r>
      <w:r>
        <w:rPr>
          <w:rFonts w:hint="eastAsia" w:hAnsi="仿宋" w:cs="仿宋"/>
          <w:b w:val="0"/>
          <w:bCs w:val="0"/>
          <w:color w:val="auto"/>
          <w:sz w:val="32"/>
          <w:szCs w:val="32"/>
          <w:highlight w:val="none"/>
          <w:u w:val="none"/>
          <w:lang w:eastAsia="zh-CN"/>
        </w:rPr>
        <w:t>、增资扩股</w:t>
      </w:r>
      <w:r>
        <w:rPr>
          <w:rFonts w:hint="eastAsia" w:ascii="仿宋_GB2312" w:hAnsi="仿宋" w:eastAsia="仿宋_GB2312" w:cs="仿宋"/>
          <w:b w:val="0"/>
          <w:bCs w:val="0"/>
          <w:color w:val="auto"/>
          <w:sz w:val="32"/>
          <w:szCs w:val="32"/>
          <w:highlight w:val="none"/>
          <w:u w:val="none"/>
        </w:rPr>
        <w:t>审批权限如下</w:t>
      </w:r>
      <w:r>
        <w:rPr>
          <w:rFonts w:hint="eastAsia" w:hAnsi="仿宋" w:cs="仿宋"/>
          <w:b w:val="0"/>
          <w:bCs w:val="0"/>
          <w:color w:val="auto"/>
          <w:sz w:val="32"/>
          <w:szCs w:val="32"/>
          <w:highlight w:val="none"/>
          <w:u w:val="none"/>
          <w:lang w:eastAsia="zh-CN"/>
        </w:rPr>
        <w:t>。</w:t>
      </w:r>
    </w:p>
    <w:p w14:paraId="7EE59F3A">
      <w:pPr>
        <w:keepNext w:val="0"/>
        <w:keepLines w:val="0"/>
        <w:pageBreakBefore w:val="0"/>
        <w:kinsoku/>
        <w:wordWrap/>
        <w:overflowPunct/>
        <w:topLinePunct w:val="0"/>
        <w:bidi w:val="0"/>
        <w:spacing w:afterLines="0" w:line="560" w:lineRule="exact"/>
        <w:ind w:firstLine="640" w:firstLineChars="200"/>
        <w:textAlignment w:val="auto"/>
        <w:rPr>
          <w:rFonts w:hint="eastAsia" w:hAnsi="仿宋" w:cs="仿宋"/>
          <w:color w:val="auto"/>
          <w:highlight w:val="none"/>
          <w:u w:val="none"/>
        </w:rPr>
      </w:pPr>
      <w:r>
        <w:rPr>
          <w:rFonts w:hint="eastAsia" w:hAnsi="仿宋" w:cs="仿宋"/>
          <w:color w:val="auto"/>
          <w:highlight w:val="none"/>
          <w:u w:val="none"/>
        </w:rPr>
        <w:t>（一）直管企业股权变动</w:t>
      </w:r>
      <w:r>
        <w:rPr>
          <w:rFonts w:hint="eastAsia" w:hAnsi="仿宋" w:cs="仿宋"/>
          <w:color w:val="auto"/>
          <w:highlight w:val="none"/>
          <w:u w:val="none"/>
          <w:lang w:eastAsia="zh-CN"/>
        </w:rPr>
        <w:t>、增资扩股</w:t>
      </w:r>
      <w:r>
        <w:rPr>
          <w:rFonts w:hint="eastAsia" w:hAnsi="仿宋" w:cs="仿宋"/>
          <w:color w:val="auto"/>
          <w:highlight w:val="none"/>
          <w:u w:val="none"/>
        </w:rPr>
        <w:t>，由区国资监管部门提出方案报区政府</w:t>
      </w:r>
      <w:r>
        <w:rPr>
          <w:rFonts w:hint="eastAsia" w:hAnsi="仿宋" w:cs="仿宋"/>
          <w:color w:val="auto"/>
          <w:highlight w:val="none"/>
          <w:u w:val="none"/>
          <w:lang w:eastAsia="zh-CN"/>
        </w:rPr>
        <w:t>常务会议审议</w:t>
      </w:r>
      <w:r>
        <w:rPr>
          <w:rFonts w:hint="eastAsia" w:hAnsi="仿宋" w:cs="仿宋"/>
          <w:color w:val="auto"/>
          <w:highlight w:val="none"/>
          <w:u w:val="none"/>
        </w:rPr>
        <w:t>。</w:t>
      </w:r>
    </w:p>
    <w:p w14:paraId="677A5403">
      <w:pPr>
        <w:keepNext w:val="0"/>
        <w:keepLines w:val="0"/>
        <w:pageBreakBefore w:val="0"/>
        <w:kinsoku/>
        <w:wordWrap/>
        <w:overflowPunct/>
        <w:topLinePunct w:val="0"/>
        <w:bidi w:val="0"/>
        <w:spacing w:afterLines="0" w:line="560" w:lineRule="exact"/>
        <w:ind w:firstLine="640" w:firstLineChars="200"/>
        <w:textAlignment w:val="auto"/>
        <w:rPr>
          <w:rFonts w:hint="eastAsia" w:hAnsi="仿宋" w:cs="仿宋"/>
          <w:color w:val="auto"/>
          <w:highlight w:val="none"/>
          <w:u w:val="none"/>
        </w:rPr>
      </w:pPr>
      <w:r>
        <w:rPr>
          <w:rFonts w:hint="eastAsia" w:hAnsi="仿宋" w:cs="仿宋"/>
          <w:color w:val="auto"/>
          <w:highlight w:val="none"/>
          <w:u w:val="none"/>
          <w:lang w:eastAsia="zh-CN"/>
        </w:rPr>
        <w:t>（二）</w:t>
      </w:r>
      <w:r>
        <w:rPr>
          <w:rFonts w:hint="eastAsia" w:hAnsi="仿宋" w:cs="仿宋"/>
          <w:color w:val="auto"/>
          <w:highlight w:val="none"/>
          <w:u w:val="none"/>
        </w:rPr>
        <w:t>所属企业股权变动</w:t>
      </w:r>
      <w:r>
        <w:rPr>
          <w:rFonts w:hint="eastAsia" w:hAnsi="仿宋" w:cs="仿宋"/>
          <w:color w:val="auto"/>
          <w:highlight w:val="none"/>
          <w:u w:val="none"/>
          <w:lang w:eastAsia="zh-CN"/>
        </w:rPr>
        <w:t>、增资扩股，</w:t>
      </w:r>
      <w:r>
        <w:rPr>
          <w:rFonts w:hint="eastAsia" w:hAnsi="仿宋" w:cs="仿宋"/>
          <w:color w:val="auto"/>
          <w:highlight w:val="none"/>
          <w:u w:val="none"/>
        </w:rPr>
        <w:t>按以下权限审批：</w:t>
      </w:r>
    </w:p>
    <w:p w14:paraId="3B61D095">
      <w:pPr>
        <w:keepNext w:val="0"/>
        <w:keepLines w:val="0"/>
        <w:pageBreakBefore w:val="0"/>
        <w:kinsoku/>
        <w:wordWrap/>
        <w:overflowPunct/>
        <w:topLinePunct w:val="0"/>
        <w:bidi w:val="0"/>
        <w:spacing w:afterLines="0" w:line="560" w:lineRule="exact"/>
        <w:ind w:firstLine="640" w:firstLineChars="200"/>
        <w:textAlignment w:val="auto"/>
        <w:rPr>
          <w:rFonts w:hint="eastAsia" w:hAnsi="仿宋" w:cs="仿宋"/>
          <w:color w:val="auto"/>
          <w:highlight w:val="none"/>
          <w:u w:val="none"/>
        </w:rPr>
      </w:pPr>
      <w:r>
        <w:rPr>
          <w:rFonts w:hint="eastAsia" w:hAnsi="仿宋" w:cs="仿宋"/>
          <w:color w:val="auto"/>
          <w:highlight w:val="none"/>
          <w:u w:val="none"/>
        </w:rPr>
        <w:t>1.纳入区国资监管部门制定的重点企业清单管理的所属企业，其股权变动、增资扩股事项，由</w:t>
      </w:r>
      <w:r>
        <w:rPr>
          <w:rFonts w:hint="eastAsia" w:hAnsi="仿宋" w:cs="仿宋"/>
          <w:color w:val="auto"/>
          <w:highlight w:val="none"/>
          <w:u w:val="none"/>
          <w:lang w:val="en-US" w:eastAsia="zh-CN"/>
        </w:rPr>
        <w:t>直管企业报</w:t>
      </w:r>
      <w:r>
        <w:rPr>
          <w:rFonts w:hint="eastAsia" w:hAnsi="仿宋" w:cs="仿宋"/>
          <w:color w:val="auto"/>
          <w:highlight w:val="none"/>
          <w:u w:val="none"/>
        </w:rPr>
        <w:t>区国资监管部门审批；其中涉及控股权发生变化的，经区国资监管部门审核后报区政府常务会议审议。重点企业清单由区国资监管部门根据企业承担重大专项任务、对区属国资国企战略布局的重要性等因素制定，并实行动态调整。</w:t>
      </w:r>
    </w:p>
    <w:p w14:paraId="42C74AB3">
      <w:pPr>
        <w:keepNext w:val="0"/>
        <w:keepLines w:val="0"/>
        <w:pageBreakBefore w:val="0"/>
        <w:kinsoku/>
        <w:wordWrap/>
        <w:overflowPunct/>
        <w:topLinePunct w:val="0"/>
        <w:bidi w:val="0"/>
        <w:spacing w:afterLines="0" w:line="560" w:lineRule="exact"/>
        <w:ind w:firstLine="640" w:firstLineChars="200"/>
        <w:textAlignment w:val="auto"/>
        <w:rPr>
          <w:rFonts w:hint="default" w:hAnsi="仿宋" w:eastAsia="仿宋_GB2312" w:cs="仿宋"/>
          <w:color w:val="auto"/>
          <w:highlight w:val="none"/>
          <w:u w:val="none"/>
          <w:lang w:val="en-US" w:eastAsia="zh-CN"/>
        </w:rPr>
      </w:pPr>
      <w:r>
        <w:rPr>
          <w:rFonts w:hint="eastAsia" w:hAnsi="仿宋" w:cs="仿宋"/>
          <w:color w:val="auto"/>
          <w:highlight w:val="none"/>
          <w:u w:val="none"/>
        </w:rPr>
        <w:t>2.未纳入重点企业清单管理的所属企业，其股权变动、增资扩股事项，由直管企业审定。</w:t>
      </w:r>
    </w:p>
    <w:bookmarkEnd w:id="0"/>
    <w:p w14:paraId="3046A364">
      <w:pPr>
        <w:keepNext w:val="0"/>
        <w:keepLines w:val="0"/>
        <w:pageBreakBefore w:val="0"/>
        <w:numPr>
          <w:ilvl w:val="0"/>
          <w:numId w:val="1"/>
        </w:numPr>
        <w:kinsoku/>
        <w:wordWrap/>
        <w:overflowPunct/>
        <w:topLinePunct w:val="0"/>
        <w:bidi w:val="0"/>
        <w:spacing w:afterLines="0" w:line="560" w:lineRule="exact"/>
        <w:ind w:left="0"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资产变动审批权限如下：</w:t>
      </w:r>
    </w:p>
    <w:p w14:paraId="659F536D">
      <w:pPr>
        <w:keepNext w:val="0"/>
        <w:keepLines w:val="0"/>
        <w:pageBreakBefore w:val="0"/>
        <w:kinsoku/>
        <w:wordWrap/>
        <w:overflowPunct/>
        <w:topLinePunct w:val="0"/>
        <w:bidi w:val="0"/>
        <w:spacing w:afterLines="0" w:line="560" w:lineRule="exact"/>
        <w:ind w:firstLine="640" w:firstLineChars="200"/>
        <w:textAlignment w:val="auto"/>
        <w:rPr>
          <w:rFonts w:hint="eastAsia" w:hAnsi="仿宋" w:cs="仿宋"/>
          <w:color w:val="auto"/>
          <w:highlight w:val="none"/>
          <w:u w:val="none"/>
        </w:rPr>
      </w:pPr>
      <w:r>
        <w:rPr>
          <w:rFonts w:hint="eastAsia" w:hAnsi="仿宋" w:cs="仿宋"/>
          <w:color w:val="auto"/>
          <w:highlight w:val="none"/>
          <w:u w:val="none"/>
        </w:rPr>
        <w:t>（</w:t>
      </w:r>
      <w:r>
        <w:rPr>
          <w:rFonts w:hint="eastAsia" w:hAnsi="仿宋" w:cs="仿宋"/>
          <w:color w:val="auto"/>
          <w:highlight w:val="none"/>
          <w:u w:val="none"/>
          <w:lang w:val="en-US" w:eastAsia="zh-CN"/>
        </w:rPr>
        <w:t>一</w:t>
      </w:r>
      <w:r>
        <w:rPr>
          <w:rFonts w:hint="eastAsia" w:hAnsi="仿宋" w:cs="仿宋"/>
          <w:color w:val="auto"/>
          <w:highlight w:val="none"/>
          <w:u w:val="none"/>
        </w:rPr>
        <w:t>）</w:t>
      </w:r>
      <w:r>
        <w:rPr>
          <w:rFonts w:hint="eastAsia" w:hAnsi="仿宋" w:cs="仿宋"/>
          <w:color w:val="auto"/>
          <w:highlight w:val="none"/>
          <w:u w:val="none"/>
          <w:lang w:eastAsia="zh-CN"/>
        </w:rPr>
        <w:t>直管企业及其所属企业</w:t>
      </w:r>
      <w:r>
        <w:rPr>
          <w:rFonts w:hint="eastAsia" w:hAnsi="仿宋" w:cs="仿宋"/>
          <w:color w:val="auto"/>
          <w:highlight w:val="none"/>
        </w:rPr>
        <w:t>土地、房屋等不动产处置，由直管企业提出方案，经区</w:t>
      </w:r>
      <w:r>
        <w:rPr>
          <w:rFonts w:hint="eastAsia" w:hAnsi="仿宋" w:cs="仿宋"/>
          <w:color w:val="auto"/>
          <w:highlight w:val="none"/>
          <w:lang w:eastAsia="zh-CN"/>
        </w:rPr>
        <w:t>国资监管部门</w:t>
      </w:r>
      <w:r>
        <w:rPr>
          <w:rFonts w:hint="eastAsia" w:hAnsi="仿宋" w:cs="仿宋"/>
          <w:color w:val="auto"/>
          <w:highlight w:val="none"/>
        </w:rPr>
        <w:t>审核</w:t>
      </w:r>
      <w:r>
        <w:rPr>
          <w:rFonts w:hint="eastAsia" w:hAnsi="仿宋" w:cs="仿宋"/>
          <w:color w:val="auto"/>
          <w:highlight w:val="none"/>
          <w:lang w:eastAsia="zh-CN"/>
        </w:rPr>
        <w:t>后</w:t>
      </w:r>
      <w:r>
        <w:rPr>
          <w:rFonts w:hint="eastAsia" w:hAnsi="仿宋" w:cs="仿宋"/>
          <w:color w:val="auto"/>
          <w:highlight w:val="none"/>
        </w:rPr>
        <w:t>，报</w:t>
      </w:r>
      <w:r>
        <w:rPr>
          <w:rFonts w:hint="eastAsia" w:hAnsi="仿宋" w:cs="仿宋"/>
          <w:color w:val="auto"/>
          <w:highlight w:val="none"/>
          <w:lang w:eastAsia="zh-CN"/>
        </w:rPr>
        <w:t>区政府常务会议审议</w:t>
      </w:r>
      <w:r>
        <w:rPr>
          <w:rFonts w:hint="eastAsia" w:hAnsi="仿宋" w:cs="仿宋"/>
          <w:color w:val="auto"/>
          <w:highlight w:val="none"/>
        </w:rPr>
        <w:t>。</w:t>
      </w:r>
      <w:r>
        <w:rPr>
          <w:rFonts w:hint="eastAsia" w:hAnsi="仿宋" w:cs="仿宋"/>
          <w:color w:val="auto"/>
          <w:highlight w:val="none"/>
          <w:lang w:eastAsia="zh-CN"/>
        </w:rPr>
        <w:t>但属于</w:t>
      </w:r>
      <w:r>
        <w:rPr>
          <w:rFonts w:hint="eastAsia" w:hAnsi="仿宋" w:cs="仿宋"/>
          <w:color w:val="auto"/>
          <w:highlight w:val="none"/>
          <w:u w:val="none"/>
          <w:lang w:eastAsia="zh-CN"/>
        </w:rPr>
        <w:t>向政府申请历史遗留违法建筑处理，以及配合政府土地整备和利益统筹需进行资产置换或获得货币补偿的资产处置事项，由直管企业</w:t>
      </w:r>
      <w:r>
        <w:rPr>
          <w:rFonts w:hint="eastAsia" w:hAnsi="仿宋" w:cs="仿宋"/>
          <w:color w:val="auto"/>
          <w:highlight w:val="none"/>
          <w:u w:val="none"/>
          <w:lang w:val="en-US" w:eastAsia="zh-CN"/>
        </w:rPr>
        <w:t>按政府相关标准</w:t>
      </w:r>
      <w:r>
        <w:rPr>
          <w:rFonts w:hint="eastAsia" w:hAnsi="仿宋" w:cs="仿宋"/>
          <w:color w:val="auto"/>
          <w:highlight w:val="none"/>
          <w:u w:val="none"/>
          <w:lang w:eastAsia="zh-CN"/>
        </w:rPr>
        <w:t>审定，</w:t>
      </w:r>
      <w:r>
        <w:rPr>
          <w:rFonts w:hint="eastAsia" w:hAnsi="仿宋" w:cs="仿宋"/>
          <w:color w:val="auto"/>
          <w:highlight w:val="none"/>
          <w:u w:val="none"/>
        </w:rPr>
        <w:t>报区国资监管部门备案。直管企业在审定时，应确保补偿或置换标准不低于同类情形下政府对其他权利人的补偿水平。</w:t>
      </w:r>
    </w:p>
    <w:p w14:paraId="379C190C">
      <w:pPr>
        <w:keepNext w:val="0"/>
        <w:keepLines w:val="0"/>
        <w:pageBreakBefore w:val="0"/>
        <w:kinsoku/>
        <w:wordWrap/>
        <w:overflowPunct/>
        <w:topLinePunct w:val="0"/>
        <w:bidi w:val="0"/>
        <w:spacing w:afterLines="0" w:line="560" w:lineRule="exact"/>
        <w:ind w:firstLine="640" w:firstLineChars="200"/>
        <w:textAlignment w:val="auto"/>
        <w:rPr>
          <w:rFonts w:hint="eastAsia" w:ascii="仿宋_GB2312" w:hAnsi="仿宋" w:eastAsia="仿宋_GB2312" w:cs="仿宋"/>
          <w:b w:val="0"/>
          <w:bCs w:val="0"/>
          <w:color w:val="auto"/>
          <w:sz w:val="32"/>
          <w:szCs w:val="32"/>
          <w:highlight w:val="none"/>
          <w:u w:val="none"/>
          <w:lang w:eastAsia="zh-CN"/>
        </w:rPr>
      </w:pPr>
      <w:r>
        <w:rPr>
          <w:rFonts w:hint="eastAsia" w:hAnsi="仿宋" w:cs="仿宋"/>
          <w:color w:val="auto"/>
          <w:highlight w:val="none"/>
          <w:u w:val="none"/>
        </w:rPr>
        <w:t>（二）除前项规定的不动产外，其他资产（包括固定资产、无形资产、知识产权、债权、合同权益等）的变动，无论评估值</w:t>
      </w:r>
      <w:r>
        <w:rPr>
          <w:rFonts w:hint="eastAsia" w:hAnsi="仿宋" w:cs="仿宋"/>
          <w:color w:val="auto"/>
          <w:highlight w:val="none"/>
          <w:u w:val="none"/>
          <w:lang w:eastAsia="zh-CN"/>
        </w:rPr>
        <w:t>（</w:t>
      </w:r>
      <w:r>
        <w:rPr>
          <w:rFonts w:hint="eastAsia" w:hAnsi="仿宋" w:cs="仿宋"/>
          <w:color w:val="auto"/>
          <w:highlight w:val="none"/>
          <w:u w:val="none"/>
          <w:lang w:val="en-US" w:eastAsia="zh-CN"/>
        </w:rPr>
        <w:t>估值）</w:t>
      </w:r>
      <w:r>
        <w:rPr>
          <w:rFonts w:hint="eastAsia" w:hAnsi="仿宋" w:cs="仿宋"/>
          <w:color w:val="auto"/>
          <w:highlight w:val="none"/>
          <w:u w:val="none"/>
        </w:rPr>
        <w:t>大小，均由直管企业自行审定决策。</w:t>
      </w:r>
    </w:p>
    <w:p w14:paraId="6459AA7C">
      <w:pPr>
        <w:keepNext w:val="0"/>
        <w:keepLines w:val="0"/>
        <w:pageBreakBefore w:val="0"/>
        <w:numPr>
          <w:ilvl w:val="0"/>
          <w:numId w:val="1"/>
        </w:numPr>
        <w:kinsoku/>
        <w:wordWrap/>
        <w:overflowPunct/>
        <w:topLinePunct w:val="0"/>
        <w:bidi w:val="0"/>
        <w:spacing w:afterLines="0" w:line="560" w:lineRule="exact"/>
        <w:ind w:left="0"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对外捐赠审批权限如下：</w:t>
      </w:r>
    </w:p>
    <w:p w14:paraId="320D3AA9">
      <w:pPr>
        <w:keepNext w:val="0"/>
        <w:keepLines w:val="0"/>
        <w:pageBreakBefore w:val="0"/>
        <w:numPr>
          <w:ilvl w:val="-1"/>
          <w:numId w:val="0"/>
        </w:numPr>
        <w:kinsoku/>
        <w:wordWrap/>
        <w:overflowPunct/>
        <w:topLinePunct w:val="0"/>
        <w:bidi w:val="0"/>
        <w:spacing w:afterLines="0" w:line="560" w:lineRule="exact"/>
        <w:ind w:left="0" w:leftChars="0"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w:t>
      </w:r>
      <w:r>
        <w:rPr>
          <w:rFonts w:hint="eastAsia" w:hAnsi="仿宋" w:cs="仿宋"/>
          <w:b w:val="0"/>
          <w:bCs w:val="0"/>
          <w:color w:val="auto"/>
          <w:sz w:val="32"/>
          <w:szCs w:val="32"/>
          <w:highlight w:val="none"/>
          <w:u w:val="none"/>
          <w:lang w:eastAsia="zh-CN"/>
        </w:rPr>
        <w:t>区国有企业</w:t>
      </w:r>
      <w:r>
        <w:rPr>
          <w:rFonts w:hint="eastAsia" w:ascii="仿宋_GB2312" w:hAnsi="仿宋" w:eastAsia="仿宋_GB2312" w:cs="仿宋"/>
          <w:b w:val="0"/>
          <w:bCs w:val="0"/>
          <w:color w:val="auto"/>
          <w:sz w:val="32"/>
          <w:szCs w:val="32"/>
          <w:highlight w:val="none"/>
          <w:u w:val="none"/>
        </w:rPr>
        <w:t>单笔捐赠金额在20万元以下，且年度累计捐赠未超出预算额度的，由直管企业自行审批。</w:t>
      </w:r>
    </w:p>
    <w:p w14:paraId="3FB2ACB0">
      <w:pPr>
        <w:keepNext w:val="0"/>
        <w:keepLines w:val="0"/>
        <w:pageBreakBefore w:val="0"/>
        <w:numPr>
          <w:ilvl w:val="-1"/>
          <w:numId w:val="0"/>
        </w:numPr>
        <w:kinsoku/>
        <w:wordWrap/>
        <w:overflowPunct/>
        <w:topLinePunct w:val="0"/>
        <w:bidi w:val="0"/>
        <w:spacing w:afterLines="0" w:line="560" w:lineRule="exact"/>
        <w:ind w:left="0" w:leftChars="0"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w:t>
      </w:r>
      <w:r>
        <w:rPr>
          <w:rFonts w:hint="eastAsia" w:hAnsi="仿宋" w:cs="仿宋"/>
          <w:b w:val="0"/>
          <w:bCs w:val="0"/>
          <w:color w:val="auto"/>
          <w:sz w:val="32"/>
          <w:szCs w:val="32"/>
          <w:highlight w:val="none"/>
          <w:u w:val="none"/>
          <w:lang w:eastAsia="zh-CN"/>
        </w:rPr>
        <w:t>区国有企业</w:t>
      </w:r>
      <w:r>
        <w:rPr>
          <w:rFonts w:hint="eastAsia" w:ascii="仿宋_GB2312" w:hAnsi="仿宋" w:eastAsia="仿宋_GB2312" w:cs="仿宋"/>
          <w:b w:val="0"/>
          <w:bCs w:val="0"/>
          <w:color w:val="auto"/>
          <w:sz w:val="32"/>
          <w:szCs w:val="32"/>
          <w:highlight w:val="none"/>
          <w:u w:val="none"/>
        </w:rPr>
        <w:t>单笔捐赠金额达到或超过20万元的，或虽单笔未超过20万元但会导致年度累计捐赠超出预算额度的，须事先报区国资监管部门审批，并根据批复调整预算。</w:t>
      </w:r>
    </w:p>
    <w:p w14:paraId="37F86566">
      <w:pPr>
        <w:keepNext w:val="0"/>
        <w:keepLines w:val="0"/>
        <w:pageBreakBefore w:val="0"/>
        <w:numPr>
          <w:ilvl w:val="0"/>
          <w:numId w:val="1"/>
        </w:numPr>
        <w:kinsoku/>
        <w:wordWrap/>
        <w:overflowPunct/>
        <w:topLinePunct w:val="0"/>
        <w:bidi w:val="0"/>
        <w:spacing w:afterLines="0" w:line="560" w:lineRule="exact"/>
        <w:ind w:left="0"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hAnsi="仿宋" w:cs="仿宋"/>
          <w:color w:val="auto"/>
          <w:highlight w:val="none"/>
          <w:lang w:eastAsia="zh-CN"/>
        </w:rPr>
        <w:t>区国有企业</w:t>
      </w:r>
      <w:r>
        <w:rPr>
          <w:rFonts w:hint="eastAsia" w:hAnsi="仿宋" w:cs="仿宋"/>
          <w:color w:val="auto"/>
          <w:highlight w:val="none"/>
        </w:rPr>
        <w:t>设立的合伙制基金</w:t>
      </w:r>
      <w:r>
        <w:rPr>
          <w:rFonts w:hint="eastAsia" w:hAnsi="仿宋" w:cs="仿宋"/>
          <w:color w:val="auto"/>
          <w:highlight w:val="none"/>
          <w:lang w:eastAsia="zh-CN"/>
        </w:rPr>
        <w:t>转让对外投资的企业股权由区国有企业审定。但转让对国有经济</w:t>
      </w:r>
      <w:r>
        <w:rPr>
          <w:rFonts w:hint="eastAsia" w:hAnsi="仿宋" w:cs="仿宋"/>
          <w:color w:val="auto"/>
          <w:highlight w:val="none"/>
        </w:rPr>
        <w:t>布局</w:t>
      </w:r>
      <w:r>
        <w:rPr>
          <w:rFonts w:hint="eastAsia" w:hAnsi="仿宋" w:cs="仿宋"/>
          <w:color w:val="auto"/>
          <w:highlight w:val="none"/>
          <w:lang w:eastAsia="zh-CN"/>
        </w:rPr>
        <w:t>和地方产业发展</w:t>
      </w:r>
      <w:r>
        <w:rPr>
          <w:rFonts w:hint="eastAsia" w:hAnsi="仿宋" w:cs="仿宋"/>
          <w:color w:val="auto"/>
          <w:highlight w:val="none"/>
        </w:rPr>
        <w:t>有重要意义的</w:t>
      </w:r>
      <w:r>
        <w:rPr>
          <w:rFonts w:hint="eastAsia" w:hAnsi="仿宋" w:cs="仿宋"/>
          <w:color w:val="auto"/>
          <w:highlight w:val="none"/>
          <w:lang w:eastAsia="zh-CN"/>
        </w:rPr>
        <w:t>企业股权</w:t>
      </w:r>
      <w:r>
        <w:rPr>
          <w:rFonts w:hint="eastAsia" w:hAnsi="仿宋" w:cs="仿宋"/>
          <w:color w:val="auto"/>
          <w:highlight w:val="none"/>
        </w:rPr>
        <w:t>，</w:t>
      </w:r>
      <w:r>
        <w:rPr>
          <w:rFonts w:hint="eastAsia" w:hAnsi="仿宋" w:cs="仿宋"/>
          <w:color w:val="auto"/>
          <w:highlight w:val="none"/>
          <w:lang w:eastAsia="zh-CN"/>
        </w:rPr>
        <w:t>由直管企业提出方案，报</w:t>
      </w:r>
      <w:r>
        <w:rPr>
          <w:rFonts w:hint="eastAsia" w:hAnsi="仿宋" w:cs="仿宋"/>
          <w:color w:val="auto"/>
          <w:highlight w:val="none"/>
        </w:rPr>
        <w:t>区国资监管部门审核后，按程序提请区政府</w:t>
      </w:r>
      <w:r>
        <w:rPr>
          <w:rFonts w:hint="eastAsia" w:hAnsi="仿宋" w:cs="仿宋"/>
          <w:color w:val="auto"/>
          <w:highlight w:val="none"/>
          <w:lang w:eastAsia="zh-CN"/>
        </w:rPr>
        <w:t>常务会议</w:t>
      </w:r>
      <w:r>
        <w:rPr>
          <w:rFonts w:hint="eastAsia" w:hAnsi="仿宋" w:cs="仿宋"/>
          <w:color w:val="auto"/>
          <w:highlight w:val="none"/>
        </w:rPr>
        <w:t>审议</w:t>
      </w:r>
      <w:r>
        <w:rPr>
          <w:rFonts w:hint="eastAsia" w:ascii="仿宋_GB2312" w:hAnsi="仿宋" w:eastAsia="仿宋_GB2312" w:cs="仿宋"/>
          <w:b w:val="0"/>
          <w:bCs w:val="0"/>
          <w:color w:val="auto"/>
          <w:sz w:val="32"/>
          <w:szCs w:val="32"/>
          <w:highlight w:val="none"/>
          <w:u w:val="none"/>
        </w:rPr>
        <w:t>。</w:t>
      </w:r>
    </w:p>
    <w:p w14:paraId="58EBB65F">
      <w:pPr>
        <w:keepNext w:val="0"/>
        <w:keepLines w:val="0"/>
        <w:pageBreakBefore w:val="0"/>
        <w:numPr>
          <w:ilvl w:val="0"/>
          <w:numId w:val="1"/>
        </w:numPr>
        <w:kinsoku/>
        <w:wordWrap/>
        <w:overflowPunct/>
        <w:topLinePunct w:val="0"/>
        <w:bidi w:val="0"/>
        <w:spacing w:afterLines="0" w:line="560" w:lineRule="exact"/>
        <w:ind w:left="0"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按照产权变动的审批权限，产权单位应当逐级提出书面申请，并向产权变动批准单位</w:t>
      </w:r>
      <w:r>
        <w:rPr>
          <w:rFonts w:hint="eastAsia" w:hAnsi="仿宋" w:cs="仿宋"/>
          <w:b w:val="0"/>
          <w:bCs w:val="0"/>
          <w:color w:val="auto"/>
          <w:sz w:val="32"/>
          <w:szCs w:val="32"/>
          <w:highlight w:val="none"/>
          <w:u w:val="none"/>
          <w:lang w:eastAsia="zh-CN"/>
        </w:rPr>
        <w:t>报</w:t>
      </w:r>
      <w:r>
        <w:rPr>
          <w:rFonts w:hint="eastAsia" w:ascii="仿宋_GB2312" w:hAnsi="仿宋" w:eastAsia="仿宋_GB2312" w:cs="仿宋"/>
          <w:b w:val="0"/>
          <w:bCs w:val="0"/>
          <w:color w:val="auto"/>
          <w:sz w:val="32"/>
          <w:szCs w:val="32"/>
          <w:highlight w:val="none"/>
          <w:u w:val="none"/>
        </w:rPr>
        <w:t>送相关资料。批准单位应当审查下列书面文件：</w:t>
      </w:r>
    </w:p>
    <w:p w14:paraId="69EE9919">
      <w:pPr>
        <w:keepNext w:val="0"/>
        <w:keepLines w:val="0"/>
        <w:pageBreakBefore w:val="0"/>
        <w:kinsoku/>
        <w:wordWrap/>
        <w:overflowPunct/>
        <w:topLinePunct w:val="0"/>
        <w:bidi w:val="0"/>
        <w:spacing w:afterLines="0" w:line="560" w:lineRule="exact"/>
        <w:ind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（一）产权变动申请报告，报告内容应当包括对产权变动方案论证、职工安置、法律分析等工作情况的说明。</w:t>
      </w:r>
    </w:p>
    <w:p w14:paraId="25B85152">
      <w:pPr>
        <w:keepNext w:val="0"/>
        <w:keepLines w:val="0"/>
        <w:pageBreakBefore w:val="0"/>
        <w:kinsoku/>
        <w:wordWrap/>
        <w:overflowPunct/>
        <w:topLinePunct w:val="0"/>
        <w:bidi w:val="0"/>
        <w:spacing w:afterLines="0" w:line="560" w:lineRule="exact"/>
        <w:ind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（二）产权单位对企业国有产权变动的有关决议文件。</w:t>
      </w:r>
    </w:p>
    <w:p w14:paraId="0A867123">
      <w:pPr>
        <w:keepNext w:val="0"/>
        <w:keepLines w:val="0"/>
        <w:pageBreakBefore w:val="0"/>
        <w:kinsoku/>
        <w:wordWrap/>
        <w:overflowPunct/>
        <w:topLinePunct w:val="0"/>
        <w:bidi w:val="0"/>
        <w:spacing w:afterLines="0" w:line="560" w:lineRule="exact"/>
        <w:ind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（三）企业国有产权变动方案。</w:t>
      </w:r>
    </w:p>
    <w:p w14:paraId="7133B629">
      <w:pPr>
        <w:keepNext w:val="0"/>
        <w:keepLines w:val="0"/>
        <w:pageBreakBefore w:val="0"/>
        <w:kinsoku/>
        <w:wordWrap/>
        <w:overflowPunct/>
        <w:topLinePunct w:val="0"/>
        <w:bidi w:val="0"/>
        <w:spacing w:afterLines="0" w:line="560" w:lineRule="exact"/>
        <w:ind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（四）产权归属的证明文件（如商事登记资料、出资证明书或股东名册等）。</w:t>
      </w:r>
    </w:p>
    <w:p w14:paraId="693EF840">
      <w:pPr>
        <w:keepNext w:val="0"/>
        <w:keepLines w:val="0"/>
        <w:pageBreakBefore w:val="0"/>
        <w:kinsoku/>
        <w:wordWrap/>
        <w:overflowPunct/>
        <w:topLinePunct w:val="0"/>
        <w:bidi w:val="0"/>
        <w:spacing w:afterLines="0" w:line="560" w:lineRule="exact"/>
        <w:ind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最近年度财务审计报告、近期会计报告。</w:t>
      </w:r>
    </w:p>
    <w:p w14:paraId="36221F18">
      <w:pPr>
        <w:keepNext w:val="0"/>
        <w:keepLines w:val="0"/>
        <w:pageBreakBefore w:val="0"/>
        <w:kinsoku/>
        <w:wordWrap/>
        <w:overflowPunct/>
        <w:topLinePunct w:val="0"/>
        <w:bidi w:val="0"/>
        <w:spacing w:afterLines="0" w:line="560" w:lineRule="exact"/>
        <w:ind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（六）</w:t>
      </w:r>
      <w:r>
        <w:rPr>
          <w:rFonts w:hint="eastAsia" w:hAnsi="仿宋" w:cs="仿宋"/>
          <w:b w:val="0"/>
          <w:bCs w:val="0"/>
          <w:color w:val="auto"/>
          <w:sz w:val="32"/>
          <w:szCs w:val="32"/>
          <w:highlight w:val="none"/>
          <w:u w:val="none"/>
          <w:lang w:eastAsia="zh-CN"/>
        </w:rPr>
        <w:t>区国资监管部门派出的</w:t>
      </w:r>
      <w:r>
        <w:rPr>
          <w:rFonts w:hint="eastAsia" w:ascii="仿宋_GB2312" w:hAnsi="仿宋" w:eastAsia="仿宋_GB2312" w:cs="仿宋"/>
          <w:b w:val="0"/>
          <w:bCs w:val="0"/>
          <w:color w:val="auto"/>
          <w:sz w:val="32"/>
          <w:szCs w:val="32"/>
          <w:highlight w:val="none"/>
          <w:u w:val="none"/>
        </w:rPr>
        <w:t>财务总监的审核意见。</w:t>
      </w:r>
    </w:p>
    <w:p w14:paraId="32078333">
      <w:pPr>
        <w:keepNext w:val="0"/>
        <w:keepLines w:val="0"/>
        <w:pageBreakBefore w:val="0"/>
        <w:kinsoku/>
        <w:wordWrap/>
        <w:overflowPunct/>
        <w:topLinePunct w:val="0"/>
        <w:bidi w:val="0"/>
        <w:spacing w:afterLines="0" w:line="560" w:lineRule="exact"/>
        <w:ind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（七）涉及控股权变更或存在重大法律风险</w:t>
      </w:r>
      <w:r>
        <w:rPr>
          <w:rFonts w:hint="eastAsia" w:hAnsi="仿宋" w:cs="仿宋"/>
          <w:b w:val="0"/>
          <w:bCs w:val="0"/>
          <w:color w:val="auto"/>
          <w:sz w:val="32"/>
          <w:szCs w:val="32"/>
          <w:highlight w:val="none"/>
          <w:u w:val="none"/>
          <w:lang w:eastAsia="zh-CN"/>
        </w:rPr>
        <w:t>的</w:t>
      </w:r>
      <w:r>
        <w:rPr>
          <w:rFonts w:hint="eastAsia" w:ascii="仿宋_GB2312" w:hAnsi="仿宋" w:eastAsia="仿宋_GB2312" w:cs="仿宋"/>
          <w:b w:val="0"/>
          <w:bCs w:val="0"/>
          <w:color w:val="auto"/>
          <w:sz w:val="32"/>
          <w:szCs w:val="32"/>
          <w:highlight w:val="none"/>
          <w:u w:val="none"/>
        </w:rPr>
        <w:t>，由律师事务所出具的专项法律意见书。</w:t>
      </w:r>
    </w:p>
    <w:p w14:paraId="695284E8">
      <w:pPr>
        <w:keepNext w:val="0"/>
        <w:keepLines w:val="0"/>
        <w:pageBreakBefore w:val="0"/>
        <w:kinsoku/>
        <w:wordWrap/>
        <w:overflowPunct/>
        <w:topLinePunct w:val="0"/>
        <w:bidi w:val="0"/>
        <w:spacing w:afterLines="0" w:line="560" w:lineRule="exact"/>
        <w:ind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八</w:t>
      </w:r>
      <w:r>
        <w:rPr>
          <w:rFonts w:hint="eastAsia" w:ascii="仿宋_GB2312" w:hAnsi="仿宋" w:eastAsia="仿宋_GB2312" w:cs="仿宋"/>
          <w:b w:val="0"/>
          <w:bCs w:val="0"/>
          <w:color w:val="auto"/>
          <w:sz w:val="32"/>
          <w:szCs w:val="32"/>
          <w:highlight w:val="none"/>
          <w:u w:val="none"/>
        </w:rPr>
        <w:t>）批准机构要求的其他文件。</w:t>
      </w:r>
    </w:p>
    <w:p w14:paraId="66281124">
      <w:pPr>
        <w:keepNext w:val="0"/>
        <w:keepLines w:val="0"/>
        <w:pageBreakBefore w:val="0"/>
        <w:numPr>
          <w:ilvl w:val="0"/>
          <w:numId w:val="1"/>
        </w:numPr>
        <w:kinsoku/>
        <w:wordWrap/>
        <w:overflowPunct/>
        <w:topLinePunct w:val="0"/>
        <w:bidi w:val="0"/>
        <w:spacing w:afterLines="0" w:line="560" w:lineRule="exact"/>
        <w:ind w:left="0"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产权变动批准单位应当对企业国有产权变动项目的产权归属的有效性、产权变动的合法性、内部决策程序的规范性以及报批资料的完整性等内容进行审核。批准文件应当包括下列内容：</w:t>
      </w:r>
    </w:p>
    <w:p w14:paraId="3B709578">
      <w:pPr>
        <w:keepNext w:val="0"/>
        <w:keepLines w:val="0"/>
        <w:pageBreakBefore w:val="0"/>
        <w:kinsoku/>
        <w:wordWrap/>
        <w:overflowPunct/>
        <w:topLinePunct w:val="0"/>
        <w:bidi w:val="0"/>
        <w:spacing w:afterLines="0" w:line="560" w:lineRule="exact"/>
        <w:ind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（一）产权单位及变动产权的全称、变动产权的数量及比例、企业国有产权变动方案中的主要事项。</w:t>
      </w:r>
    </w:p>
    <w:p w14:paraId="40A25591">
      <w:pPr>
        <w:keepNext w:val="0"/>
        <w:keepLines w:val="0"/>
        <w:pageBreakBefore w:val="0"/>
        <w:kinsoku/>
        <w:wordWrap/>
        <w:overflowPunct/>
        <w:topLinePunct w:val="0"/>
        <w:bidi w:val="0"/>
        <w:spacing w:afterLines="0" w:line="560" w:lineRule="exact"/>
        <w:ind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（二）进行资产评估</w:t>
      </w:r>
      <w:r>
        <w:rPr>
          <w:rFonts w:hint="eastAsia" w:hAnsi="仿宋" w:cs="仿宋"/>
          <w:b w:val="0"/>
          <w:bCs w:val="0"/>
          <w:color w:val="auto"/>
          <w:sz w:val="32"/>
          <w:szCs w:val="32"/>
          <w:highlight w:val="none"/>
          <w:u w:val="none"/>
          <w:lang w:eastAsia="zh-CN"/>
        </w:rPr>
        <w:t>（估值）</w:t>
      </w:r>
      <w:r>
        <w:rPr>
          <w:rFonts w:hint="eastAsia" w:ascii="仿宋_GB2312" w:hAnsi="仿宋" w:eastAsia="仿宋_GB2312" w:cs="仿宋"/>
          <w:b w:val="0"/>
          <w:bCs w:val="0"/>
          <w:color w:val="auto"/>
          <w:sz w:val="32"/>
          <w:szCs w:val="32"/>
          <w:highlight w:val="none"/>
          <w:u w:val="none"/>
        </w:rPr>
        <w:t>并</w:t>
      </w:r>
      <w:r>
        <w:rPr>
          <w:rFonts w:hint="eastAsia" w:hAnsi="仿宋" w:cs="仿宋"/>
          <w:b w:val="0"/>
          <w:bCs w:val="0"/>
          <w:color w:val="auto"/>
          <w:sz w:val="32"/>
          <w:szCs w:val="32"/>
          <w:highlight w:val="none"/>
          <w:u w:val="none"/>
          <w:lang w:eastAsia="zh-CN"/>
        </w:rPr>
        <w:t>办理</w:t>
      </w:r>
      <w:r>
        <w:rPr>
          <w:rFonts w:hint="eastAsia" w:ascii="仿宋_GB2312" w:hAnsi="仿宋" w:eastAsia="仿宋_GB2312" w:cs="仿宋"/>
          <w:b w:val="0"/>
          <w:bCs w:val="0"/>
          <w:color w:val="auto"/>
          <w:sz w:val="32"/>
          <w:szCs w:val="32"/>
          <w:highlight w:val="none"/>
          <w:u w:val="none"/>
        </w:rPr>
        <w:t>项目核准或备案手续。</w:t>
      </w:r>
    </w:p>
    <w:p w14:paraId="21E243D8">
      <w:pPr>
        <w:keepNext w:val="0"/>
        <w:keepLines w:val="0"/>
        <w:pageBreakBefore w:val="0"/>
        <w:kinsoku/>
        <w:wordWrap/>
        <w:overflowPunct/>
        <w:topLinePunct w:val="0"/>
        <w:bidi w:val="0"/>
        <w:spacing w:afterLines="0" w:line="560" w:lineRule="exact"/>
        <w:ind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（三）除经</w:t>
      </w:r>
      <w:r>
        <w:rPr>
          <w:rFonts w:hint="eastAsia" w:hAnsi="仿宋" w:cs="仿宋"/>
          <w:b w:val="0"/>
          <w:bCs w:val="0"/>
          <w:color w:val="auto"/>
          <w:sz w:val="32"/>
          <w:szCs w:val="32"/>
          <w:highlight w:val="none"/>
          <w:u w:val="none"/>
          <w:lang w:eastAsia="zh-CN"/>
        </w:rPr>
        <w:t>区国资监管部门</w:t>
      </w:r>
      <w:r>
        <w:rPr>
          <w:rFonts w:hint="eastAsia" w:ascii="仿宋_GB2312" w:hAnsi="仿宋" w:eastAsia="仿宋_GB2312" w:cs="仿宋"/>
          <w:b w:val="0"/>
          <w:bCs w:val="0"/>
          <w:color w:val="auto"/>
          <w:sz w:val="32"/>
          <w:szCs w:val="32"/>
          <w:highlight w:val="none"/>
          <w:u w:val="none"/>
        </w:rPr>
        <w:t>审批免予挂牌的情形外，应当在</w:t>
      </w:r>
      <w:r>
        <w:rPr>
          <w:rFonts w:hint="eastAsia" w:hAnsi="仿宋" w:cs="仿宋"/>
          <w:b w:val="0"/>
          <w:bCs w:val="0"/>
          <w:color w:val="auto"/>
          <w:sz w:val="32"/>
          <w:szCs w:val="32"/>
          <w:highlight w:val="none"/>
          <w:u w:val="none"/>
          <w:lang w:eastAsia="zh-CN"/>
        </w:rPr>
        <w:t>区国资监管部门</w:t>
      </w:r>
      <w:r>
        <w:rPr>
          <w:rFonts w:hint="eastAsia" w:ascii="仿宋_GB2312" w:hAnsi="仿宋" w:eastAsia="仿宋_GB2312" w:cs="仿宋"/>
          <w:b w:val="0"/>
          <w:bCs w:val="0"/>
          <w:color w:val="auto"/>
          <w:sz w:val="32"/>
          <w:szCs w:val="32"/>
          <w:highlight w:val="none"/>
          <w:u w:val="none"/>
        </w:rPr>
        <w:t>选择确定的产权交易机构公开交易。</w:t>
      </w:r>
    </w:p>
    <w:p w14:paraId="4E6A89E2">
      <w:pPr>
        <w:keepNext w:val="0"/>
        <w:keepLines w:val="0"/>
        <w:pageBreakBefore w:val="0"/>
        <w:kinsoku/>
        <w:wordWrap/>
        <w:overflowPunct/>
        <w:topLinePunct w:val="0"/>
        <w:bidi w:val="0"/>
        <w:spacing w:afterLines="0" w:line="560" w:lineRule="exact"/>
        <w:ind w:firstLine="640" w:firstLineChars="200"/>
        <w:textAlignment w:val="auto"/>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（四）根据实际情况，规定批准文件的有效期。该有效期原则上不得超过一年。</w:t>
      </w:r>
    </w:p>
    <w:p w14:paraId="25D084B6">
      <w:pPr>
        <w:keepNext w:val="0"/>
        <w:keepLines w:val="0"/>
        <w:pageBreakBefore w:val="0"/>
        <w:numPr>
          <w:ilvl w:val="0"/>
          <w:numId w:val="1"/>
        </w:numPr>
        <w:kinsoku/>
        <w:wordWrap/>
        <w:overflowPunct/>
        <w:topLinePunct w:val="0"/>
        <w:bidi w:val="0"/>
        <w:spacing w:afterLines="0" w:line="560" w:lineRule="exact"/>
        <w:ind w:left="0" w:firstLine="640" w:firstLineChars="200"/>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企业国有产权变动事项经批准或者决定后，如产权变动数量（比例）或者企业国有产权变动内容发生变化的，应按照规定程序重新报批。</w:t>
      </w:r>
    </w:p>
    <w:p w14:paraId="6A02E71C">
      <w:pPr>
        <w:keepNext w:val="0"/>
        <w:keepLines w:val="0"/>
        <w:pageBreakBefore w:val="0"/>
        <w:kinsoku/>
        <w:wordWrap/>
        <w:overflowPunct/>
        <w:topLinePunct w:val="0"/>
        <w:bidi w:val="0"/>
        <w:spacing w:afterLines="0" w:line="560" w:lineRule="exact"/>
        <w:ind w:firstLine="640" w:firstLineChars="200"/>
        <w:jc w:val="center"/>
        <w:textAlignment w:val="auto"/>
        <w:rPr>
          <w:rFonts w:hint="eastAsia" w:ascii="黑体" w:hAnsi="黑体" w:eastAsia="黑体" w:cs="仿宋"/>
          <w:b w:val="0"/>
          <w:bCs w:val="0"/>
          <w:color w:val="auto"/>
          <w:sz w:val="32"/>
          <w:szCs w:val="32"/>
          <w:highlight w:val="none"/>
          <w:u w:val="none"/>
        </w:rPr>
      </w:pPr>
    </w:p>
    <w:p w14:paraId="249A6527">
      <w:pPr>
        <w:numPr>
          <w:ilvl w:val="0"/>
          <w:numId w:val="0"/>
        </w:numPr>
        <w:spacing w:afterLines="0" w:line="560" w:lineRule="exact"/>
        <w:ind w:left="0" w:leftChars="0" w:firstLine="640" w:firstLineChars="200"/>
        <w:jc w:val="center"/>
        <w:rPr>
          <w:rFonts w:hint="eastAsia" w:ascii="仿宋_GB2312" w:hAnsi="仿宋" w:eastAsia="仿宋_GB2312"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w:t>
      </w:r>
      <w:r>
        <w:rPr>
          <w:rFonts w:hint="eastAsia" w:ascii="黑体" w:hAnsi="黑体" w:eastAsia="黑体" w:cs="仿宋"/>
          <w:b w:val="0"/>
          <w:bCs w:val="0"/>
          <w:color w:val="auto"/>
          <w:sz w:val="32"/>
          <w:szCs w:val="32"/>
          <w:highlight w:val="none"/>
          <w:u w:val="none"/>
          <w:lang w:val="en-US" w:eastAsia="zh-CN"/>
        </w:rPr>
        <w:t>四</w:t>
      </w:r>
      <w:r>
        <w:rPr>
          <w:rFonts w:hint="eastAsia" w:ascii="黑体" w:hAnsi="黑体" w:eastAsia="黑体" w:cs="仿宋"/>
          <w:b w:val="0"/>
          <w:bCs w:val="0"/>
          <w:color w:val="auto"/>
          <w:sz w:val="32"/>
          <w:szCs w:val="32"/>
          <w:highlight w:val="none"/>
          <w:u w:val="none"/>
        </w:rPr>
        <w:t>章  企业国有资产</w:t>
      </w:r>
      <w:r>
        <w:rPr>
          <w:rFonts w:hint="eastAsia" w:ascii="黑体" w:hAnsi="黑体" w:eastAsia="黑体" w:cs="仿宋"/>
          <w:b w:val="0"/>
          <w:bCs w:val="0"/>
          <w:color w:val="auto"/>
          <w:sz w:val="32"/>
          <w:szCs w:val="32"/>
          <w:highlight w:val="none"/>
          <w:u w:val="none"/>
          <w:lang w:eastAsia="zh-CN"/>
        </w:rPr>
        <w:t>审计和评估</w:t>
      </w:r>
    </w:p>
    <w:p w14:paraId="14DF0546">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Lines="0" w:afterAutospacing="0" w:line="560" w:lineRule="exact"/>
        <w:ind w:left="54" w:right="0" w:firstLine="64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i w:val="0"/>
          <w:iCs w:val="0"/>
          <w:caps w:val="0"/>
          <w:color w:val="auto"/>
          <w:spacing w:val="0"/>
          <w:sz w:val="32"/>
          <w:szCs w:val="32"/>
          <w:highlight w:val="none"/>
          <w:shd w:val="clear" w:fill="FFFFFF"/>
        </w:rPr>
        <w:t>企业国有产权变动事项经批准或决定后，产权单位应当委托具有相应资质的会计师事务所进行专项审计。</w:t>
      </w:r>
      <w:r>
        <w:rPr>
          <w:rFonts w:hint="eastAsia" w:ascii="仿宋_GB2312" w:hAnsi="仿宋" w:eastAsia="仿宋_GB2312" w:cs="仿宋"/>
          <w:b w:val="0"/>
          <w:bCs w:val="0"/>
          <w:color w:val="auto"/>
          <w:sz w:val="32"/>
          <w:szCs w:val="32"/>
          <w:highlight w:val="none"/>
          <w:u w:val="none"/>
        </w:rPr>
        <w:t>涉及控股权变动的，应当按照国家有关规定对产权</w:t>
      </w:r>
      <w:r>
        <w:rPr>
          <w:rFonts w:hint="eastAsia" w:hAnsi="仿宋" w:cs="仿宋"/>
          <w:b w:val="0"/>
          <w:bCs w:val="0"/>
          <w:color w:val="auto"/>
          <w:sz w:val="32"/>
          <w:szCs w:val="32"/>
          <w:highlight w:val="none"/>
          <w:u w:val="none"/>
          <w:lang w:eastAsia="zh-CN"/>
        </w:rPr>
        <w:t>单位</w:t>
      </w:r>
      <w:r>
        <w:rPr>
          <w:rFonts w:hint="eastAsia" w:ascii="仿宋_GB2312" w:hAnsi="仿宋" w:eastAsia="仿宋_GB2312" w:cs="仿宋"/>
          <w:b w:val="0"/>
          <w:bCs w:val="0"/>
          <w:color w:val="auto"/>
          <w:sz w:val="32"/>
          <w:szCs w:val="32"/>
          <w:highlight w:val="none"/>
          <w:u w:val="none"/>
        </w:rPr>
        <w:t>法定代表人进行离任审计</w:t>
      </w:r>
      <w:r>
        <w:rPr>
          <w:rFonts w:hint="eastAsia" w:hAnsi="仿宋" w:cs="仿宋"/>
          <w:b w:val="0"/>
          <w:bCs w:val="0"/>
          <w:color w:val="auto"/>
          <w:sz w:val="32"/>
          <w:szCs w:val="32"/>
          <w:highlight w:val="none"/>
          <w:u w:val="none"/>
          <w:lang w:eastAsia="zh-CN"/>
        </w:rPr>
        <w:t>。但有下列情形的，按对应规定执行：</w:t>
      </w:r>
    </w:p>
    <w:p w14:paraId="5DECED4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Lines="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hAnsi="仿宋_GB2312" w:cs="仿宋_GB2312"/>
          <w:i w:val="0"/>
          <w:iCs w:val="0"/>
          <w:caps w:val="0"/>
          <w:color w:val="auto"/>
          <w:spacing w:val="0"/>
          <w:sz w:val="32"/>
          <w:szCs w:val="32"/>
          <w:highlight w:val="none"/>
          <w:shd w:val="clear" w:fill="FFFFFF"/>
          <w:lang w:eastAsia="zh-CN"/>
        </w:rPr>
        <w:t>（一）</w:t>
      </w:r>
      <w:r>
        <w:rPr>
          <w:rFonts w:hint="eastAsia" w:ascii="仿宋_GB2312" w:hAnsi="仿宋_GB2312" w:eastAsia="仿宋_GB2312" w:cs="仿宋_GB2312"/>
          <w:i w:val="0"/>
          <w:iCs w:val="0"/>
          <w:caps w:val="0"/>
          <w:color w:val="auto"/>
          <w:spacing w:val="0"/>
          <w:sz w:val="32"/>
          <w:szCs w:val="32"/>
          <w:highlight w:val="none"/>
          <w:shd w:val="clear" w:fill="FFFFFF"/>
        </w:rPr>
        <w:t>转让参股企业股权不宜单独进行专项审计的，应当取得转让标的企业最近一期年度审计报告。</w:t>
      </w:r>
    </w:p>
    <w:p w14:paraId="4BC4866A">
      <w:pPr>
        <w:widowControl/>
        <w:numPr>
          <w:ilvl w:val="0"/>
          <w:numId w:val="0"/>
        </w:numPr>
        <w:pBdr>
          <w:top w:val="none" w:color="auto" w:sz="0" w:space="0"/>
          <w:left w:val="none" w:color="auto" w:sz="0" w:space="0"/>
          <w:bottom w:val="none" w:color="auto" w:sz="0" w:space="0"/>
          <w:right w:val="none" w:color="auto" w:sz="0" w:space="0"/>
        </w:pBdr>
        <w:spacing w:afterLines="0" w:line="560" w:lineRule="exact"/>
        <w:ind w:firstLine="640" w:firstLineChars="200"/>
        <w:jc w:val="both"/>
        <w:rPr>
          <w:rFonts w:hint="default" w:ascii="仿宋_GB2312" w:hAnsi="仿宋" w:eastAsia="仿宋_GB2312" w:cs="仿宋"/>
          <w:color w:val="auto"/>
          <w:sz w:val="32"/>
          <w:szCs w:val="32"/>
          <w:highlight w:val="none"/>
          <w:u w:val="none"/>
        </w:rPr>
      </w:pPr>
      <w:r>
        <w:rPr>
          <w:rFonts w:hint="eastAsia" w:hAnsi="仿宋" w:cs="仿宋"/>
          <w:color w:val="auto"/>
          <w:highlight w:val="none"/>
          <w:u w:val="none"/>
          <w:lang w:eastAsia="zh-CN"/>
        </w:rPr>
        <w:t>（二）</w:t>
      </w:r>
      <w:r>
        <w:rPr>
          <w:rFonts w:hint="eastAsia" w:hAnsi="仿宋" w:cs="仿宋"/>
          <w:color w:val="auto"/>
          <w:highlight w:val="none"/>
          <w:u w:val="none"/>
        </w:rPr>
        <w:t>转让账面净值低于10万元的存货、固定资产等（不含土地、房屋）的，可以不再进行专项审计，但应通过市场询价、第三方评估或参照资产净值等方式确定合理交易价格。</w:t>
      </w:r>
    </w:p>
    <w:p w14:paraId="4489BE24">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Lines="0" w:afterAutospacing="0" w:line="560" w:lineRule="exact"/>
        <w:ind w:left="54" w:right="0" w:firstLine="64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i w:val="0"/>
          <w:iCs w:val="0"/>
          <w:caps w:val="0"/>
          <w:color w:val="auto"/>
          <w:spacing w:val="0"/>
          <w:sz w:val="32"/>
          <w:szCs w:val="32"/>
          <w:highlight w:val="none"/>
          <w:shd w:val="clear" w:fill="FFFFFF"/>
        </w:rPr>
        <w:t>对按照有关法律法规</w:t>
      </w:r>
      <w:r>
        <w:rPr>
          <w:rFonts w:hint="eastAsia" w:hAnsi="仿宋_GB2312" w:cs="仿宋_GB2312"/>
          <w:i w:val="0"/>
          <w:iCs w:val="0"/>
          <w:caps w:val="0"/>
          <w:color w:val="auto"/>
          <w:spacing w:val="0"/>
          <w:sz w:val="32"/>
          <w:szCs w:val="32"/>
          <w:highlight w:val="none"/>
          <w:shd w:val="clear" w:fill="FFFFFF"/>
          <w:lang w:eastAsia="zh-CN"/>
        </w:rPr>
        <w:t>和本规定</w:t>
      </w:r>
      <w:r>
        <w:rPr>
          <w:rFonts w:hint="eastAsia" w:ascii="仿宋_GB2312" w:hAnsi="仿宋_GB2312" w:eastAsia="仿宋_GB2312" w:cs="仿宋_GB2312"/>
          <w:i w:val="0"/>
          <w:iCs w:val="0"/>
          <w:caps w:val="0"/>
          <w:color w:val="auto"/>
          <w:spacing w:val="0"/>
          <w:sz w:val="32"/>
          <w:szCs w:val="32"/>
          <w:highlight w:val="none"/>
          <w:shd w:val="clear" w:fill="FFFFFF"/>
        </w:rPr>
        <w:t>要求必须进行资产评估的产权变动事项，产权单位应当在审计的基础上，按照有关规定委托具有相应资质的资产评估机构进行资产评估。</w:t>
      </w:r>
    </w:p>
    <w:p w14:paraId="602A6264">
      <w:pPr>
        <w:numPr>
          <w:ilvl w:val="0"/>
          <w:numId w:val="1"/>
        </w:numPr>
        <w:spacing w:afterLines="0" w:line="560" w:lineRule="exact"/>
        <w:ind w:left="54" w:firstLine="640" w:firstLineChars="0"/>
        <w:rPr>
          <w:rFonts w:hint="eastAsia" w:hAnsi="仿宋" w:cs="仿宋"/>
          <w:color w:val="auto"/>
          <w:highlight w:val="none"/>
        </w:rPr>
      </w:pPr>
      <w:r>
        <w:rPr>
          <w:rFonts w:hint="eastAsia" w:hAnsi="仿宋" w:cs="仿宋"/>
          <w:color w:val="auto"/>
          <w:highlight w:val="none"/>
        </w:rPr>
        <w:t>企业国有资产评估项目实行核准制和备案制。</w:t>
      </w:r>
    </w:p>
    <w:p w14:paraId="6538EF0A">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资产评估项目有下列情形之一的，由</w:t>
      </w:r>
      <w:r>
        <w:rPr>
          <w:rFonts w:hint="eastAsia" w:hAnsi="仿宋" w:cs="仿宋"/>
          <w:color w:val="auto"/>
          <w:highlight w:val="none"/>
          <w:lang w:eastAsia="zh-CN"/>
        </w:rPr>
        <w:t>区国资监管部门</w:t>
      </w:r>
      <w:r>
        <w:rPr>
          <w:rFonts w:hint="eastAsia" w:hAnsi="仿宋" w:cs="仿宋"/>
          <w:color w:val="auto"/>
          <w:highlight w:val="none"/>
        </w:rPr>
        <w:t>负责办理核准手续：</w:t>
      </w:r>
    </w:p>
    <w:p w14:paraId="35980B1D">
      <w:pPr>
        <w:numPr>
          <w:ilvl w:val="-1"/>
          <w:numId w:val="0"/>
        </w:numPr>
        <w:spacing w:afterLines="0" w:line="560" w:lineRule="exact"/>
        <w:ind w:left="0" w:firstLine="640" w:firstLineChars="200"/>
        <w:rPr>
          <w:rFonts w:hint="eastAsia" w:hAnsi="仿宋" w:eastAsia="仿宋_GB2312" w:cs="仿宋"/>
          <w:color w:val="auto"/>
          <w:highlight w:val="none"/>
          <w:lang w:eastAsia="zh-CN"/>
        </w:rPr>
      </w:pPr>
      <w:r>
        <w:rPr>
          <w:rFonts w:hint="eastAsia" w:hAnsi="仿宋" w:cs="仿宋"/>
          <w:color w:val="auto"/>
          <w:highlight w:val="none"/>
        </w:rPr>
        <w:t>（一）经区政府批准经济行为的事项涉及的资产评估项目</w:t>
      </w:r>
      <w:r>
        <w:rPr>
          <w:rFonts w:hint="eastAsia" w:hAnsi="仿宋" w:cs="仿宋"/>
          <w:color w:val="auto"/>
          <w:highlight w:val="none"/>
          <w:lang w:eastAsia="zh-CN"/>
        </w:rPr>
        <w:t>。</w:t>
      </w:r>
    </w:p>
    <w:p w14:paraId="1497F13F">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lang w:eastAsia="zh-CN"/>
        </w:rPr>
        <w:t>（二）</w:t>
      </w:r>
      <w:r>
        <w:rPr>
          <w:rFonts w:hint="eastAsia" w:hAnsi="仿宋" w:cs="仿宋"/>
          <w:color w:val="auto"/>
          <w:highlight w:val="none"/>
        </w:rPr>
        <w:t>区国资监管部门作为委托单位的资产评估项目。</w:t>
      </w:r>
    </w:p>
    <w:p w14:paraId="427DABE0">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w:t>
      </w:r>
      <w:r>
        <w:rPr>
          <w:rFonts w:hint="eastAsia" w:hAnsi="仿宋" w:cs="仿宋"/>
          <w:color w:val="auto"/>
          <w:highlight w:val="none"/>
          <w:lang w:eastAsia="zh-CN"/>
        </w:rPr>
        <w:t>三</w:t>
      </w:r>
      <w:r>
        <w:rPr>
          <w:rFonts w:hint="eastAsia" w:hAnsi="仿宋" w:cs="仿宋"/>
          <w:color w:val="auto"/>
          <w:highlight w:val="none"/>
        </w:rPr>
        <w:t>）区国资监管部门认为需要核准的其他资产评估项目。</w:t>
      </w:r>
    </w:p>
    <w:p w14:paraId="26C14E08">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核准项目以外的资产评估项目，由直管企业负责办理备案手续</w:t>
      </w:r>
      <w:r>
        <w:rPr>
          <w:rFonts w:hint="eastAsia" w:hAnsi="仿宋" w:cs="仿宋"/>
          <w:color w:val="auto"/>
          <w:highlight w:val="none"/>
          <w:lang w:eastAsia="zh-CN"/>
        </w:rPr>
        <w:t>。</w:t>
      </w:r>
    </w:p>
    <w:p w14:paraId="73D3AB6C">
      <w:pPr>
        <w:numPr>
          <w:ilvl w:val="0"/>
          <w:numId w:val="1"/>
        </w:numPr>
        <w:spacing w:afterLines="0" w:line="560" w:lineRule="exact"/>
        <w:ind w:left="54" w:firstLine="640" w:firstLineChars="0"/>
        <w:rPr>
          <w:rFonts w:hint="eastAsia" w:hAnsi="仿宋" w:cs="仿宋"/>
          <w:color w:val="auto"/>
          <w:highlight w:val="none"/>
        </w:rPr>
      </w:pPr>
      <w:r>
        <w:rPr>
          <w:rFonts w:hint="eastAsia" w:hAnsi="仿宋" w:cs="仿宋"/>
          <w:color w:val="auto"/>
          <w:highlight w:val="none"/>
          <w:lang w:eastAsia="zh-CN"/>
        </w:rPr>
        <w:t>区国有</w:t>
      </w:r>
      <w:r>
        <w:rPr>
          <w:rFonts w:hint="eastAsia" w:hAnsi="仿宋" w:cs="仿宋"/>
          <w:color w:val="auto"/>
          <w:highlight w:val="none"/>
        </w:rPr>
        <w:t>企业有下列行为之一的，应当对相关资产进行评估：</w:t>
      </w:r>
    </w:p>
    <w:p w14:paraId="0DCD3710">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（一）</w:t>
      </w:r>
      <w:r>
        <w:rPr>
          <w:rFonts w:hint="eastAsia" w:hAnsi="仿宋" w:cs="仿宋"/>
          <w:color w:val="auto"/>
          <w:highlight w:val="none"/>
          <w:lang w:eastAsia="zh-CN"/>
        </w:rPr>
        <w:t>企业</w:t>
      </w:r>
      <w:r>
        <w:rPr>
          <w:rFonts w:hint="eastAsia" w:hAnsi="仿宋" w:cs="仿宋"/>
          <w:color w:val="auto"/>
          <w:highlight w:val="none"/>
        </w:rPr>
        <w:t>国有产权变动行为</w:t>
      </w:r>
      <w:r>
        <w:rPr>
          <w:rFonts w:hint="eastAsia" w:hAnsi="仿宋" w:cs="仿宋"/>
          <w:color w:val="auto"/>
          <w:highlight w:val="none"/>
          <w:lang w:eastAsia="zh-CN"/>
        </w:rPr>
        <w:t>。</w:t>
      </w:r>
    </w:p>
    <w:p w14:paraId="1FF38157">
      <w:pPr>
        <w:numPr>
          <w:ilvl w:val="-1"/>
          <w:numId w:val="0"/>
        </w:numPr>
        <w:spacing w:afterLines="0" w:line="560" w:lineRule="exact"/>
        <w:ind w:left="0" w:firstLine="640" w:firstLineChars="200"/>
        <w:rPr>
          <w:rFonts w:hint="eastAsia" w:hAnsi="仿宋" w:eastAsia="仿宋_GB2312" w:cs="仿宋"/>
          <w:color w:val="auto"/>
          <w:highlight w:val="none"/>
          <w:lang w:eastAsia="zh-CN"/>
        </w:rPr>
      </w:pPr>
      <w:r>
        <w:rPr>
          <w:rFonts w:hint="eastAsia" w:hAnsi="仿宋" w:cs="仿宋"/>
          <w:color w:val="auto"/>
          <w:highlight w:val="none"/>
        </w:rPr>
        <w:t>（二）收购股权或资产、以非货币资产对外投资、增资扩股引起持股比例增加等投资行为</w:t>
      </w:r>
      <w:r>
        <w:rPr>
          <w:rFonts w:hint="eastAsia" w:hAnsi="仿宋" w:cs="仿宋"/>
          <w:color w:val="auto"/>
          <w:highlight w:val="none"/>
          <w:lang w:eastAsia="zh-CN"/>
        </w:rPr>
        <w:t>。</w:t>
      </w:r>
    </w:p>
    <w:p w14:paraId="3B0D9BB6">
      <w:pPr>
        <w:widowControl/>
        <w:spacing w:afterLines="0" w:line="560" w:lineRule="exact"/>
        <w:ind w:firstLine="640" w:firstLineChars="200"/>
        <w:jc w:val="both"/>
        <w:rPr>
          <w:rFonts w:hint="eastAsia" w:ascii="仿宋_GB2312" w:hAnsi="仿宋" w:eastAsia="仿宋_GB2312" w:cs="仿宋"/>
          <w:b w:val="0"/>
          <w:bCs w:val="0"/>
          <w:color w:val="auto"/>
          <w:sz w:val="32"/>
          <w:szCs w:val="32"/>
          <w:highlight w:val="none"/>
          <w:u w:val="none"/>
        </w:rPr>
      </w:pPr>
      <w:r>
        <w:rPr>
          <w:rFonts w:hint="eastAsia" w:hAnsi="仿宋" w:cs="仿宋"/>
          <w:color w:val="auto"/>
          <w:highlight w:val="none"/>
        </w:rPr>
        <w:t>（三）法律、行政法规、规章规定的其他需要进行资产评估的事项</w:t>
      </w:r>
      <w:r>
        <w:rPr>
          <w:rFonts w:hint="eastAsia" w:ascii="仿宋_GB2312" w:hAnsi="仿宋" w:eastAsia="仿宋_GB2312" w:cs="仿宋"/>
          <w:b w:val="0"/>
          <w:bCs w:val="0"/>
          <w:color w:val="auto"/>
          <w:sz w:val="32"/>
          <w:szCs w:val="32"/>
          <w:highlight w:val="none"/>
          <w:u w:val="none"/>
        </w:rPr>
        <w:t>。</w:t>
      </w:r>
    </w:p>
    <w:p w14:paraId="038CB19B">
      <w:pPr>
        <w:numPr>
          <w:ilvl w:val="0"/>
          <w:numId w:val="1"/>
        </w:numPr>
        <w:spacing w:afterLines="0" w:line="560" w:lineRule="exact"/>
        <w:ind w:left="54" w:firstLine="640" w:firstLineChars="0"/>
        <w:rPr>
          <w:rFonts w:hint="eastAsia"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区国有企业</w:t>
      </w:r>
      <w:r>
        <w:rPr>
          <w:rFonts w:hint="eastAsia" w:hAnsi="仿宋" w:cs="仿宋"/>
          <w:color w:val="auto"/>
          <w:highlight w:val="none"/>
        </w:rPr>
        <w:t>涉及第</w:t>
      </w:r>
      <w:r>
        <w:rPr>
          <w:rFonts w:hint="eastAsia" w:hAnsi="仿宋" w:cs="仿宋"/>
          <w:color w:val="auto"/>
          <w:highlight w:val="none"/>
          <w:lang w:eastAsia="zh-CN"/>
        </w:rPr>
        <w:t>二十</w:t>
      </w:r>
      <w:r>
        <w:rPr>
          <w:rFonts w:hint="eastAsia" w:hAnsi="仿宋" w:cs="仿宋"/>
          <w:color w:val="auto"/>
          <w:highlight w:val="none"/>
          <w:lang w:val="en-US" w:eastAsia="zh-CN"/>
        </w:rPr>
        <w:t>四</w:t>
      </w:r>
      <w:r>
        <w:rPr>
          <w:rFonts w:hint="eastAsia" w:hAnsi="仿宋" w:cs="仿宋"/>
          <w:color w:val="auto"/>
          <w:highlight w:val="none"/>
        </w:rPr>
        <w:t>条所列行为且属于下列情形之一的，</w:t>
      </w:r>
      <w:r>
        <w:rPr>
          <w:rFonts w:hint="eastAsia" w:hAnsi="仿宋" w:cs="仿宋"/>
          <w:color w:val="auto"/>
          <w:highlight w:val="none"/>
          <w:lang w:eastAsia="zh-CN"/>
        </w:rPr>
        <w:t>履行相关审批程序后</w:t>
      </w:r>
      <w:r>
        <w:rPr>
          <w:rFonts w:hint="eastAsia" w:hAnsi="仿宋" w:cs="仿宋"/>
          <w:color w:val="auto"/>
          <w:highlight w:val="none"/>
        </w:rPr>
        <w:t>，可以聘请专业机构对相关标的进行估值</w:t>
      </w:r>
      <w:r>
        <w:rPr>
          <w:rFonts w:hint="eastAsia" w:hAnsi="仿宋" w:cs="仿宋"/>
          <w:color w:val="auto"/>
          <w:highlight w:val="none"/>
          <w:lang w:eastAsia="zh-CN"/>
        </w:rPr>
        <w:t>，不再进行资产评估</w:t>
      </w:r>
      <w:r>
        <w:rPr>
          <w:rFonts w:hint="eastAsia" w:ascii="仿宋_GB2312" w:hAnsi="仿宋" w:eastAsia="仿宋_GB2312" w:cs="仿宋"/>
          <w:b w:val="0"/>
          <w:bCs w:val="0"/>
          <w:color w:val="auto"/>
          <w:sz w:val="32"/>
          <w:szCs w:val="32"/>
          <w:highlight w:val="none"/>
          <w:u w:val="none"/>
        </w:rPr>
        <w:t>：</w:t>
      </w:r>
    </w:p>
    <w:p w14:paraId="20E39642">
      <w:pPr>
        <w:widowControl/>
        <w:numPr>
          <w:ilvl w:val="-1"/>
          <w:numId w:val="0"/>
        </w:numPr>
        <w:spacing w:afterLines="0" w:line="560" w:lineRule="exact"/>
        <w:ind w:left="640" w:leftChars="200" w:firstLine="0" w:firstLineChars="0"/>
        <w:jc w:val="both"/>
        <w:rPr>
          <w:rFonts w:hint="eastAsia"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（一）标的为境外企业或资产的交易</w:t>
      </w:r>
      <w:r>
        <w:rPr>
          <w:rFonts w:hint="eastAsia" w:ascii="仿宋_GB2312" w:hAnsi="仿宋" w:eastAsia="仿宋_GB2312" w:cs="仿宋"/>
          <w:b w:val="0"/>
          <w:bCs w:val="0"/>
          <w:color w:val="auto"/>
          <w:sz w:val="32"/>
          <w:szCs w:val="32"/>
          <w:highlight w:val="none"/>
          <w:u w:val="none"/>
        </w:rPr>
        <w:t>。</w:t>
      </w:r>
    </w:p>
    <w:p w14:paraId="75F0690F">
      <w:pPr>
        <w:widowControl/>
        <w:numPr>
          <w:ilvl w:val="-1"/>
          <w:numId w:val="0"/>
        </w:numPr>
        <w:spacing w:afterLines="0" w:line="560" w:lineRule="exact"/>
        <w:ind w:left="0" w:leftChars="0" w:firstLine="640" w:firstLineChars="200"/>
        <w:jc w:val="both"/>
        <w:rPr>
          <w:rFonts w:hint="eastAsia"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（二）并购上市公司。</w:t>
      </w:r>
    </w:p>
    <w:p w14:paraId="67226B5B">
      <w:pPr>
        <w:widowControl/>
        <w:numPr>
          <w:ilvl w:val="-1"/>
          <w:numId w:val="0"/>
        </w:numPr>
        <w:spacing w:afterLines="0" w:line="560" w:lineRule="exact"/>
        <w:ind w:left="0" w:leftChars="0" w:firstLine="640" w:firstLineChars="200"/>
        <w:jc w:val="both"/>
        <w:rPr>
          <w:rFonts w:hint="eastAsia"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三）标的为原创性技术、前沿性技术、涉密技术、“卡脖子”关键核心技术、战略性新兴产业企业，以及主要任务为研发首台（套）装备、首批次材料、首版次软件等产品且尚未形成稳定销售收入的企业的交易。</w:t>
      </w:r>
    </w:p>
    <w:p w14:paraId="6E718D47">
      <w:pPr>
        <w:widowControl/>
        <w:spacing w:afterLines="0" w:line="560" w:lineRule="exact"/>
        <w:ind w:firstLine="640" w:firstLineChars="200"/>
        <w:jc w:val="both"/>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四</w:t>
      </w: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区国有企业管理基金按照市场惯例对外投资或者转让所持股权</w:t>
      </w:r>
      <w:r>
        <w:rPr>
          <w:rFonts w:hint="eastAsia" w:ascii="仿宋_GB2312" w:hAnsi="仿宋" w:eastAsia="仿宋_GB2312" w:cs="仿宋"/>
          <w:b w:val="0"/>
          <w:bCs w:val="0"/>
          <w:color w:val="auto"/>
          <w:sz w:val="32"/>
          <w:szCs w:val="32"/>
          <w:highlight w:val="none"/>
          <w:u w:val="none"/>
        </w:rPr>
        <w:t>。</w:t>
      </w:r>
    </w:p>
    <w:p w14:paraId="047E7732">
      <w:pPr>
        <w:numPr>
          <w:ilvl w:val="-1"/>
          <w:numId w:val="0"/>
        </w:numPr>
        <w:spacing w:afterLines="0" w:line="560" w:lineRule="exact"/>
        <w:ind w:left="694" w:firstLine="0" w:firstLineChars="0"/>
        <w:rPr>
          <w:rFonts w:hint="eastAsia" w:hAnsi="仿宋" w:cs="仿宋"/>
          <w:color w:val="auto"/>
          <w:highlight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五</w:t>
      </w:r>
      <w:r>
        <w:rPr>
          <w:rFonts w:hint="eastAsia" w:ascii="仿宋_GB2312" w:hAnsi="仿宋" w:eastAsia="仿宋_GB2312" w:cs="仿宋"/>
          <w:b w:val="0"/>
          <w:bCs w:val="0"/>
          <w:color w:val="auto"/>
          <w:sz w:val="32"/>
          <w:szCs w:val="32"/>
          <w:highlight w:val="none"/>
          <w:u w:val="none"/>
        </w:rPr>
        <w:t>）</w:t>
      </w:r>
      <w:r>
        <w:rPr>
          <w:rFonts w:hint="eastAsia" w:ascii="仿宋_GB2312" w:hAnsi="仿宋" w:eastAsia="仿宋_GB2312" w:cs="仿宋"/>
          <w:b w:val="0"/>
          <w:bCs w:val="0"/>
          <w:color w:val="auto"/>
          <w:sz w:val="32"/>
          <w:szCs w:val="32"/>
          <w:highlight w:val="none"/>
          <w:u w:val="none"/>
          <w:lang w:eastAsia="zh-CN"/>
        </w:rPr>
        <w:t>标的为有限合伙企业份额的交易</w:t>
      </w:r>
      <w:r>
        <w:rPr>
          <w:rFonts w:hint="eastAsia" w:ascii="仿宋_GB2312" w:hAnsi="仿宋" w:eastAsia="仿宋_GB2312" w:cs="仿宋"/>
          <w:b w:val="0"/>
          <w:bCs w:val="0"/>
          <w:color w:val="auto"/>
          <w:sz w:val="32"/>
          <w:szCs w:val="32"/>
          <w:highlight w:val="none"/>
          <w:u w:val="none"/>
        </w:rPr>
        <w:t>。</w:t>
      </w:r>
    </w:p>
    <w:p w14:paraId="2A7E2CF5">
      <w:pPr>
        <w:numPr>
          <w:ilvl w:val="0"/>
          <w:numId w:val="1"/>
        </w:numPr>
        <w:spacing w:afterLines="0" w:line="560" w:lineRule="exact"/>
        <w:ind w:left="54" w:firstLine="640" w:firstLineChars="0"/>
        <w:rPr>
          <w:rFonts w:hint="eastAsia" w:hAnsi="仿宋" w:cs="仿宋"/>
          <w:color w:val="auto"/>
          <w:highlight w:val="none"/>
        </w:rPr>
      </w:pPr>
      <w:r>
        <w:rPr>
          <w:rFonts w:hint="eastAsia" w:hAnsi="仿宋" w:cs="仿宋"/>
          <w:color w:val="auto"/>
          <w:highlight w:val="none"/>
          <w:lang w:eastAsia="zh-CN"/>
        </w:rPr>
        <w:t>区国有</w:t>
      </w:r>
      <w:r>
        <w:rPr>
          <w:rFonts w:hint="eastAsia" w:hAnsi="仿宋" w:cs="仿宋"/>
          <w:color w:val="auto"/>
          <w:highlight w:val="none"/>
        </w:rPr>
        <w:t>企业涉及第</w:t>
      </w:r>
      <w:r>
        <w:rPr>
          <w:rFonts w:hint="eastAsia" w:hAnsi="仿宋" w:cs="仿宋"/>
          <w:color w:val="auto"/>
          <w:highlight w:val="none"/>
          <w:lang w:eastAsia="zh-CN"/>
        </w:rPr>
        <w:t>二十</w:t>
      </w:r>
      <w:r>
        <w:rPr>
          <w:rFonts w:hint="eastAsia" w:hAnsi="仿宋" w:cs="仿宋"/>
          <w:color w:val="auto"/>
          <w:highlight w:val="none"/>
          <w:lang w:val="en-US" w:eastAsia="zh-CN"/>
        </w:rPr>
        <w:t>四</w:t>
      </w:r>
      <w:r>
        <w:rPr>
          <w:rFonts w:hint="eastAsia" w:hAnsi="仿宋" w:cs="仿宋"/>
          <w:color w:val="auto"/>
          <w:highlight w:val="none"/>
        </w:rPr>
        <w:t>条所列行为且属于下列情形之一的，</w:t>
      </w:r>
      <w:r>
        <w:rPr>
          <w:rFonts w:hint="eastAsia" w:hAnsi="仿宋" w:cs="仿宋"/>
          <w:color w:val="auto"/>
          <w:highlight w:val="none"/>
          <w:lang w:eastAsia="zh-CN"/>
        </w:rPr>
        <w:t>履行相关审批程序后</w:t>
      </w:r>
      <w:r>
        <w:rPr>
          <w:rFonts w:hint="eastAsia" w:hAnsi="仿宋" w:cs="仿宋"/>
          <w:color w:val="auto"/>
          <w:highlight w:val="none"/>
        </w:rPr>
        <w:t>，可以不开展相关国有资产评估：</w:t>
      </w:r>
    </w:p>
    <w:p w14:paraId="09D0BFD3">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（一）符合国资监管有关规定无偿划转股权、资产。</w:t>
      </w:r>
    </w:p>
    <w:p w14:paraId="50BFD24E">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（二）履行出资人职责的机构对国家独资、全资出资企业增资、减资。</w:t>
      </w:r>
    </w:p>
    <w:p w14:paraId="6CF398C0">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（三）国有独资、国有全资企业之间进行交易。</w:t>
      </w:r>
    </w:p>
    <w:p w14:paraId="3F6ACC0E">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（四）企业原股东同比例增资、减资。</w:t>
      </w:r>
    </w:p>
    <w:p w14:paraId="380131A5">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（五）有限责任公司整体变更为股份有限公司或者股份有限公司变更为有限责任公司，股东及其持股比例不变；</w:t>
      </w:r>
    </w:p>
    <w:p w14:paraId="235A071A">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（六）直管企业内部同一控制下的母公司与其独资、全资子企业之间，或独资、全资子企业之间以及股东及其持股比例完全相同的子企业之间进行交易。</w:t>
      </w:r>
    </w:p>
    <w:p w14:paraId="424118D3">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（七）解散注销未发生债务或已将债务清偿且不涉及非货币资产在不同股东之间分配的企业，或资产、负债由原股东承继的一人有限责任公司</w:t>
      </w:r>
      <w:r>
        <w:rPr>
          <w:rFonts w:hint="eastAsia" w:hAnsi="仿宋" w:cs="仿宋"/>
          <w:color w:val="auto"/>
          <w:highlight w:val="none"/>
          <w:lang w:eastAsia="zh-CN"/>
        </w:rPr>
        <w:t>。</w:t>
      </w:r>
    </w:p>
    <w:p w14:paraId="3EE91A06">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（八）拟通过公开挂牌方式转让无法获取标的企业资料的参股股权以及账面原值低于500万元（含500万元）的存货、固定资产等，或出售、租赁能够获取公开市场价格的房产。</w:t>
      </w:r>
    </w:p>
    <w:p w14:paraId="29FB028D">
      <w:pPr>
        <w:numPr>
          <w:ilvl w:val="-1"/>
          <w:numId w:val="0"/>
        </w:numPr>
        <w:spacing w:afterLines="0" w:line="560" w:lineRule="exact"/>
        <w:ind w:left="0" w:firstLine="640" w:firstLineChars="200"/>
        <w:rPr>
          <w:rFonts w:hint="eastAsia" w:ascii="仿宋_GB2312" w:hAnsi="仿宋" w:eastAsia="仿宋_GB2312" w:cs="仿宋"/>
          <w:b w:val="0"/>
          <w:bCs w:val="0"/>
          <w:color w:val="auto"/>
          <w:sz w:val="32"/>
          <w:szCs w:val="32"/>
          <w:highlight w:val="none"/>
          <w:u w:val="none"/>
        </w:rPr>
      </w:pPr>
      <w:r>
        <w:rPr>
          <w:rFonts w:hint="eastAsia" w:hAnsi="仿宋" w:cs="仿宋"/>
          <w:color w:val="auto"/>
          <w:highlight w:val="none"/>
        </w:rPr>
        <w:t>（九）法律、行政法规、规章规定的其他可以免予相关国有资产评估的事项。</w:t>
      </w:r>
    </w:p>
    <w:p w14:paraId="7D5A42E3">
      <w:pPr>
        <w:numPr>
          <w:ilvl w:val="0"/>
          <w:numId w:val="1"/>
        </w:numPr>
        <w:spacing w:afterLines="0" w:line="560" w:lineRule="exact"/>
        <w:ind w:left="54" w:firstLine="640" w:firstLineChars="0"/>
        <w:rPr>
          <w:rFonts w:hint="eastAsia" w:hAnsi="仿宋" w:cs="仿宋"/>
          <w:color w:val="auto"/>
          <w:highlight w:val="none"/>
        </w:rPr>
      </w:pPr>
      <w:r>
        <w:rPr>
          <w:rFonts w:hint="eastAsia" w:hAnsi="仿宋" w:cs="仿宋"/>
          <w:color w:val="auto"/>
          <w:highlight w:val="none"/>
          <w:lang w:eastAsia="zh-CN"/>
        </w:rPr>
        <w:t>资产估值或不</w:t>
      </w:r>
      <w:r>
        <w:rPr>
          <w:rFonts w:hint="eastAsia" w:hAnsi="仿宋" w:cs="仿宋"/>
          <w:color w:val="auto"/>
          <w:highlight w:val="none"/>
        </w:rPr>
        <w:t>开展资产</w:t>
      </w:r>
      <w:r>
        <w:rPr>
          <w:rFonts w:hint="eastAsia" w:hAnsi="仿宋" w:cs="仿宋"/>
          <w:color w:val="auto"/>
          <w:highlight w:val="none"/>
          <w:lang w:eastAsia="zh-CN"/>
        </w:rPr>
        <w:t>评估的审批程序如下</w:t>
      </w:r>
      <w:r>
        <w:rPr>
          <w:rFonts w:hint="eastAsia" w:hAnsi="仿宋" w:cs="仿宋"/>
          <w:color w:val="auto"/>
          <w:highlight w:val="none"/>
        </w:rPr>
        <w:t>：</w:t>
      </w:r>
    </w:p>
    <w:p w14:paraId="771DA9F9">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lang w:eastAsia="zh-CN"/>
        </w:rPr>
        <w:t>（一）经济行为按规定需</w:t>
      </w:r>
      <w:r>
        <w:rPr>
          <w:rFonts w:hint="eastAsia" w:hAnsi="仿宋" w:cs="仿宋"/>
          <w:color w:val="auto"/>
          <w:highlight w:val="none"/>
        </w:rPr>
        <w:t>报区政府</w:t>
      </w:r>
      <w:r>
        <w:rPr>
          <w:rFonts w:hint="eastAsia" w:hAnsi="仿宋" w:cs="仿宋"/>
          <w:color w:val="auto"/>
          <w:highlight w:val="none"/>
          <w:lang w:eastAsia="zh-CN"/>
        </w:rPr>
        <w:t>常务会议</w:t>
      </w:r>
      <w:r>
        <w:rPr>
          <w:rFonts w:hint="eastAsia" w:hAnsi="仿宋" w:cs="仿宋"/>
          <w:color w:val="auto"/>
          <w:highlight w:val="none"/>
        </w:rPr>
        <w:t>审议或区国资监管部门审定的</w:t>
      </w:r>
      <w:r>
        <w:rPr>
          <w:rFonts w:hint="eastAsia" w:hAnsi="仿宋" w:cs="仿宋"/>
          <w:color w:val="auto"/>
          <w:highlight w:val="none"/>
          <w:lang w:eastAsia="zh-CN"/>
        </w:rPr>
        <w:t>，经</w:t>
      </w:r>
      <w:r>
        <w:rPr>
          <w:rFonts w:hint="eastAsia" w:hAnsi="仿宋" w:cs="仿宋"/>
          <w:color w:val="auto"/>
          <w:highlight w:val="none"/>
        </w:rPr>
        <w:t>区国资监管部门</w:t>
      </w:r>
      <w:r>
        <w:rPr>
          <w:rFonts w:hint="eastAsia" w:hAnsi="仿宋" w:cs="仿宋"/>
          <w:color w:val="auto"/>
          <w:highlight w:val="none"/>
          <w:lang w:eastAsia="zh-CN"/>
        </w:rPr>
        <w:t>审批</w:t>
      </w:r>
      <w:r>
        <w:rPr>
          <w:rFonts w:hint="eastAsia" w:hAnsi="仿宋" w:cs="仿宋"/>
          <w:color w:val="auto"/>
          <w:highlight w:val="none"/>
        </w:rPr>
        <w:t>，可</w:t>
      </w:r>
      <w:r>
        <w:rPr>
          <w:rFonts w:hint="eastAsia" w:hAnsi="仿宋" w:cs="仿宋"/>
          <w:color w:val="auto"/>
          <w:highlight w:val="none"/>
          <w:lang w:eastAsia="zh-CN"/>
        </w:rPr>
        <w:t>按第二十</w:t>
      </w:r>
      <w:r>
        <w:rPr>
          <w:rFonts w:hint="eastAsia" w:hAnsi="仿宋" w:cs="仿宋"/>
          <w:color w:val="auto"/>
          <w:highlight w:val="none"/>
          <w:lang w:val="en-US" w:eastAsia="zh-CN"/>
        </w:rPr>
        <w:t>五</w:t>
      </w:r>
      <w:r>
        <w:rPr>
          <w:rFonts w:hint="eastAsia" w:hAnsi="仿宋" w:cs="仿宋"/>
          <w:color w:val="auto"/>
          <w:highlight w:val="none"/>
          <w:lang w:eastAsia="zh-CN"/>
        </w:rPr>
        <w:t>条、第二十</w:t>
      </w:r>
      <w:r>
        <w:rPr>
          <w:rFonts w:hint="eastAsia" w:hAnsi="仿宋" w:cs="仿宋"/>
          <w:color w:val="auto"/>
          <w:highlight w:val="none"/>
          <w:lang w:val="en-US" w:eastAsia="zh-CN"/>
        </w:rPr>
        <w:t>六</w:t>
      </w:r>
      <w:r>
        <w:rPr>
          <w:rFonts w:hint="eastAsia" w:hAnsi="仿宋" w:cs="仿宋"/>
          <w:color w:val="auto"/>
          <w:highlight w:val="none"/>
          <w:lang w:eastAsia="zh-CN"/>
        </w:rPr>
        <w:t>条执行有关程序。</w:t>
      </w:r>
    </w:p>
    <w:p w14:paraId="38DA4C19">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lang w:eastAsia="zh-CN"/>
        </w:rPr>
        <w:t>（二）经济行为按规定由区国有企业决定的，</w:t>
      </w:r>
      <w:r>
        <w:rPr>
          <w:rFonts w:hint="eastAsia" w:hAnsi="仿宋" w:cs="仿宋"/>
          <w:color w:val="auto"/>
          <w:highlight w:val="none"/>
        </w:rPr>
        <w:t>经</w:t>
      </w:r>
      <w:r>
        <w:rPr>
          <w:rFonts w:hint="eastAsia" w:hAnsi="仿宋" w:cs="仿宋"/>
          <w:color w:val="auto"/>
          <w:highlight w:val="none"/>
          <w:lang w:eastAsia="zh-CN"/>
        </w:rPr>
        <w:t>直管企业审批</w:t>
      </w:r>
      <w:r>
        <w:rPr>
          <w:rFonts w:hint="eastAsia" w:hAnsi="仿宋" w:cs="仿宋"/>
          <w:color w:val="auto"/>
          <w:highlight w:val="none"/>
        </w:rPr>
        <w:t>，可</w:t>
      </w:r>
      <w:r>
        <w:rPr>
          <w:rFonts w:hint="eastAsia" w:hAnsi="仿宋" w:cs="仿宋"/>
          <w:color w:val="auto"/>
          <w:highlight w:val="none"/>
          <w:lang w:eastAsia="zh-CN"/>
        </w:rPr>
        <w:t>按第二十</w:t>
      </w:r>
      <w:r>
        <w:rPr>
          <w:rFonts w:hint="eastAsia" w:hAnsi="仿宋" w:cs="仿宋"/>
          <w:color w:val="auto"/>
          <w:highlight w:val="none"/>
          <w:lang w:val="en-US" w:eastAsia="zh-CN"/>
        </w:rPr>
        <w:t>五</w:t>
      </w:r>
      <w:r>
        <w:rPr>
          <w:rFonts w:hint="eastAsia" w:hAnsi="仿宋" w:cs="仿宋"/>
          <w:color w:val="auto"/>
          <w:highlight w:val="none"/>
          <w:lang w:eastAsia="zh-CN"/>
        </w:rPr>
        <w:t>条、第二十</w:t>
      </w:r>
      <w:r>
        <w:rPr>
          <w:rFonts w:hint="eastAsia" w:hAnsi="仿宋" w:cs="仿宋"/>
          <w:color w:val="auto"/>
          <w:highlight w:val="none"/>
          <w:lang w:val="en-US" w:eastAsia="zh-CN"/>
        </w:rPr>
        <w:t>六</w:t>
      </w:r>
      <w:r>
        <w:rPr>
          <w:rFonts w:hint="eastAsia" w:hAnsi="仿宋" w:cs="仿宋"/>
          <w:color w:val="auto"/>
          <w:highlight w:val="none"/>
          <w:lang w:eastAsia="zh-CN"/>
        </w:rPr>
        <w:t>条执行有关程序</w:t>
      </w:r>
      <w:r>
        <w:rPr>
          <w:rFonts w:hint="eastAsia" w:hAnsi="仿宋" w:cs="仿宋"/>
          <w:color w:val="auto"/>
          <w:highlight w:val="none"/>
        </w:rPr>
        <w:t>。</w:t>
      </w:r>
    </w:p>
    <w:p w14:paraId="2C7BD7C0">
      <w:pPr>
        <w:numPr>
          <w:ilvl w:val="0"/>
          <w:numId w:val="1"/>
        </w:numPr>
        <w:spacing w:afterLines="0" w:line="560" w:lineRule="exact"/>
        <w:ind w:left="54" w:firstLine="640" w:firstLineChars="0"/>
        <w:rPr>
          <w:rFonts w:hint="eastAsia" w:hAnsi="仿宋" w:cs="仿宋"/>
          <w:color w:val="auto"/>
          <w:highlight w:val="none"/>
        </w:rPr>
      </w:pPr>
      <w:r>
        <w:rPr>
          <w:rFonts w:hint="eastAsia" w:hAnsi="仿宋" w:cs="仿宋"/>
          <w:color w:val="auto"/>
          <w:highlight w:val="none"/>
        </w:rPr>
        <w:t>资产评估</w:t>
      </w:r>
      <w:r>
        <w:rPr>
          <w:rFonts w:hint="eastAsia" w:hAnsi="仿宋" w:cs="仿宋"/>
          <w:color w:val="auto"/>
          <w:highlight w:val="none"/>
          <w:lang w:eastAsia="zh-CN"/>
        </w:rPr>
        <w:t>（估值）</w:t>
      </w:r>
      <w:r>
        <w:rPr>
          <w:rFonts w:hint="eastAsia" w:hAnsi="仿宋" w:cs="仿宋"/>
          <w:color w:val="auto"/>
          <w:highlight w:val="none"/>
        </w:rPr>
        <w:t>项目有下列情形之一的，应当进行专家评审</w:t>
      </w:r>
      <w:r>
        <w:rPr>
          <w:rFonts w:hint="eastAsia" w:hAnsi="仿宋" w:cs="仿宋"/>
          <w:color w:val="auto"/>
          <w:highlight w:val="none"/>
          <w:lang w:eastAsia="zh-CN"/>
        </w:rPr>
        <w:t>，</w:t>
      </w:r>
      <w:r>
        <w:rPr>
          <w:rFonts w:hint="eastAsia" w:hAnsi="仿宋" w:cs="仿宋"/>
          <w:color w:val="auto"/>
          <w:highlight w:val="none"/>
          <w:lang w:val="en" w:eastAsia="zh-CN"/>
        </w:rPr>
        <w:t>评审专家人数为</w:t>
      </w:r>
      <w:r>
        <w:rPr>
          <w:rFonts w:hint="eastAsia" w:hAnsi="仿宋" w:cs="仿宋"/>
          <w:color w:val="auto"/>
          <w:highlight w:val="none"/>
          <w:lang w:val="en-US" w:eastAsia="zh-CN"/>
        </w:rPr>
        <w:t>5名以上奇数</w:t>
      </w:r>
      <w:r>
        <w:rPr>
          <w:rFonts w:hint="eastAsia" w:hAnsi="仿宋" w:cs="仿宋"/>
          <w:color w:val="auto"/>
          <w:highlight w:val="none"/>
        </w:rPr>
        <w:t>：</w:t>
      </w:r>
    </w:p>
    <w:p w14:paraId="3EC676BA">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（一）经</w:t>
      </w:r>
      <w:r>
        <w:rPr>
          <w:rFonts w:hint="eastAsia" w:hAnsi="仿宋" w:cs="仿宋"/>
          <w:color w:val="auto"/>
          <w:highlight w:val="none"/>
          <w:lang w:eastAsia="zh-CN"/>
        </w:rPr>
        <w:t>区</w:t>
      </w:r>
      <w:r>
        <w:rPr>
          <w:rFonts w:hint="eastAsia" w:hAnsi="仿宋" w:cs="仿宋"/>
          <w:color w:val="auto"/>
          <w:highlight w:val="none"/>
        </w:rPr>
        <w:t>政府或</w:t>
      </w:r>
      <w:r>
        <w:rPr>
          <w:rFonts w:hint="eastAsia" w:hAnsi="仿宋" w:cs="仿宋"/>
          <w:color w:val="auto"/>
          <w:highlight w:val="none"/>
          <w:lang w:eastAsia="zh-CN"/>
        </w:rPr>
        <w:t>区国资监管部门</w:t>
      </w:r>
      <w:r>
        <w:rPr>
          <w:rFonts w:hint="eastAsia" w:hAnsi="仿宋" w:cs="仿宋"/>
          <w:color w:val="auto"/>
          <w:highlight w:val="none"/>
        </w:rPr>
        <w:t>批准经济行为涉及的资产评估项目；</w:t>
      </w:r>
    </w:p>
    <w:p w14:paraId="1E22DC7F">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（二）在评估过程中存在较大争议的资产评估项目；</w:t>
      </w:r>
    </w:p>
    <w:p w14:paraId="7BF05283">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（三）涉及管理层和核心骨干持股的资产评估项目；</w:t>
      </w:r>
    </w:p>
    <w:p w14:paraId="61E794B1">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（四）</w:t>
      </w:r>
      <w:r>
        <w:rPr>
          <w:rFonts w:hint="eastAsia" w:hAnsi="仿宋" w:cs="仿宋"/>
          <w:color w:val="auto"/>
          <w:highlight w:val="none"/>
          <w:lang w:eastAsia="zh-CN"/>
        </w:rPr>
        <w:t>备案单位</w:t>
      </w:r>
      <w:r>
        <w:rPr>
          <w:rFonts w:hint="eastAsia" w:hAnsi="仿宋" w:cs="仿宋"/>
          <w:color w:val="auto"/>
          <w:highlight w:val="none"/>
        </w:rPr>
        <w:t>（直管企业）或</w:t>
      </w:r>
      <w:r>
        <w:rPr>
          <w:rFonts w:hint="eastAsia" w:hAnsi="仿宋" w:cs="仿宋"/>
          <w:color w:val="auto"/>
          <w:highlight w:val="none"/>
          <w:lang w:eastAsia="zh-CN"/>
        </w:rPr>
        <w:t>区国资监管部门</w:t>
      </w:r>
      <w:r>
        <w:rPr>
          <w:rFonts w:hint="eastAsia" w:hAnsi="仿宋" w:cs="仿宋"/>
          <w:color w:val="auto"/>
          <w:highlight w:val="none"/>
        </w:rPr>
        <w:t>派出的财务总监认为需要进行专家评审的其他资产评估项目。</w:t>
      </w:r>
    </w:p>
    <w:p w14:paraId="1CE2CCEE">
      <w:pPr>
        <w:widowControl/>
        <w:numPr>
          <w:ilvl w:val="0"/>
          <w:numId w:val="0"/>
        </w:numPr>
        <w:spacing w:afterLines="0" w:line="560" w:lineRule="exact"/>
        <w:ind w:firstLine="640" w:firstLineChars="200"/>
        <w:jc w:val="both"/>
        <w:rPr>
          <w:rFonts w:ascii="仿宋_GB2312" w:hAnsi="仿宋" w:eastAsia="仿宋_GB2312" w:cs="仿宋"/>
          <w:b w:val="0"/>
          <w:bCs w:val="0"/>
          <w:color w:val="auto"/>
          <w:sz w:val="32"/>
          <w:szCs w:val="32"/>
          <w:highlight w:val="none"/>
          <w:u w:val="none"/>
        </w:rPr>
      </w:pPr>
      <w:r>
        <w:rPr>
          <w:rFonts w:hint="eastAsia" w:hAnsi="仿宋" w:cs="仿宋"/>
          <w:color w:val="auto"/>
          <w:highlight w:val="none"/>
          <w:lang w:eastAsia="zh-CN"/>
        </w:rPr>
        <w:t>其中（一）项情形由区国资监管部门组织专家评审；（二）（三）（四）项情形由资产评估（估值）委托单位或备案单位</w:t>
      </w:r>
      <w:r>
        <w:rPr>
          <w:rFonts w:hint="eastAsia" w:hAnsi="仿宋" w:cs="仿宋"/>
          <w:color w:val="auto"/>
          <w:highlight w:val="none"/>
        </w:rPr>
        <w:t>（直管企业）</w:t>
      </w:r>
      <w:r>
        <w:rPr>
          <w:rFonts w:hint="eastAsia" w:hAnsi="仿宋" w:cs="仿宋"/>
          <w:color w:val="auto"/>
          <w:highlight w:val="none"/>
          <w:lang w:eastAsia="zh-CN"/>
        </w:rPr>
        <w:t>组织专家评审。</w:t>
      </w:r>
    </w:p>
    <w:p w14:paraId="45303BC3">
      <w:pPr>
        <w:widowControl/>
        <w:numPr>
          <w:ilvl w:val="0"/>
          <w:numId w:val="1"/>
        </w:numPr>
        <w:spacing w:afterLines="0" w:line="560" w:lineRule="exact"/>
        <w:ind w:left="54" w:leftChars="0" w:firstLine="640" w:firstLineChars="0"/>
        <w:jc w:val="both"/>
        <w:rPr>
          <w:rFonts w:hint="eastAsia" w:ascii="仿宋_GB2312" w:hAnsi="仿宋" w:eastAsia="仿宋_GB2312" w:cs="仿宋"/>
          <w:b w:val="0"/>
          <w:bCs w:val="0"/>
          <w:color w:val="auto"/>
          <w:sz w:val="32"/>
          <w:szCs w:val="32"/>
          <w:highlight w:val="none"/>
          <w:u w:val="none"/>
        </w:rPr>
      </w:pPr>
      <w:r>
        <w:rPr>
          <w:rFonts w:hint="eastAsia" w:hAnsi="仿宋" w:cs="仿宋"/>
          <w:color w:val="auto"/>
          <w:highlight w:val="none"/>
          <w:lang w:eastAsia="zh-CN"/>
        </w:rPr>
        <w:t>区国资监管部门组织专家评审</w:t>
      </w:r>
      <w:r>
        <w:rPr>
          <w:rFonts w:hint="eastAsia" w:ascii="仿宋_GB2312" w:hAnsi="仿宋" w:eastAsia="仿宋_GB2312" w:cs="仿宋"/>
          <w:b w:val="0"/>
          <w:bCs w:val="0"/>
          <w:color w:val="auto"/>
          <w:sz w:val="32"/>
          <w:szCs w:val="32"/>
          <w:highlight w:val="none"/>
          <w:u w:val="none"/>
        </w:rPr>
        <w:t>所发生的费用，在国有资产监管经费中列支。</w:t>
      </w:r>
    </w:p>
    <w:p w14:paraId="39E834DE">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color w:val="auto"/>
          <w:highlight w:val="none"/>
          <w:u w:val="none"/>
        </w:rPr>
        <w:t>区国有企业</w:t>
      </w:r>
      <w:r>
        <w:rPr>
          <w:rFonts w:hint="eastAsia" w:ascii="仿宋_GB2312" w:hAnsi="仿宋" w:eastAsia="仿宋_GB2312" w:cs="仿宋"/>
          <w:b w:val="0"/>
          <w:bCs w:val="0"/>
          <w:color w:val="auto"/>
          <w:sz w:val="32"/>
          <w:szCs w:val="32"/>
          <w:highlight w:val="none"/>
          <w:u w:val="none"/>
        </w:rPr>
        <w:t>有下列情形之一的，应当在申请资产评估项目核准或备案前对评估报告进行公示，评估报告公示期为五个工作日：</w:t>
      </w:r>
    </w:p>
    <w:p w14:paraId="4E6E218E">
      <w:pPr>
        <w:widowControl/>
        <w:spacing w:afterLines="0" w:line="560" w:lineRule="exact"/>
        <w:ind w:firstLine="640" w:firstLineChars="200"/>
        <w:jc w:val="both"/>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（一）对外转让下属企业国有控股权，包括进行经营者员工持股改制。</w:t>
      </w:r>
    </w:p>
    <w:p w14:paraId="6D9D4222">
      <w:pPr>
        <w:widowControl/>
        <w:spacing w:afterLines="0" w:line="560" w:lineRule="exact"/>
        <w:ind w:firstLine="640" w:firstLineChars="200"/>
        <w:jc w:val="both"/>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（二）造成重大影响的资产、权益对外转让。</w:t>
      </w:r>
    </w:p>
    <w:p w14:paraId="11B1C89A">
      <w:pPr>
        <w:widowControl/>
        <w:spacing w:afterLines="0" w:line="560" w:lineRule="exact"/>
        <w:ind w:firstLine="640" w:firstLineChars="200"/>
        <w:jc w:val="both"/>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认为需要公示的其他情形。</w:t>
      </w:r>
    </w:p>
    <w:p w14:paraId="49483BBA">
      <w:pPr>
        <w:spacing w:afterLines="0" w:line="560" w:lineRule="exact"/>
        <w:ind w:left="64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资产评估报告公示的主要内容：</w:t>
      </w:r>
    </w:p>
    <w:p w14:paraId="5D5FDE99">
      <w:pPr>
        <w:widowControl/>
        <w:spacing w:afterLines="0" w:line="560" w:lineRule="exact"/>
        <w:ind w:firstLine="640" w:firstLineChars="200"/>
        <w:jc w:val="both"/>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（一）资产评估的经济行为批准情况。</w:t>
      </w:r>
    </w:p>
    <w:p w14:paraId="6C36C3FA">
      <w:pPr>
        <w:widowControl/>
        <w:spacing w:afterLines="0" w:line="560" w:lineRule="exact"/>
        <w:ind w:firstLine="640" w:firstLineChars="200"/>
        <w:jc w:val="both"/>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（二）公开选聘评估机构情况。</w:t>
      </w:r>
    </w:p>
    <w:p w14:paraId="53355E43">
      <w:pPr>
        <w:widowControl/>
        <w:spacing w:afterLines="0" w:line="560" w:lineRule="exact"/>
        <w:ind w:firstLine="640" w:firstLineChars="200"/>
        <w:jc w:val="both"/>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（三）审计结果和评估结果。</w:t>
      </w:r>
    </w:p>
    <w:p w14:paraId="50A0565B">
      <w:pPr>
        <w:widowControl/>
        <w:spacing w:afterLines="0" w:line="560" w:lineRule="exact"/>
        <w:ind w:firstLine="640" w:firstLineChars="200"/>
        <w:jc w:val="both"/>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（四）应纳入资产评估范围的实物资产明细表（含</w:t>
      </w:r>
      <w:r>
        <w:rPr>
          <w:rFonts w:hint="eastAsia" w:ascii="仿宋_GB2312" w:hAnsi="仿宋" w:eastAsia="仿宋_GB2312" w:cs="仿宋"/>
          <w:b w:val="0"/>
          <w:bCs w:val="0"/>
          <w:color w:val="auto"/>
          <w:sz w:val="32"/>
          <w:szCs w:val="32"/>
          <w:highlight w:val="none"/>
          <w:u w:val="none"/>
          <w:lang w:val="en-US" w:eastAsia="zh-CN"/>
        </w:rPr>
        <w:t>账</w:t>
      </w:r>
      <w:r>
        <w:rPr>
          <w:rFonts w:hint="eastAsia" w:ascii="仿宋_GB2312" w:hAnsi="仿宋" w:eastAsia="仿宋_GB2312" w:cs="仿宋"/>
          <w:b w:val="0"/>
          <w:bCs w:val="0"/>
          <w:color w:val="auto"/>
          <w:sz w:val="32"/>
          <w:szCs w:val="32"/>
          <w:highlight w:val="none"/>
          <w:u w:val="none"/>
        </w:rPr>
        <w:t>面值、审计值、评估值）。</w:t>
      </w:r>
    </w:p>
    <w:p w14:paraId="718EAC39">
      <w:pPr>
        <w:spacing w:afterLines="0" w:line="560" w:lineRule="exact"/>
        <w:ind w:left="64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w:t>
      </w:r>
      <w:r>
        <w:rPr>
          <w:rFonts w:hint="eastAsia" w:hAnsi="仿宋" w:cs="仿宋"/>
          <w:b w:val="0"/>
          <w:bCs w:val="0"/>
          <w:color w:val="auto"/>
          <w:sz w:val="32"/>
          <w:szCs w:val="32"/>
          <w:highlight w:val="none"/>
          <w:u w:val="none"/>
          <w:lang w:eastAsia="zh-CN"/>
        </w:rPr>
        <w:t>法律法规</w:t>
      </w:r>
      <w:r>
        <w:rPr>
          <w:rFonts w:hint="eastAsia" w:ascii="仿宋_GB2312" w:hAnsi="仿宋" w:eastAsia="仿宋_GB2312" w:cs="仿宋"/>
          <w:b w:val="0"/>
          <w:bCs w:val="0"/>
          <w:color w:val="auto"/>
          <w:sz w:val="32"/>
          <w:szCs w:val="32"/>
          <w:highlight w:val="none"/>
          <w:u w:val="none"/>
        </w:rPr>
        <w:t>、规章规定需要公示的其他内容。</w:t>
      </w:r>
    </w:p>
    <w:p w14:paraId="1EBB8334">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color w:val="auto"/>
          <w:highlight w:val="none"/>
        </w:rPr>
        <w:t>委托单位应当依照产权关系自资产评估报告使用有效期届满3个月前申请办理核准或备案手续。</w:t>
      </w:r>
    </w:p>
    <w:p w14:paraId="5ACD8717">
      <w:pPr>
        <w:numPr>
          <w:ilvl w:val="-1"/>
          <w:numId w:val="0"/>
        </w:numPr>
        <w:spacing w:afterLines="0"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rPr>
        <w:t>涉及多个国有股东的资产评估项目，由持股比例最大的国有股东申请办理核准或备案手续；持股比例相等的，经协商一致可以由其中一方依照其产权关系申请办理核准或备案手续</w:t>
      </w:r>
      <w:r>
        <w:rPr>
          <w:rFonts w:hint="eastAsia" w:hAnsi="仿宋" w:cs="仿宋"/>
          <w:color w:val="auto"/>
          <w:highlight w:val="none"/>
          <w:lang w:eastAsia="zh-CN"/>
        </w:rPr>
        <w:t>。</w:t>
      </w:r>
    </w:p>
    <w:p w14:paraId="4FEF36BC">
      <w:pPr>
        <w:numPr>
          <w:ilvl w:val="0"/>
          <w:numId w:val="1"/>
        </w:numPr>
        <w:spacing w:afterLines="0" w:line="560" w:lineRule="exact"/>
        <w:ind w:left="54" w:firstLine="640" w:firstLineChars="0"/>
        <w:rPr>
          <w:rFonts w:hint="eastAsia" w:hAnsi="仿宋" w:cs="仿宋"/>
          <w:color w:val="auto"/>
          <w:highlight w:val="none"/>
        </w:rPr>
      </w:pPr>
      <w:r>
        <w:rPr>
          <w:rFonts w:hint="eastAsia" w:hAnsi="仿宋" w:cs="仿宋"/>
          <w:color w:val="auto"/>
          <w:highlight w:val="none"/>
        </w:rPr>
        <w:t>办理资产评估项目核准或备案，应当具备下列文件：</w:t>
      </w:r>
    </w:p>
    <w:p w14:paraId="2345E144">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（一）资产评估项目核准或备案申请文件（涉及委托单位和备案单位不一致的项目）</w:t>
      </w:r>
      <w:r>
        <w:rPr>
          <w:rFonts w:hint="eastAsia" w:hAnsi="仿宋" w:cs="仿宋"/>
          <w:color w:val="auto"/>
          <w:highlight w:val="none"/>
          <w:lang w:eastAsia="zh-CN"/>
        </w:rPr>
        <w:t>。</w:t>
      </w:r>
    </w:p>
    <w:p w14:paraId="61EEF084">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（二）《资产评估项目核准表》或《资产评估项目备案表》</w:t>
      </w:r>
      <w:r>
        <w:rPr>
          <w:rFonts w:hint="eastAsia" w:hAnsi="仿宋" w:cs="仿宋"/>
          <w:color w:val="auto"/>
          <w:highlight w:val="none"/>
          <w:lang w:eastAsia="zh-CN"/>
        </w:rPr>
        <w:t>。</w:t>
      </w:r>
    </w:p>
    <w:p w14:paraId="1B96BCBF">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（三）与评估目的对应的经济行为文件及产权变动方案、投资方案等其他材料，经济行为文件须为经济行为批准单位出具的立项批复或正式批复、或企业出具的书面决定等文件</w:t>
      </w:r>
      <w:r>
        <w:rPr>
          <w:rFonts w:hint="eastAsia" w:hAnsi="仿宋" w:cs="仿宋"/>
          <w:color w:val="auto"/>
          <w:highlight w:val="none"/>
          <w:lang w:eastAsia="zh-CN"/>
        </w:rPr>
        <w:t>。</w:t>
      </w:r>
    </w:p>
    <w:p w14:paraId="68CBCF9C">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（四）资产评估机构提交的资产评估报告，包括资产评估报告书、资产评估说明和资产评估明细表</w:t>
      </w:r>
      <w:r>
        <w:rPr>
          <w:rFonts w:hint="eastAsia" w:hAnsi="仿宋" w:cs="仿宋"/>
          <w:color w:val="auto"/>
          <w:highlight w:val="none"/>
          <w:lang w:eastAsia="zh-CN"/>
        </w:rPr>
        <w:t>。</w:t>
      </w:r>
    </w:p>
    <w:p w14:paraId="4386F46E">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（五）审计机构提交的专项审计报告（涉及企业价值评估的项目）</w:t>
      </w:r>
      <w:r>
        <w:rPr>
          <w:rFonts w:hint="eastAsia" w:hAnsi="仿宋" w:cs="仿宋"/>
          <w:color w:val="auto"/>
          <w:highlight w:val="none"/>
          <w:lang w:eastAsia="zh-CN"/>
        </w:rPr>
        <w:t>。</w:t>
      </w:r>
    </w:p>
    <w:p w14:paraId="7A618525">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（六）资产评估各方当事人的承诺函</w:t>
      </w:r>
      <w:r>
        <w:rPr>
          <w:rFonts w:hint="eastAsia" w:hAnsi="仿宋" w:cs="仿宋"/>
          <w:color w:val="auto"/>
          <w:highlight w:val="none"/>
          <w:lang w:eastAsia="zh-CN"/>
        </w:rPr>
        <w:t>。</w:t>
      </w:r>
    </w:p>
    <w:p w14:paraId="3D2FFCC6">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（七）政府主管部门的土地、房产处置方案批准文件及土地资产评估报告电子备案号（涉及企业改制土地、房产处置的项目）</w:t>
      </w:r>
      <w:r>
        <w:rPr>
          <w:rFonts w:hint="eastAsia" w:hAnsi="仿宋" w:cs="仿宋"/>
          <w:color w:val="auto"/>
          <w:highlight w:val="none"/>
          <w:lang w:eastAsia="zh-CN"/>
        </w:rPr>
        <w:t>。</w:t>
      </w:r>
    </w:p>
    <w:p w14:paraId="7D68E6D1">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（八）企业法人注册登记资料</w:t>
      </w:r>
      <w:r>
        <w:rPr>
          <w:rFonts w:hint="eastAsia" w:hAnsi="仿宋" w:cs="仿宋"/>
          <w:color w:val="auto"/>
          <w:highlight w:val="none"/>
          <w:lang w:eastAsia="zh-CN"/>
        </w:rPr>
        <w:t>。</w:t>
      </w:r>
    </w:p>
    <w:p w14:paraId="6F1C1844">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（九）专家评审意见（涉及专家评审的项目）</w:t>
      </w:r>
      <w:r>
        <w:rPr>
          <w:rFonts w:hint="eastAsia" w:hAnsi="仿宋" w:cs="仿宋"/>
          <w:color w:val="auto"/>
          <w:highlight w:val="none"/>
          <w:lang w:eastAsia="zh-CN"/>
        </w:rPr>
        <w:t>。</w:t>
      </w:r>
    </w:p>
    <w:p w14:paraId="0F122315">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（十）</w:t>
      </w:r>
      <w:r>
        <w:rPr>
          <w:rFonts w:hint="eastAsia" w:hAnsi="仿宋" w:cs="仿宋"/>
          <w:color w:val="auto"/>
          <w:highlight w:val="none"/>
          <w:lang w:eastAsia="zh-CN"/>
        </w:rPr>
        <w:t>区国资监管部门</w:t>
      </w:r>
      <w:r>
        <w:rPr>
          <w:rFonts w:hint="eastAsia" w:hAnsi="仿宋" w:cs="仿宋"/>
          <w:color w:val="auto"/>
          <w:highlight w:val="none"/>
        </w:rPr>
        <w:t>派出的财务总监对资产评估项目出具的独立审核意见</w:t>
      </w:r>
      <w:r>
        <w:rPr>
          <w:rFonts w:hint="eastAsia" w:hAnsi="仿宋" w:cs="仿宋"/>
          <w:color w:val="auto"/>
          <w:highlight w:val="none"/>
          <w:lang w:eastAsia="zh-CN"/>
        </w:rPr>
        <w:t>。</w:t>
      </w:r>
    </w:p>
    <w:p w14:paraId="6304BBA0">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（十</w:t>
      </w:r>
      <w:r>
        <w:rPr>
          <w:rFonts w:hint="eastAsia" w:hAnsi="仿宋" w:cs="仿宋"/>
          <w:color w:val="auto"/>
          <w:highlight w:val="none"/>
          <w:lang w:eastAsia="zh-CN"/>
        </w:rPr>
        <w:t>一</w:t>
      </w:r>
      <w:r>
        <w:rPr>
          <w:rFonts w:hint="eastAsia" w:hAnsi="仿宋" w:cs="仿宋"/>
          <w:color w:val="auto"/>
          <w:highlight w:val="none"/>
        </w:rPr>
        <w:t>）资产评估项目公示的书面反馈意见等相关资料</w:t>
      </w:r>
      <w:r>
        <w:rPr>
          <w:rFonts w:hint="eastAsia" w:hAnsi="仿宋" w:cs="仿宋"/>
          <w:color w:val="auto"/>
          <w:highlight w:val="none"/>
          <w:lang w:eastAsia="zh-CN"/>
        </w:rPr>
        <w:t>。</w:t>
      </w:r>
    </w:p>
    <w:p w14:paraId="42886D9A">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（十</w:t>
      </w:r>
      <w:r>
        <w:rPr>
          <w:rFonts w:hint="eastAsia" w:hAnsi="仿宋" w:cs="仿宋"/>
          <w:color w:val="auto"/>
          <w:highlight w:val="none"/>
          <w:lang w:eastAsia="zh-CN"/>
        </w:rPr>
        <w:t>二</w:t>
      </w:r>
      <w:r>
        <w:rPr>
          <w:rFonts w:hint="eastAsia" w:hAnsi="仿宋" w:cs="仿宋"/>
          <w:color w:val="auto"/>
          <w:highlight w:val="none"/>
        </w:rPr>
        <w:t>）核准或备案单位认为必要的其他资料。</w:t>
      </w:r>
    </w:p>
    <w:p w14:paraId="66794C81">
      <w:pPr>
        <w:numPr>
          <w:ilvl w:val="0"/>
          <w:numId w:val="1"/>
        </w:numPr>
        <w:spacing w:afterLines="0" w:line="560" w:lineRule="exact"/>
        <w:ind w:left="54" w:firstLine="640" w:firstLineChars="0"/>
        <w:rPr>
          <w:rFonts w:hint="eastAsia" w:hAnsi="仿宋" w:cs="仿宋"/>
          <w:color w:val="auto"/>
          <w:highlight w:val="none"/>
        </w:rPr>
      </w:pPr>
      <w:r>
        <w:rPr>
          <w:rFonts w:hint="eastAsia" w:hAnsi="仿宋" w:cs="仿宋"/>
          <w:color w:val="auto"/>
          <w:highlight w:val="none"/>
        </w:rPr>
        <w:t>核准或备案单位主要从下列方面对资产评估项目予以审核：</w:t>
      </w:r>
    </w:p>
    <w:p w14:paraId="2CCDFE69">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（一）评估目的是否与对应的经济行为文件一致</w:t>
      </w:r>
      <w:r>
        <w:rPr>
          <w:rFonts w:hint="eastAsia" w:hAnsi="仿宋" w:cs="仿宋"/>
          <w:color w:val="auto"/>
          <w:highlight w:val="none"/>
          <w:lang w:eastAsia="zh-CN"/>
        </w:rPr>
        <w:t>。</w:t>
      </w:r>
    </w:p>
    <w:p w14:paraId="6D0C880C">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（二）资产评估机构选聘是否符合规定，资产评估机构是否具备相应评估资质</w:t>
      </w:r>
      <w:r>
        <w:rPr>
          <w:rFonts w:hint="eastAsia" w:hAnsi="仿宋" w:cs="仿宋"/>
          <w:color w:val="auto"/>
          <w:highlight w:val="none"/>
          <w:lang w:eastAsia="zh-CN"/>
        </w:rPr>
        <w:t>。</w:t>
      </w:r>
    </w:p>
    <w:p w14:paraId="4B4B20A4">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（三）评估人员是否具备执业资格</w:t>
      </w:r>
      <w:r>
        <w:rPr>
          <w:rFonts w:hint="eastAsia" w:hAnsi="仿宋" w:cs="仿宋"/>
          <w:color w:val="auto"/>
          <w:highlight w:val="none"/>
          <w:lang w:eastAsia="zh-CN"/>
        </w:rPr>
        <w:t>。</w:t>
      </w:r>
    </w:p>
    <w:p w14:paraId="7C13C298">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（四）评估基准日的选择是否适当，评估结果的使用有效期是否明示</w:t>
      </w:r>
      <w:r>
        <w:rPr>
          <w:rFonts w:hint="eastAsia" w:hAnsi="仿宋" w:cs="仿宋"/>
          <w:color w:val="auto"/>
          <w:highlight w:val="none"/>
          <w:lang w:eastAsia="zh-CN"/>
        </w:rPr>
        <w:t>。</w:t>
      </w:r>
    </w:p>
    <w:p w14:paraId="2C197572">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（五）评估对象及评估范围与评估机构委托合同约定的评估对象及评估范围是否一致</w:t>
      </w:r>
      <w:r>
        <w:rPr>
          <w:rFonts w:hint="eastAsia" w:hAnsi="仿宋" w:cs="仿宋"/>
          <w:color w:val="auto"/>
          <w:highlight w:val="none"/>
          <w:lang w:eastAsia="zh-CN"/>
        </w:rPr>
        <w:t>。</w:t>
      </w:r>
    </w:p>
    <w:p w14:paraId="143251F7">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（六）评估所依据的法律、行政法规、规章和政策是否适当</w:t>
      </w:r>
      <w:r>
        <w:rPr>
          <w:rFonts w:hint="eastAsia" w:hAnsi="仿宋" w:cs="仿宋"/>
          <w:color w:val="auto"/>
          <w:highlight w:val="none"/>
          <w:lang w:eastAsia="zh-CN"/>
        </w:rPr>
        <w:t>。</w:t>
      </w:r>
    </w:p>
    <w:p w14:paraId="1763170B">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（七）委托单位、被评估企业是否就所提供的资产权属证明文件、财务会计资料及生产经营管理资料的真实性、合法性和完整性</w:t>
      </w:r>
      <w:r>
        <w:rPr>
          <w:rFonts w:hint="eastAsia" w:hAnsi="仿宋" w:cs="仿宋"/>
          <w:color w:val="auto"/>
          <w:highlight w:val="none"/>
          <w:lang w:eastAsia="zh-CN"/>
        </w:rPr>
        <w:t>作出</w:t>
      </w:r>
      <w:r>
        <w:rPr>
          <w:rFonts w:hint="eastAsia" w:hAnsi="仿宋" w:cs="仿宋"/>
          <w:color w:val="auto"/>
          <w:highlight w:val="none"/>
        </w:rPr>
        <w:t>承诺</w:t>
      </w:r>
      <w:r>
        <w:rPr>
          <w:rFonts w:hint="eastAsia" w:hAnsi="仿宋" w:cs="仿宋"/>
          <w:color w:val="auto"/>
          <w:highlight w:val="none"/>
          <w:lang w:eastAsia="zh-CN"/>
        </w:rPr>
        <w:t>。</w:t>
      </w:r>
    </w:p>
    <w:p w14:paraId="40C681A2">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（八）资产评估报告列示的评估程序是否符合相关评估准则的规定</w:t>
      </w:r>
      <w:r>
        <w:rPr>
          <w:rFonts w:hint="eastAsia" w:hAnsi="仿宋" w:cs="仿宋"/>
          <w:color w:val="auto"/>
          <w:highlight w:val="none"/>
          <w:lang w:eastAsia="zh-CN"/>
        </w:rPr>
        <w:t>。</w:t>
      </w:r>
    </w:p>
    <w:p w14:paraId="6886B028">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（九）涉及专家评审的项目，专家评审是否通过</w:t>
      </w:r>
      <w:r>
        <w:rPr>
          <w:rFonts w:hint="eastAsia" w:hAnsi="仿宋" w:cs="仿宋"/>
          <w:color w:val="auto"/>
          <w:highlight w:val="none"/>
          <w:lang w:eastAsia="zh-CN"/>
        </w:rPr>
        <w:t>。</w:t>
      </w:r>
    </w:p>
    <w:p w14:paraId="10C6C005">
      <w:pPr>
        <w:numPr>
          <w:ilvl w:val="-1"/>
          <w:numId w:val="0"/>
        </w:numPr>
        <w:spacing w:afterLines="0"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rPr>
        <w:t>（十）核准或备案单位认为需要审核的其他内容。</w:t>
      </w:r>
    </w:p>
    <w:p w14:paraId="6E7FCA74">
      <w:pPr>
        <w:numPr>
          <w:ilvl w:val="0"/>
          <w:numId w:val="1"/>
        </w:numPr>
        <w:spacing w:afterLines="0" w:line="560" w:lineRule="exact"/>
        <w:ind w:left="54" w:firstLine="640" w:firstLineChars="0"/>
        <w:rPr>
          <w:rFonts w:hint="eastAsia"/>
          <w:highlight w:val="none"/>
        </w:rPr>
      </w:pPr>
      <w:r>
        <w:rPr>
          <w:rFonts w:hint="eastAsia" w:hAnsi="仿宋" w:cs="仿宋"/>
          <w:color w:val="auto"/>
          <w:highlight w:val="none"/>
        </w:rPr>
        <w:t>核准或备案单位收齐材料后，对符合要求的资产评估项目，在</w:t>
      </w:r>
      <w:r>
        <w:rPr>
          <w:rFonts w:hint="eastAsia" w:hAnsi="仿宋" w:cs="仿宋"/>
          <w:color w:val="auto"/>
          <w:highlight w:val="none"/>
          <w:lang w:eastAsia="zh-CN"/>
        </w:rPr>
        <w:t>2</w:t>
      </w:r>
      <w:r>
        <w:rPr>
          <w:rFonts w:hint="eastAsia" w:hAnsi="仿宋" w:cs="仿宋"/>
          <w:color w:val="auto"/>
          <w:highlight w:val="none"/>
        </w:rPr>
        <w:t>0个工作日内完成核准或备案；不符合要求的，应当及时提出处理意见</w:t>
      </w:r>
      <w:r>
        <w:rPr>
          <w:rFonts w:hint="eastAsia" w:hAnsi="仿宋" w:cs="仿宋"/>
          <w:color w:val="auto"/>
          <w:highlight w:val="none"/>
          <w:lang w:eastAsia="zh-CN"/>
        </w:rPr>
        <w:t>。</w:t>
      </w:r>
    </w:p>
    <w:p w14:paraId="0E3C096F">
      <w:pPr>
        <w:numPr>
          <w:ilvl w:val="0"/>
          <w:numId w:val="1"/>
        </w:numPr>
        <w:spacing w:afterLines="0" w:line="560" w:lineRule="exact"/>
        <w:ind w:left="54" w:firstLine="640" w:firstLineChars="0"/>
        <w:rPr>
          <w:rFonts w:hint="eastAsia"/>
          <w:highlight w:val="none"/>
        </w:rPr>
      </w:pPr>
      <w:r>
        <w:rPr>
          <w:rFonts w:hint="eastAsia" w:hAnsi="仿宋" w:cs="仿宋"/>
          <w:color w:val="auto"/>
          <w:highlight w:val="none"/>
        </w:rPr>
        <w:t>资产评估项目核准或备案后，在资产评估报告使用有效期内确实需要对评估结果进行调整的，企业应当自调整完毕之日起15个工作日内向原核准或备案单位重新办理核准或备案手续，核准或备案单位收回原核准或备案相关文件</w:t>
      </w:r>
      <w:r>
        <w:rPr>
          <w:rFonts w:hint="eastAsia" w:ascii="仿宋_GB2312" w:hAnsi="仿宋" w:eastAsia="仿宋_GB2312" w:cs="仿宋"/>
          <w:b w:val="0"/>
          <w:bCs w:val="0"/>
          <w:color w:val="auto"/>
          <w:sz w:val="32"/>
          <w:szCs w:val="32"/>
          <w:highlight w:val="none"/>
          <w:u w:val="none"/>
        </w:rPr>
        <w:t>。</w:t>
      </w:r>
    </w:p>
    <w:p w14:paraId="081E4175">
      <w:pPr>
        <w:numPr>
          <w:ilvl w:val="0"/>
          <w:numId w:val="1"/>
        </w:numPr>
        <w:spacing w:afterLines="0" w:line="560" w:lineRule="exact"/>
        <w:ind w:left="54" w:firstLine="640" w:firstLineChars="0"/>
        <w:rPr>
          <w:rFonts w:hint="eastAsia"/>
          <w:highlight w:val="none"/>
        </w:rPr>
      </w:pPr>
      <w:r>
        <w:rPr>
          <w:rFonts w:hint="eastAsia" w:ascii="仿宋_GB2312" w:hAnsi="仿宋" w:eastAsia="仿宋_GB2312" w:cs="仿宋"/>
          <w:b w:val="0"/>
          <w:bCs w:val="0"/>
          <w:color w:val="auto"/>
          <w:sz w:val="32"/>
          <w:szCs w:val="32"/>
          <w:highlight w:val="none"/>
          <w:u w:val="none"/>
        </w:rPr>
        <w:t>委托主体应按规定及时办理资产评估项目核准或备案手续，经核准或备案后的资产评估结果，作为企业国有产权定价的参考依据，按规定不进行资产评估的，应以审计结果</w:t>
      </w:r>
      <w:r>
        <w:rPr>
          <w:rFonts w:hint="eastAsia" w:hAnsi="仿宋" w:cs="仿宋"/>
          <w:b w:val="0"/>
          <w:bCs w:val="0"/>
          <w:color w:val="auto"/>
          <w:sz w:val="32"/>
          <w:szCs w:val="32"/>
          <w:highlight w:val="none"/>
          <w:u w:val="none"/>
          <w:lang w:val="en-US" w:eastAsia="zh-CN"/>
        </w:rPr>
        <w:t>或者清产核资结果</w:t>
      </w:r>
      <w:r>
        <w:rPr>
          <w:rFonts w:hint="eastAsia" w:ascii="仿宋_GB2312" w:hAnsi="仿宋" w:eastAsia="仿宋_GB2312" w:cs="仿宋"/>
          <w:b w:val="0"/>
          <w:bCs w:val="0"/>
          <w:color w:val="auto"/>
          <w:sz w:val="32"/>
          <w:szCs w:val="32"/>
          <w:highlight w:val="none"/>
          <w:u w:val="none"/>
        </w:rPr>
        <w:t>为参考依据。</w:t>
      </w:r>
    </w:p>
    <w:p w14:paraId="7DCD208A">
      <w:pPr>
        <w:spacing w:afterLines="0" w:line="560" w:lineRule="exact"/>
        <w:ind w:firstLine="640" w:firstLineChars="200"/>
        <w:jc w:val="both"/>
        <w:rPr>
          <w:rFonts w:hint="eastAsia" w:hAnsi="仿宋" w:cs="仿宋"/>
          <w:color w:val="auto"/>
          <w:highlight w:val="none"/>
        </w:rPr>
      </w:pPr>
      <w:r>
        <w:rPr>
          <w:rFonts w:hint="eastAsia" w:hAnsi="仿宋" w:cs="仿宋"/>
          <w:color w:val="auto"/>
          <w:highlight w:val="none"/>
        </w:rPr>
        <w:t>资产评估报告使用有效期为自评估基准日起1年。资产评估报告应在有效期内使用，逾期应聘请资产评估机构重新评估。</w:t>
      </w:r>
    </w:p>
    <w:p w14:paraId="66B67891">
      <w:pPr>
        <w:spacing w:afterLines="0" w:line="560" w:lineRule="exact"/>
        <w:ind w:firstLine="640" w:firstLineChars="200"/>
        <w:jc w:val="both"/>
        <w:rPr>
          <w:rFonts w:hint="eastAsia" w:ascii="黑体" w:hAnsi="黑体" w:eastAsia="黑体"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核准</w:t>
      </w:r>
      <w:r>
        <w:rPr>
          <w:rFonts w:hint="eastAsia" w:hAnsi="仿宋" w:cs="仿宋"/>
          <w:b w:val="0"/>
          <w:bCs w:val="0"/>
          <w:color w:val="auto"/>
          <w:sz w:val="32"/>
          <w:szCs w:val="32"/>
          <w:highlight w:val="none"/>
          <w:u w:val="none"/>
          <w:lang w:eastAsia="zh-CN"/>
        </w:rPr>
        <w:t>或备案</w:t>
      </w:r>
      <w:r>
        <w:rPr>
          <w:rFonts w:hint="eastAsia" w:ascii="仿宋_GB2312" w:hAnsi="仿宋" w:eastAsia="仿宋_GB2312" w:cs="仿宋"/>
          <w:b w:val="0"/>
          <w:bCs w:val="0"/>
          <w:color w:val="auto"/>
          <w:sz w:val="32"/>
          <w:szCs w:val="32"/>
          <w:highlight w:val="none"/>
          <w:u w:val="none"/>
        </w:rPr>
        <w:t>文件是办理产权交易、</w:t>
      </w:r>
      <w:r>
        <w:rPr>
          <w:rFonts w:hint="eastAsia" w:ascii="仿宋_GB2312" w:hAnsi="仿宋" w:eastAsia="仿宋_GB2312" w:cs="仿宋"/>
          <w:b w:val="0"/>
          <w:bCs w:val="0"/>
          <w:color w:val="auto"/>
          <w:sz w:val="32"/>
          <w:szCs w:val="32"/>
          <w:highlight w:val="none"/>
          <w:u w:val="none"/>
          <w:lang w:eastAsia="zh-CN"/>
        </w:rPr>
        <w:t>股权设置</w:t>
      </w:r>
      <w:r>
        <w:rPr>
          <w:rFonts w:hint="eastAsia" w:ascii="仿宋_GB2312" w:hAnsi="仿宋" w:eastAsia="仿宋_GB2312" w:cs="仿宋"/>
          <w:b w:val="0"/>
          <w:bCs w:val="0"/>
          <w:color w:val="auto"/>
          <w:sz w:val="32"/>
          <w:szCs w:val="32"/>
          <w:highlight w:val="none"/>
          <w:u w:val="none"/>
        </w:rPr>
        <w:t>等相关手续的必备文件。</w:t>
      </w:r>
    </w:p>
    <w:p w14:paraId="5E2B1E2C">
      <w:pPr>
        <w:spacing w:afterLines="0" w:line="560" w:lineRule="exact"/>
        <w:ind w:firstLine="640" w:firstLineChars="200"/>
        <w:jc w:val="left"/>
        <w:rPr>
          <w:rFonts w:ascii="仿宋_GB2312" w:hAnsi="仿宋" w:eastAsia="仿宋_GB2312" w:cs="仿宋"/>
          <w:b w:val="0"/>
          <w:bCs w:val="0"/>
          <w:color w:val="auto"/>
          <w:sz w:val="32"/>
          <w:szCs w:val="32"/>
          <w:highlight w:val="none"/>
          <w:u w:val="none"/>
        </w:rPr>
      </w:pPr>
    </w:p>
    <w:p w14:paraId="3E836BBC">
      <w:pPr>
        <w:spacing w:afterLines="0" w:line="560" w:lineRule="exact"/>
        <w:ind w:firstLine="640" w:firstLineChars="200"/>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w:t>
      </w:r>
      <w:r>
        <w:rPr>
          <w:rFonts w:hint="eastAsia" w:ascii="黑体" w:hAnsi="黑体" w:eastAsia="黑体" w:cs="仿宋"/>
          <w:b w:val="0"/>
          <w:bCs w:val="0"/>
          <w:color w:val="auto"/>
          <w:sz w:val="32"/>
          <w:szCs w:val="32"/>
          <w:highlight w:val="none"/>
          <w:u w:val="none"/>
          <w:lang w:val="en-US" w:eastAsia="zh-CN"/>
        </w:rPr>
        <w:t>五</w:t>
      </w:r>
      <w:r>
        <w:rPr>
          <w:rFonts w:hint="eastAsia" w:ascii="黑体" w:hAnsi="黑体" w:eastAsia="黑体" w:cs="仿宋"/>
          <w:b w:val="0"/>
          <w:bCs w:val="0"/>
          <w:color w:val="auto"/>
          <w:sz w:val="32"/>
          <w:szCs w:val="32"/>
          <w:highlight w:val="none"/>
          <w:u w:val="none"/>
        </w:rPr>
        <w:t>章  企业国有产权</w:t>
      </w:r>
      <w:r>
        <w:rPr>
          <w:rFonts w:hint="eastAsia" w:ascii="黑体" w:hAnsi="黑体" w:eastAsia="黑体" w:cs="仿宋"/>
          <w:b w:val="0"/>
          <w:bCs w:val="0"/>
          <w:color w:val="auto"/>
          <w:sz w:val="32"/>
          <w:szCs w:val="32"/>
          <w:highlight w:val="none"/>
          <w:u w:val="none"/>
          <w:lang w:val="en-US" w:eastAsia="zh-CN"/>
        </w:rPr>
        <w:t>交易</w:t>
      </w:r>
      <w:r>
        <w:rPr>
          <w:rFonts w:hint="eastAsia" w:ascii="黑体" w:hAnsi="黑体" w:eastAsia="黑体" w:cs="仿宋"/>
          <w:b w:val="0"/>
          <w:bCs w:val="0"/>
          <w:color w:val="auto"/>
          <w:sz w:val="32"/>
          <w:szCs w:val="32"/>
          <w:highlight w:val="none"/>
          <w:u w:val="none"/>
        </w:rPr>
        <w:t>程序</w:t>
      </w:r>
    </w:p>
    <w:p w14:paraId="2D8E3344">
      <w:pPr>
        <w:spacing w:afterLines="0" w:line="560" w:lineRule="exact"/>
        <w:ind w:firstLine="640" w:firstLineChars="200"/>
        <w:jc w:val="center"/>
        <w:rPr>
          <w:rFonts w:ascii="楷体_GB2312" w:hAnsi="仿宋" w:eastAsia="楷体_GB2312" w:cs="仿宋"/>
          <w:b w:val="0"/>
          <w:bCs w:val="0"/>
          <w:color w:val="auto"/>
          <w:sz w:val="32"/>
          <w:szCs w:val="32"/>
          <w:highlight w:val="none"/>
          <w:u w:val="none"/>
        </w:rPr>
      </w:pPr>
      <w:r>
        <w:rPr>
          <w:rFonts w:hint="eastAsia" w:ascii="楷体_GB2312" w:hAnsi="仿宋" w:eastAsia="楷体_GB2312" w:cs="仿宋"/>
          <w:b w:val="0"/>
          <w:bCs w:val="0"/>
          <w:color w:val="auto"/>
          <w:sz w:val="32"/>
          <w:szCs w:val="32"/>
          <w:highlight w:val="none"/>
          <w:u w:val="none"/>
        </w:rPr>
        <w:t>第一节  公开交易</w:t>
      </w:r>
    </w:p>
    <w:p w14:paraId="1B72C7A7">
      <w:pPr>
        <w:numPr>
          <w:ilvl w:val="0"/>
          <w:numId w:val="1"/>
        </w:numPr>
        <w:spacing w:afterLines="0" w:line="560" w:lineRule="exact"/>
        <w:ind w:left="54" w:firstLine="640" w:firstLineChars="0"/>
        <w:rPr>
          <w:rFonts w:hint="eastAsia" w:hAnsi="仿宋" w:cs="仿宋"/>
          <w:color w:val="auto"/>
          <w:highlight w:val="none"/>
          <w:lang w:eastAsia="zh-CN"/>
        </w:rPr>
      </w:pPr>
      <w:r>
        <w:rPr>
          <w:rFonts w:hint="eastAsia" w:ascii="仿宋_GB2312" w:hAnsi="仿宋" w:eastAsia="仿宋_GB2312" w:cs="仿宋"/>
          <w:b w:val="0"/>
          <w:bCs w:val="0"/>
          <w:color w:val="auto"/>
          <w:sz w:val="32"/>
          <w:szCs w:val="32"/>
          <w:highlight w:val="none"/>
          <w:u w:val="none"/>
        </w:rPr>
        <w:t>除按照国家规定符合条件并经过批准或审议决策可以采取非公开协议方式进行的以外，企业国有产权</w:t>
      </w:r>
      <w:r>
        <w:rPr>
          <w:rFonts w:hint="eastAsia" w:hAnsi="仿宋" w:cs="仿宋"/>
          <w:b w:val="0"/>
          <w:bCs w:val="0"/>
          <w:color w:val="auto"/>
          <w:sz w:val="32"/>
          <w:szCs w:val="32"/>
          <w:highlight w:val="none"/>
          <w:u w:val="none"/>
          <w:lang w:eastAsia="zh-CN"/>
        </w:rPr>
        <w:t>变动</w:t>
      </w:r>
      <w:r>
        <w:rPr>
          <w:rFonts w:hint="eastAsia" w:ascii="仿宋_GB2312" w:hAnsi="仿宋" w:eastAsia="仿宋_GB2312" w:cs="仿宋"/>
          <w:b w:val="0"/>
          <w:bCs w:val="0"/>
          <w:color w:val="auto"/>
          <w:sz w:val="32"/>
          <w:szCs w:val="32"/>
          <w:highlight w:val="none"/>
          <w:u w:val="none"/>
        </w:rPr>
        <w:t>原则上应当在区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选择确定的产权交易机构中公开进行。</w:t>
      </w:r>
    </w:p>
    <w:p w14:paraId="23907B87">
      <w:pPr>
        <w:spacing w:afterLines="0"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在城市更新项目中拟与第三方合作处置土地及房屋时，若拟处置房屋建筑面积或土地面积占项目拆迁房屋总建筑面积或土地总面积二分之一以上的，应通过公开招投标或竞争性谈判方式选择合作</w:t>
      </w:r>
      <w:r>
        <w:rPr>
          <w:rFonts w:hint="eastAsia" w:ascii="仿宋_GB2312" w:hAnsi="仿宋" w:eastAsia="仿宋_GB2312" w:cs="仿宋"/>
          <w:b w:val="0"/>
          <w:bCs w:val="0"/>
          <w:color w:val="auto"/>
          <w:sz w:val="32"/>
          <w:szCs w:val="32"/>
          <w:highlight w:val="none"/>
          <w:u w:val="none"/>
          <w:lang w:val="en-US" w:eastAsia="zh-CN"/>
        </w:rPr>
        <w:t>对象</w:t>
      </w: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val="en-US" w:eastAsia="zh-CN"/>
        </w:rPr>
        <w:t>国家、省、市</w:t>
      </w:r>
      <w:r>
        <w:rPr>
          <w:rFonts w:hint="eastAsia" w:ascii="仿宋_GB2312" w:hAnsi="仿宋" w:eastAsia="仿宋_GB2312" w:cs="仿宋"/>
          <w:b w:val="0"/>
          <w:bCs w:val="0"/>
          <w:color w:val="auto"/>
          <w:sz w:val="32"/>
          <w:szCs w:val="32"/>
          <w:highlight w:val="none"/>
          <w:u w:val="none"/>
        </w:rPr>
        <w:t>另有规定的从其规定。</w:t>
      </w:r>
    </w:p>
    <w:p w14:paraId="6AF179C7">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产权单位应当向产权交易机构提交产权交易材料，办理产权交易委托手续。</w:t>
      </w:r>
    </w:p>
    <w:p w14:paraId="2E4CE759">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产权单位应当遵循等价有偿和公开、公平、公正、竞争的原则，严格按照国家、深圳市企业国有产权交易的有关规定，组织进行产权交易。</w:t>
      </w:r>
    </w:p>
    <w:p w14:paraId="70D66C0B">
      <w:pPr>
        <w:numPr>
          <w:ilvl w:val="0"/>
          <w:numId w:val="1"/>
        </w:numPr>
        <w:spacing w:afterLines="0" w:line="560" w:lineRule="exact"/>
        <w:ind w:left="54" w:firstLine="640" w:firstLineChars="0"/>
        <w:rPr>
          <w:rFonts w:hint="eastAsia" w:hAnsi="仿宋" w:cs="仿宋"/>
          <w:color w:val="auto"/>
          <w:highlight w:val="none"/>
        </w:rPr>
      </w:pPr>
      <w:r>
        <w:rPr>
          <w:rFonts w:hint="eastAsia" w:ascii="仿宋_GB2312" w:hAnsi="仿宋" w:eastAsia="仿宋_GB2312" w:cs="仿宋"/>
          <w:b w:val="0"/>
          <w:bCs w:val="0"/>
          <w:color w:val="auto"/>
          <w:sz w:val="32"/>
          <w:szCs w:val="32"/>
          <w:highlight w:val="none"/>
          <w:u w:val="none"/>
        </w:rPr>
        <w:t>产权交易应按有关规定进行产权交易公告，公开披露企业国有产权转让信息，广泛征集受让方或投资方。</w:t>
      </w:r>
      <w:r>
        <w:rPr>
          <w:rFonts w:hint="eastAsia" w:hAnsi="仿宋" w:cs="仿宋"/>
          <w:color w:val="auto"/>
          <w:highlight w:val="none"/>
        </w:rPr>
        <w:t>信息公告程序和时间要求如下：</w:t>
      </w:r>
    </w:p>
    <w:p w14:paraId="48A2A637">
      <w:pPr>
        <w:numPr>
          <w:ilvl w:val="-1"/>
          <w:numId w:val="0"/>
        </w:numPr>
        <w:spacing w:afterLines="0" w:line="560" w:lineRule="exact"/>
        <w:ind w:left="694" w:firstLine="0" w:firstLineChars="0"/>
        <w:rPr>
          <w:rFonts w:hint="eastAsia" w:hAnsi="仿宋" w:cs="仿宋"/>
          <w:color w:val="auto"/>
          <w:highlight w:val="none"/>
        </w:rPr>
      </w:pPr>
      <w:r>
        <w:rPr>
          <w:rFonts w:hint="eastAsia" w:hAnsi="仿宋" w:cs="仿宋"/>
          <w:color w:val="auto"/>
          <w:highlight w:val="none"/>
        </w:rPr>
        <w:t>（一）企业国有产权转让</w:t>
      </w:r>
    </w:p>
    <w:p w14:paraId="73A5C2CB">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1.股权：产权单位可以根据企业实际情况和工作进度安排，采取信息预披露和正式披露相结合的方式，通过产权交易机构网站分阶段对外披露股权转让信息，公开征集受让方。其中，正式披露信息时间不得少于20个工作日。涉及标的企业控股权转让的项目，产权单位应当在转让行为获批后10个工作日内，通过产权交易机构进行信息预披露，时间不得少于20个工作日。</w:t>
      </w:r>
    </w:p>
    <w:p w14:paraId="6BC195B8">
      <w:pPr>
        <w:numPr>
          <w:ilvl w:val="-1"/>
          <w:numId w:val="0"/>
        </w:numPr>
        <w:spacing w:afterLines="0" w:line="560" w:lineRule="exact"/>
        <w:ind w:left="0" w:firstLine="640" w:firstLineChars="200"/>
        <w:rPr>
          <w:rFonts w:hint="eastAsia" w:hAnsi="仿宋" w:cs="仿宋"/>
          <w:color w:val="auto"/>
          <w:highlight w:val="none"/>
        </w:rPr>
      </w:pPr>
      <w:r>
        <w:rPr>
          <w:rFonts w:hint="eastAsia" w:hAnsi="仿宋" w:cs="仿宋"/>
          <w:color w:val="auto"/>
          <w:highlight w:val="none"/>
        </w:rPr>
        <w:t>2.资产：转让底价高于100万元、低于1000万元的资产转让项目，信息公告期应不少于10个工作日；转让底价1000万元以上的资产转让项目，信息披露时间不得少于20个工作日。</w:t>
      </w:r>
    </w:p>
    <w:p w14:paraId="7FC4D845">
      <w:pPr>
        <w:numPr>
          <w:ilvl w:val="-1"/>
          <w:numId w:val="0"/>
        </w:numPr>
        <w:spacing w:afterLines="0" w:line="560" w:lineRule="exact"/>
        <w:ind w:left="694" w:firstLine="0" w:firstLineChars="0"/>
        <w:rPr>
          <w:rFonts w:hint="eastAsia" w:hAnsi="仿宋" w:cs="仿宋"/>
          <w:color w:val="auto"/>
          <w:highlight w:val="none"/>
        </w:rPr>
      </w:pPr>
      <w:r>
        <w:rPr>
          <w:rFonts w:hint="eastAsia" w:hAnsi="仿宋" w:cs="仿宋"/>
          <w:color w:val="auto"/>
          <w:highlight w:val="none"/>
        </w:rPr>
        <w:t>（二）增资扩股</w:t>
      </w:r>
    </w:p>
    <w:p w14:paraId="6D94AF32">
      <w:pPr>
        <w:numPr>
          <w:ilvl w:val="-1"/>
          <w:numId w:val="0"/>
        </w:numPr>
        <w:spacing w:afterLines="0"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rPr>
        <w:t>企业增资扩股应当通过产权交易机构网站对外披露信息公开征集投资方，时间不得少于40个工作日</w:t>
      </w:r>
      <w:r>
        <w:rPr>
          <w:rFonts w:hint="eastAsia" w:ascii="仿宋_GB2312" w:hAnsi="仿宋" w:eastAsia="仿宋_GB2312" w:cs="仿宋"/>
          <w:b w:val="0"/>
          <w:bCs w:val="0"/>
          <w:color w:val="auto"/>
          <w:sz w:val="32"/>
          <w:szCs w:val="32"/>
          <w:highlight w:val="none"/>
          <w:u w:val="none"/>
        </w:rPr>
        <w:t>。</w:t>
      </w:r>
    </w:p>
    <w:p w14:paraId="183ACEBB">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bookmarkStart w:id="1" w:name="OLE_LINK9"/>
      <w:r>
        <w:rPr>
          <w:rFonts w:hint="eastAsia" w:ascii="仿宋_GB2312" w:hAnsi="仿宋" w:eastAsia="仿宋_GB2312" w:cs="仿宋"/>
          <w:b w:val="0"/>
          <w:bCs w:val="0"/>
          <w:color w:val="auto"/>
          <w:sz w:val="32"/>
          <w:szCs w:val="32"/>
          <w:highlight w:val="none"/>
          <w:u w:val="none"/>
        </w:rPr>
        <w:t>产权交易公告中披露的产权交易信息应当包括以下内容：</w:t>
      </w:r>
    </w:p>
    <w:p w14:paraId="085ADA82">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（一）标的企业的基本情况</w:t>
      </w:r>
      <w:r>
        <w:rPr>
          <w:rFonts w:hint="eastAsia" w:hAnsi="仿宋" w:cs="仿宋"/>
          <w:b w:val="0"/>
          <w:bCs w:val="0"/>
          <w:color w:val="auto"/>
          <w:sz w:val="32"/>
          <w:szCs w:val="32"/>
          <w:highlight w:val="none"/>
          <w:u w:val="none"/>
          <w:lang w:val="en-US" w:eastAsia="zh-CN"/>
        </w:rPr>
        <w:t>，包括但不限于设立时间、组织形式、注册资本、股权结构、管理级次、经营范围和主营业务等。</w:t>
      </w:r>
    </w:p>
    <w:p w14:paraId="6BF4A1F1">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（二）经济行为的决策及批准情况。</w:t>
      </w:r>
    </w:p>
    <w:p w14:paraId="4C294EC0">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（三）标的企业的主要财务指标，包括但不限于资产总额、负债总额、所有者权益、营业收入、净利润等。</w:t>
      </w:r>
    </w:p>
    <w:p w14:paraId="73B6F4D8">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（四）受让方（适用于产权转让对受让方有特殊要求的）或投资方的资格条件。</w:t>
      </w:r>
    </w:p>
    <w:p w14:paraId="3D9159B3">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（五）产权转让项目的交易条件、挂牌底价；增资扩股项目的拟募集资金金额、募集资金用途以及增资扩股后的企业股权结构。</w:t>
      </w:r>
    </w:p>
    <w:p w14:paraId="33D1FAD0">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（六）企业管理层是否参与受让或增资，有限责任公司原股东是否放弃优先受让权。</w:t>
      </w:r>
    </w:p>
    <w:p w14:paraId="7D508620">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（七）公开竞价方式，受让方或投资方的评判标准和遴选方式。</w:t>
      </w:r>
    </w:p>
    <w:p w14:paraId="44BCF26F">
      <w:pPr>
        <w:spacing w:afterLines="0"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（八）其他需要披露的事项。</w:t>
      </w:r>
    </w:p>
    <w:bookmarkEnd w:id="1"/>
    <w:p w14:paraId="5221221D">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产权转让项目首次正式信息披露的转让底价，不得低于经核准或备案的转让标的评估</w:t>
      </w:r>
      <w:r>
        <w:rPr>
          <w:rFonts w:hint="eastAsia" w:hAnsi="仿宋" w:cs="仿宋"/>
          <w:b w:val="0"/>
          <w:bCs w:val="0"/>
          <w:color w:val="auto"/>
          <w:sz w:val="32"/>
          <w:szCs w:val="32"/>
          <w:highlight w:val="none"/>
          <w:u w:val="none"/>
          <w:lang w:eastAsia="zh-CN"/>
        </w:rPr>
        <w:t>（估值）</w:t>
      </w:r>
      <w:r>
        <w:rPr>
          <w:rFonts w:hint="eastAsia" w:ascii="仿宋_GB2312" w:hAnsi="仿宋" w:eastAsia="仿宋_GB2312" w:cs="仿宋"/>
          <w:b w:val="0"/>
          <w:bCs w:val="0"/>
          <w:color w:val="auto"/>
          <w:sz w:val="32"/>
          <w:szCs w:val="32"/>
          <w:highlight w:val="none"/>
          <w:u w:val="none"/>
        </w:rPr>
        <w:t>结果。</w:t>
      </w:r>
    </w:p>
    <w:p w14:paraId="72DEC7A9">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color w:val="auto"/>
          <w:sz w:val="32"/>
          <w:szCs w:val="32"/>
          <w:highlight w:val="none"/>
          <w:u w:val="none"/>
        </w:rPr>
        <w:t>股权转让原则上不得针对受让方设置资格条件，确需设置的，不得有明确指向性或违反公平竞争原则</w:t>
      </w:r>
      <w:r>
        <w:rPr>
          <w:rFonts w:hint="eastAsia" w:ascii="仿宋_GB2312" w:hAnsi="仿宋" w:eastAsia="仿宋_GB2312" w:cs="仿宋"/>
          <w:b w:val="0"/>
          <w:bCs w:val="0"/>
          <w:color w:val="auto"/>
          <w:sz w:val="32"/>
          <w:szCs w:val="32"/>
          <w:highlight w:val="none"/>
          <w:u w:val="none"/>
        </w:rPr>
        <w:t>，所设资格条件相关内容应当在信息披露前报区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备案</w:t>
      </w:r>
      <w:r>
        <w:rPr>
          <w:rFonts w:hint="eastAsia" w:ascii="仿宋_GB2312" w:hAnsi="仿宋" w:eastAsia="仿宋_GB2312" w:cs="仿宋"/>
          <w:b w:val="0"/>
          <w:bCs w:val="0"/>
          <w:color w:val="auto"/>
          <w:sz w:val="32"/>
          <w:szCs w:val="32"/>
          <w:highlight w:val="none"/>
          <w:u w:val="none"/>
          <w:lang w:eastAsia="zh-CN"/>
        </w:rPr>
        <w:t>。</w:t>
      </w:r>
    </w:p>
    <w:p w14:paraId="76A4DF70">
      <w:pPr>
        <w:numPr>
          <w:ilvl w:val="0"/>
          <w:numId w:val="0"/>
        </w:numPr>
        <w:spacing w:afterLines="0" w:line="560" w:lineRule="exact"/>
        <w:ind w:left="0" w:leftChars="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color w:val="auto"/>
          <w:sz w:val="32"/>
          <w:szCs w:val="32"/>
          <w:highlight w:val="none"/>
          <w:u w:val="none"/>
        </w:rPr>
        <w:t>除国家法律法规或相关规定另有要求的外，资产转让不得对受让方设置资格条件</w:t>
      </w:r>
      <w:r>
        <w:rPr>
          <w:rFonts w:hint="eastAsia" w:ascii="仿宋_GB2312" w:hAnsi="仿宋" w:eastAsia="仿宋_GB2312" w:cs="仿宋"/>
          <w:b w:val="0"/>
          <w:bCs w:val="0"/>
          <w:color w:val="auto"/>
          <w:sz w:val="32"/>
          <w:szCs w:val="32"/>
          <w:highlight w:val="none"/>
          <w:u w:val="none"/>
        </w:rPr>
        <w:t>。</w:t>
      </w:r>
    </w:p>
    <w:p w14:paraId="3873566C">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在正式披露信息期间，产权单位不得变更产权交易公告中公布的内容。由于非产权单位原因或其他不可抗力因素导致可能对交易标的价值判断造成影响的，产权单位应当及时调整补充披露信息内容，并相应延长信息披露时间。</w:t>
      </w:r>
    </w:p>
    <w:p w14:paraId="267E587A">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color w:val="auto"/>
          <w:highlight w:val="none"/>
        </w:rPr>
        <w:t>正式披露公告期满未征集到意向受让方，且不变更公告内容的，转让方可以按照公告要求延长公告时间，每次延长时间不少于5个工作日。未在公告中明确延长时间的，公告到期自行终结。仅变更转让底价的，公告时间不少于5个工作日。转让方应当结合标的企业情况、市场行情等因素以阶梯降价的方式降价。新的转让底价低于评估结果的90％时，转让底价及后续降价幅度（比例或金额）等应当经转让行为批准单位批准</w:t>
      </w:r>
      <w:r>
        <w:rPr>
          <w:rFonts w:hint="eastAsia" w:ascii="仿宋_GB2312" w:hAnsi="仿宋" w:eastAsia="仿宋_GB2312" w:cs="仿宋"/>
          <w:b w:val="0"/>
          <w:bCs w:val="0"/>
          <w:color w:val="auto"/>
          <w:sz w:val="32"/>
          <w:szCs w:val="32"/>
          <w:highlight w:val="none"/>
          <w:u w:val="none"/>
        </w:rPr>
        <w:t>。</w:t>
      </w:r>
    </w:p>
    <w:p w14:paraId="051D576F">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自首次正式披露信息之日起超过</w:t>
      </w:r>
      <w:r>
        <w:rPr>
          <w:rFonts w:ascii="仿宋_GB2312" w:hAnsi="仿宋" w:eastAsia="仿宋_GB2312" w:cs="仿宋"/>
          <w:b w:val="0"/>
          <w:bCs w:val="0"/>
          <w:color w:val="auto"/>
          <w:sz w:val="32"/>
          <w:szCs w:val="32"/>
          <w:highlight w:val="none"/>
          <w:u w:val="none"/>
        </w:rPr>
        <w:t>12</w:t>
      </w:r>
      <w:r>
        <w:rPr>
          <w:rFonts w:hint="eastAsia" w:ascii="仿宋_GB2312" w:hAnsi="仿宋" w:eastAsia="仿宋_GB2312" w:cs="仿宋"/>
          <w:b w:val="0"/>
          <w:bCs w:val="0"/>
          <w:color w:val="auto"/>
          <w:sz w:val="32"/>
          <w:szCs w:val="32"/>
          <w:highlight w:val="none"/>
          <w:u w:val="none"/>
        </w:rPr>
        <w:t>个月未征集到合格意向方的，应当重新履行审计、资产评估以及信息披露等工作程序。</w:t>
      </w:r>
    </w:p>
    <w:p w14:paraId="24089C08">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产权单位应委托产权交易机构负责意向受让方或投资方的登记工作，对意向方是否符合资格条件提出审查意见并反馈产权单位。产权交易机构与产权单位意见不一致的，由产权变动批准单位决定意向方是否符合资格条件。</w:t>
      </w:r>
    </w:p>
    <w:p w14:paraId="4AD88D4D">
      <w:pPr>
        <w:numPr>
          <w:ilvl w:val="0"/>
          <w:numId w:val="1"/>
        </w:numPr>
        <w:spacing w:afterLines="0" w:line="560" w:lineRule="exact"/>
        <w:ind w:left="54" w:firstLine="640" w:firstLineChars="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产权转让项目经公开挂牌征集，只产生</w:t>
      </w:r>
      <w:r>
        <w:rPr>
          <w:rFonts w:hint="eastAsia" w:hAnsi="仿宋" w:cs="仿宋"/>
          <w:b w:val="0"/>
          <w:bCs w:val="0"/>
          <w:color w:val="auto"/>
          <w:sz w:val="32"/>
          <w:szCs w:val="32"/>
          <w:highlight w:val="none"/>
          <w:u w:val="none"/>
          <w:lang w:val="en-US" w:eastAsia="zh-CN"/>
        </w:rPr>
        <w:t>1</w:t>
      </w:r>
      <w:r>
        <w:rPr>
          <w:rFonts w:hint="eastAsia" w:ascii="仿宋_GB2312" w:hAnsi="仿宋" w:eastAsia="仿宋_GB2312" w:cs="仿宋"/>
          <w:b w:val="0"/>
          <w:bCs w:val="0"/>
          <w:color w:val="auto"/>
          <w:sz w:val="32"/>
          <w:szCs w:val="32"/>
          <w:highlight w:val="none"/>
          <w:u w:val="none"/>
        </w:rPr>
        <w:t>个符合条件的意向受让方的，由产权交易机构组织交易双方按挂牌价与买方报价孰高原则直接签约；产生两个及以上符合条件的意向受让方时，应当按照产权交易公告中明确的公开竞价方式组织实施交易，确定受让方。</w:t>
      </w:r>
    </w:p>
    <w:p w14:paraId="51BDEB9A">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增资扩股项目通过资格审查的意向投资方数量较多时，可以采用竞价、竞争性谈判、综合评议等方式进行多轮次遴选。产权交易机构负责统一接收意向投资方的投标和报价文件，组织开展投资方遴选有关工作。</w:t>
      </w:r>
      <w:r>
        <w:rPr>
          <w:rFonts w:hint="eastAsia" w:hAnsi="仿宋" w:cs="仿宋"/>
          <w:b w:val="0"/>
          <w:bCs w:val="0"/>
          <w:color w:val="auto"/>
          <w:sz w:val="32"/>
          <w:szCs w:val="32"/>
          <w:highlight w:val="none"/>
          <w:u w:val="none"/>
          <w:lang w:eastAsia="zh-CN"/>
        </w:rPr>
        <w:t>区国有</w:t>
      </w:r>
      <w:r>
        <w:rPr>
          <w:rFonts w:hint="eastAsia" w:ascii="仿宋_GB2312" w:hAnsi="仿宋" w:eastAsia="仿宋_GB2312" w:cs="仿宋"/>
          <w:b w:val="0"/>
          <w:bCs w:val="0"/>
          <w:color w:val="auto"/>
          <w:sz w:val="32"/>
          <w:szCs w:val="32"/>
          <w:highlight w:val="none"/>
          <w:u w:val="none"/>
        </w:rPr>
        <w:t>企业董事会或股东会以资产评估</w:t>
      </w:r>
      <w:r>
        <w:rPr>
          <w:rFonts w:hint="eastAsia" w:hAnsi="仿宋" w:cs="仿宋"/>
          <w:b w:val="0"/>
          <w:bCs w:val="0"/>
          <w:color w:val="auto"/>
          <w:sz w:val="32"/>
          <w:szCs w:val="32"/>
          <w:highlight w:val="none"/>
          <w:u w:val="none"/>
          <w:lang w:eastAsia="zh-CN"/>
        </w:rPr>
        <w:t>（估值）</w:t>
      </w:r>
      <w:r>
        <w:rPr>
          <w:rFonts w:hint="eastAsia" w:ascii="仿宋_GB2312" w:hAnsi="仿宋" w:eastAsia="仿宋_GB2312" w:cs="仿宋"/>
          <w:b w:val="0"/>
          <w:bCs w:val="0"/>
          <w:color w:val="auto"/>
          <w:sz w:val="32"/>
          <w:szCs w:val="32"/>
          <w:highlight w:val="none"/>
          <w:u w:val="none"/>
        </w:rPr>
        <w:t>结果为基础，结合意向投资方的条件和报价等因素审议选定投资方。</w:t>
      </w:r>
    </w:p>
    <w:p w14:paraId="266A5412">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bookmarkStart w:id="2" w:name="OLE_LINK10"/>
      <w:r>
        <w:rPr>
          <w:rFonts w:hint="eastAsia" w:ascii="仿宋_GB2312" w:hAnsi="仿宋" w:eastAsia="仿宋_GB2312" w:cs="仿宋"/>
          <w:b w:val="0"/>
          <w:bCs w:val="0"/>
          <w:color w:val="auto"/>
          <w:sz w:val="32"/>
          <w:szCs w:val="32"/>
          <w:highlight w:val="none"/>
          <w:u w:val="none"/>
        </w:rPr>
        <w:t>在确定受让方或投资方后的次日起</w:t>
      </w:r>
      <w:r>
        <w:rPr>
          <w:rFonts w:hint="eastAsia" w:hAnsi="仿宋" w:cs="仿宋"/>
          <w:b w:val="0"/>
          <w:bCs w:val="0"/>
          <w:color w:val="auto"/>
          <w:sz w:val="32"/>
          <w:szCs w:val="32"/>
          <w:highlight w:val="none"/>
          <w:u w:val="none"/>
          <w:lang w:val="en-US" w:eastAsia="zh-CN"/>
        </w:rPr>
        <w:t>5</w:t>
      </w:r>
      <w:r>
        <w:rPr>
          <w:rFonts w:hint="eastAsia" w:ascii="仿宋_GB2312" w:hAnsi="仿宋" w:eastAsia="仿宋_GB2312" w:cs="仿宋"/>
          <w:b w:val="0"/>
          <w:bCs w:val="0"/>
          <w:color w:val="auto"/>
          <w:sz w:val="32"/>
          <w:szCs w:val="32"/>
          <w:highlight w:val="none"/>
          <w:u w:val="none"/>
        </w:rPr>
        <w:t>个工作日内，交易双方签订企业国有产权转让合同，交易双方不得以交易期间企业经营性损益等理由对已达成的交易条件和交易价格进行调整。企业国有产权转让合同应当包括下列主要内容：</w:t>
      </w:r>
    </w:p>
    <w:bookmarkEnd w:id="2"/>
    <w:p w14:paraId="0F0524B4">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（一）产权交易双方的名称与住所。</w:t>
      </w:r>
    </w:p>
    <w:p w14:paraId="1626A6C3">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国有产权的基本情况。</w:t>
      </w:r>
    </w:p>
    <w:p w14:paraId="0C2AC14D">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涉及的职工安置方案及涉及员工利益的问题确定解决方案。</w:t>
      </w:r>
    </w:p>
    <w:p w14:paraId="586A169F">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涉及的债权、债务处理方案，包括出让方及其关联企业与</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及其子公司之间的债权、债务、担保关系处理办法。</w:t>
      </w:r>
    </w:p>
    <w:p w14:paraId="231F5A6F">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（五）转让方式、转让价格、价款支付条件、时间和方式。</w:t>
      </w:r>
    </w:p>
    <w:p w14:paraId="63C201F0">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（六）对</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产权交割及过渡期管理</w:t>
      </w:r>
      <w:r>
        <w:rPr>
          <w:rFonts w:hint="eastAsia" w:hAnsi="仿宋" w:cs="仿宋"/>
          <w:b w:val="0"/>
          <w:bCs w:val="0"/>
          <w:color w:val="auto"/>
          <w:sz w:val="32"/>
          <w:szCs w:val="32"/>
          <w:highlight w:val="none"/>
          <w:u w:val="none"/>
          <w:lang w:eastAsia="zh-CN"/>
        </w:rPr>
        <w:t>作出</w:t>
      </w:r>
      <w:r>
        <w:rPr>
          <w:rFonts w:hint="eastAsia" w:ascii="仿宋_GB2312" w:hAnsi="仿宋" w:eastAsia="仿宋_GB2312" w:cs="仿宋"/>
          <w:b w:val="0"/>
          <w:bCs w:val="0"/>
          <w:color w:val="auto"/>
          <w:sz w:val="32"/>
          <w:szCs w:val="32"/>
          <w:highlight w:val="none"/>
          <w:u w:val="none"/>
        </w:rPr>
        <w:t>的约定。</w:t>
      </w:r>
    </w:p>
    <w:p w14:paraId="0F49DBED">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（七）</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产权转让期后事项的处理，包括但不限于未决诉讼、不良资产权益、未确权资产、税务等。</w:t>
      </w:r>
    </w:p>
    <w:p w14:paraId="690E6512">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（八）转让涉及的有关税费负担。</w:t>
      </w:r>
    </w:p>
    <w:p w14:paraId="05A791E3">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（九）合同各方的违约责任。</w:t>
      </w:r>
    </w:p>
    <w:p w14:paraId="1F65BA43">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（十）合同生效条款。</w:t>
      </w:r>
    </w:p>
    <w:p w14:paraId="3EF9AD06">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（十一）合同变更和解除的条件。</w:t>
      </w:r>
    </w:p>
    <w:p w14:paraId="448EA68A">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（十二）合同争议的解决方式。</w:t>
      </w:r>
    </w:p>
    <w:p w14:paraId="1EB95704">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（十三）产权交易双方认为必要的其他条款。</w:t>
      </w:r>
    </w:p>
    <w:p w14:paraId="45ECCEFE">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产权</w:t>
      </w:r>
      <w:r>
        <w:rPr>
          <w:rFonts w:hint="eastAsia" w:ascii="仿宋_GB2312" w:hAnsi="仿宋" w:eastAsia="仿宋_GB2312" w:cs="仿宋"/>
          <w:b w:val="0"/>
          <w:bCs w:val="0"/>
          <w:color w:val="auto"/>
          <w:sz w:val="32"/>
          <w:szCs w:val="32"/>
          <w:highlight w:val="none"/>
          <w:u w:val="none"/>
          <w:lang w:val="en-US" w:eastAsia="zh-CN"/>
        </w:rPr>
        <w:t>交易合同生效</w:t>
      </w:r>
      <w:r>
        <w:rPr>
          <w:rFonts w:hint="eastAsia" w:ascii="仿宋_GB2312" w:hAnsi="仿宋" w:eastAsia="仿宋_GB2312" w:cs="仿宋"/>
          <w:b w:val="0"/>
          <w:bCs w:val="0"/>
          <w:color w:val="auto"/>
          <w:sz w:val="32"/>
          <w:szCs w:val="32"/>
          <w:highlight w:val="none"/>
          <w:u w:val="none"/>
        </w:rPr>
        <w:t>后，</w:t>
      </w:r>
      <w:r>
        <w:rPr>
          <w:rFonts w:hint="eastAsia" w:hAnsi="仿宋" w:cs="仿宋"/>
          <w:color w:val="auto"/>
          <w:highlight w:val="none"/>
        </w:rPr>
        <w:t>产权交易机构应当将交易结果通过交易机构网站对外公告，</w:t>
      </w:r>
      <w:r>
        <w:rPr>
          <w:rFonts w:hint="eastAsia" w:ascii="仿宋_GB2312" w:hAnsi="仿宋" w:eastAsia="仿宋_GB2312" w:cs="仿宋"/>
          <w:b w:val="0"/>
          <w:bCs w:val="0"/>
          <w:color w:val="auto"/>
          <w:sz w:val="32"/>
          <w:szCs w:val="32"/>
          <w:highlight w:val="none"/>
          <w:u w:val="none"/>
        </w:rPr>
        <w:t>公</w:t>
      </w:r>
      <w:r>
        <w:rPr>
          <w:rFonts w:hint="eastAsia" w:hAnsi="仿宋" w:cs="仿宋"/>
          <w:b w:val="0"/>
          <w:bCs w:val="0"/>
          <w:color w:val="auto"/>
          <w:sz w:val="32"/>
          <w:szCs w:val="32"/>
          <w:highlight w:val="none"/>
          <w:u w:val="none"/>
          <w:lang w:eastAsia="zh-CN"/>
        </w:rPr>
        <w:t>告</w:t>
      </w:r>
      <w:r>
        <w:rPr>
          <w:rFonts w:hint="eastAsia" w:ascii="仿宋_GB2312" w:hAnsi="仿宋" w:eastAsia="仿宋_GB2312" w:cs="仿宋"/>
          <w:b w:val="0"/>
          <w:bCs w:val="0"/>
          <w:color w:val="auto"/>
          <w:sz w:val="32"/>
          <w:szCs w:val="32"/>
          <w:highlight w:val="none"/>
          <w:u w:val="none"/>
        </w:rPr>
        <w:t>内容包括转让项目的交易标的名称、转让标的评估结果、转让底价、交易价格，增资扩股项目的投资方名称、投资金额、持股比例等，公示期不少于</w:t>
      </w:r>
      <w:r>
        <w:rPr>
          <w:rFonts w:hint="eastAsia" w:hAnsi="仿宋" w:cs="仿宋"/>
          <w:b w:val="0"/>
          <w:bCs w:val="0"/>
          <w:color w:val="auto"/>
          <w:sz w:val="32"/>
          <w:szCs w:val="32"/>
          <w:highlight w:val="none"/>
          <w:u w:val="none"/>
          <w:lang w:val="en-US" w:eastAsia="zh-CN"/>
        </w:rPr>
        <w:t>5</w:t>
      </w:r>
      <w:r>
        <w:rPr>
          <w:rFonts w:hint="eastAsia" w:ascii="仿宋_GB2312" w:hAnsi="仿宋" w:eastAsia="仿宋_GB2312" w:cs="仿宋"/>
          <w:b w:val="0"/>
          <w:bCs w:val="0"/>
          <w:color w:val="auto"/>
          <w:sz w:val="32"/>
          <w:szCs w:val="32"/>
          <w:highlight w:val="none"/>
          <w:u w:val="none"/>
        </w:rPr>
        <w:t>个工作日。</w:t>
      </w:r>
    </w:p>
    <w:p w14:paraId="647C78EF">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企业国有产权</w:t>
      </w:r>
      <w:r>
        <w:rPr>
          <w:rFonts w:hint="eastAsia" w:hAnsi="仿宋" w:cs="仿宋"/>
          <w:b w:val="0"/>
          <w:bCs w:val="0"/>
          <w:color w:val="auto"/>
          <w:sz w:val="32"/>
          <w:szCs w:val="32"/>
          <w:highlight w:val="none"/>
          <w:u w:val="none"/>
          <w:lang w:eastAsia="zh-CN"/>
        </w:rPr>
        <w:t>交易</w:t>
      </w:r>
      <w:r>
        <w:rPr>
          <w:rFonts w:hint="eastAsia" w:ascii="仿宋_GB2312" w:hAnsi="仿宋" w:eastAsia="仿宋_GB2312" w:cs="仿宋"/>
          <w:b w:val="0"/>
          <w:bCs w:val="0"/>
          <w:color w:val="auto"/>
          <w:sz w:val="32"/>
          <w:szCs w:val="32"/>
          <w:highlight w:val="none"/>
          <w:u w:val="none"/>
        </w:rPr>
        <w:t>价款原则上应当在合同生效之日起</w:t>
      </w:r>
      <w:r>
        <w:rPr>
          <w:rFonts w:hint="eastAsia" w:hAnsi="仿宋" w:cs="仿宋"/>
          <w:b w:val="0"/>
          <w:bCs w:val="0"/>
          <w:color w:val="auto"/>
          <w:sz w:val="32"/>
          <w:szCs w:val="32"/>
          <w:highlight w:val="none"/>
          <w:u w:val="none"/>
          <w:lang w:val="en-US" w:eastAsia="zh-CN"/>
        </w:rPr>
        <w:t>5</w:t>
      </w:r>
      <w:r>
        <w:rPr>
          <w:rFonts w:hint="eastAsia" w:ascii="仿宋_GB2312" w:hAnsi="仿宋" w:eastAsia="仿宋_GB2312" w:cs="仿宋"/>
          <w:b w:val="0"/>
          <w:bCs w:val="0"/>
          <w:color w:val="auto"/>
          <w:sz w:val="32"/>
          <w:szCs w:val="32"/>
          <w:highlight w:val="none"/>
          <w:u w:val="none"/>
        </w:rPr>
        <w:t>个工作日内一次付清。金额较大、一次付清确有困难的，可以采取分期付款方式。采用分期付款方式的，首</w:t>
      </w:r>
      <w:r>
        <w:rPr>
          <w:rFonts w:hint="eastAsia" w:hAnsi="仿宋" w:cs="仿宋"/>
          <w:b w:val="0"/>
          <w:bCs w:val="0"/>
          <w:color w:val="auto"/>
          <w:sz w:val="32"/>
          <w:szCs w:val="32"/>
          <w:highlight w:val="none"/>
          <w:u w:val="none"/>
          <w:lang w:eastAsia="zh-CN"/>
        </w:rPr>
        <w:t>期</w:t>
      </w:r>
      <w:r>
        <w:rPr>
          <w:rFonts w:hint="eastAsia" w:ascii="仿宋_GB2312" w:hAnsi="仿宋" w:eastAsia="仿宋_GB2312" w:cs="仿宋"/>
          <w:b w:val="0"/>
          <w:bCs w:val="0"/>
          <w:color w:val="auto"/>
          <w:sz w:val="32"/>
          <w:szCs w:val="32"/>
          <w:highlight w:val="none"/>
          <w:u w:val="none"/>
        </w:rPr>
        <w:t>付款不</w:t>
      </w:r>
      <w:r>
        <w:rPr>
          <w:rFonts w:hint="eastAsia" w:hAnsi="仿宋" w:cs="仿宋"/>
          <w:b w:val="0"/>
          <w:bCs w:val="0"/>
          <w:color w:val="auto"/>
          <w:sz w:val="32"/>
          <w:szCs w:val="32"/>
          <w:highlight w:val="none"/>
          <w:u w:val="none"/>
          <w:lang w:eastAsia="zh-CN"/>
        </w:rPr>
        <w:t>得</w:t>
      </w:r>
      <w:r>
        <w:rPr>
          <w:rFonts w:hint="eastAsia" w:ascii="仿宋_GB2312" w:hAnsi="仿宋" w:eastAsia="仿宋_GB2312" w:cs="仿宋"/>
          <w:b w:val="0"/>
          <w:bCs w:val="0"/>
          <w:color w:val="auto"/>
          <w:sz w:val="32"/>
          <w:szCs w:val="32"/>
          <w:highlight w:val="none"/>
          <w:u w:val="none"/>
        </w:rPr>
        <w:t>低于总价款的</w:t>
      </w:r>
      <w:r>
        <w:rPr>
          <w:rFonts w:ascii="仿宋_GB2312" w:hAnsi="仿宋" w:eastAsia="仿宋_GB2312" w:cs="仿宋"/>
          <w:b w:val="0"/>
          <w:bCs w:val="0"/>
          <w:color w:val="auto"/>
          <w:sz w:val="32"/>
          <w:szCs w:val="32"/>
          <w:highlight w:val="none"/>
          <w:u w:val="none"/>
        </w:rPr>
        <w:t>30%</w:t>
      </w:r>
      <w:r>
        <w:rPr>
          <w:rFonts w:hint="eastAsia" w:ascii="仿宋_GB2312" w:hAnsi="仿宋" w:eastAsia="仿宋_GB2312" w:cs="仿宋"/>
          <w:b w:val="0"/>
          <w:bCs w:val="0"/>
          <w:color w:val="auto"/>
          <w:sz w:val="32"/>
          <w:szCs w:val="32"/>
          <w:highlight w:val="none"/>
          <w:u w:val="none"/>
        </w:rPr>
        <w:t>，并在合同生效之日起</w:t>
      </w:r>
      <w:r>
        <w:rPr>
          <w:rFonts w:hint="eastAsia" w:hAnsi="仿宋" w:cs="仿宋"/>
          <w:b w:val="0"/>
          <w:bCs w:val="0"/>
          <w:color w:val="auto"/>
          <w:sz w:val="32"/>
          <w:szCs w:val="32"/>
          <w:highlight w:val="none"/>
          <w:u w:val="none"/>
          <w:lang w:val="en-US" w:eastAsia="zh-CN"/>
        </w:rPr>
        <w:t>5</w:t>
      </w:r>
      <w:r>
        <w:rPr>
          <w:rFonts w:hint="eastAsia" w:ascii="仿宋_GB2312" w:hAnsi="仿宋" w:eastAsia="仿宋_GB2312" w:cs="仿宋"/>
          <w:b w:val="0"/>
          <w:bCs w:val="0"/>
          <w:color w:val="auto"/>
          <w:sz w:val="32"/>
          <w:szCs w:val="32"/>
          <w:highlight w:val="none"/>
          <w:u w:val="none"/>
        </w:rPr>
        <w:t>个工作日内支付；其余款项应当提供合法有效担保，并按同期银行贷款利率支付延期付款期间的利息，付款期限不得超过</w:t>
      </w:r>
      <w:r>
        <w:rPr>
          <w:rFonts w:hint="eastAsia" w:hAnsi="仿宋" w:cs="仿宋"/>
          <w:b w:val="0"/>
          <w:bCs w:val="0"/>
          <w:color w:val="auto"/>
          <w:sz w:val="32"/>
          <w:szCs w:val="32"/>
          <w:highlight w:val="none"/>
          <w:u w:val="none"/>
          <w:lang w:val="en-US" w:eastAsia="zh-CN"/>
        </w:rPr>
        <w:t>1</w:t>
      </w:r>
      <w:r>
        <w:rPr>
          <w:rFonts w:hint="eastAsia" w:ascii="仿宋_GB2312" w:hAnsi="仿宋" w:eastAsia="仿宋_GB2312" w:cs="仿宋"/>
          <w:b w:val="0"/>
          <w:bCs w:val="0"/>
          <w:color w:val="auto"/>
          <w:sz w:val="32"/>
          <w:szCs w:val="32"/>
          <w:highlight w:val="none"/>
          <w:u w:val="none"/>
        </w:rPr>
        <w:t>年。在</w:t>
      </w:r>
      <w:r>
        <w:rPr>
          <w:rFonts w:hint="eastAsia" w:hAnsi="仿宋" w:cs="仿宋"/>
          <w:b w:val="0"/>
          <w:bCs w:val="0"/>
          <w:color w:val="auto"/>
          <w:sz w:val="32"/>
          <w:szCs w:val="32"/>
          <w:highlight w:val="none"/>
          <w:u w:val="none"/>
          <w:lang w:eastAsia="zh-CN"/>
        </w:rPr>
        <w:t>产权交易</w:t>
      </w:r>
      <w:r>
        <w:rPr>
          <w:rFonts w:hint="eastAsia" w:ascii="仿宋_GB2312" w:hAnsi="仿宋" w:eastAsia="仿宋_GB2312" w:cs="仿宋"/>
          <w:b w:val="0"/>
          <w:bCs w:val="0"/>
          <w:color w:val="auto"/>
          <w:sz w:val="32"/>
          <w:szCs w:val="32"/>
          <w:highlight w:val="none"/>
          <w:u w:val="none"/>
        </w:rPr>
        <w:t>价款未全额支付且余款未提供等值合法担保的情况下，不得办理产权交割和变更手续。</w:t>
      </w:r>
    </w:p>
    <w:p w14:paraId="19896304">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增资扩股项目投资方以非货币资产出资的，应当经增资企业董事会或股东会审议同意，并委托具有相应资质的评估机构进行评估，确认投资方的出资金额。</w:t>
      </w:r>
    </w:p>
    <w:p w14:paraId="2FAE6BBE">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在产权交易过程中，当产权变动比例或产权变动方案发生重大变化，以及批准机构检查产权变动项目实施情况发现问题时，应当暂停交易，在获得批准机构同意后方可继续进行。</w:t>
      </w:r>
    </w:p>
    <w:p w14:paraId="3ED067DF">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除国家另有规定外，不得采取转让前将有关费用从净资产中抵扣的方法进行企业国有产权转让，也不得从转让价款中进行抵扣。</w:t>
      </w:r>
    </w:p>
    <w:p w14:paraId="7F556619">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产权变动导致国有股东持有上市公司股份间接转让的，应当同时遵守上市公司国有股权管理以及证券监管相关规定。</w:t>
      </w:r>
    </w:p>
    <w:p w14:paraId="3B0872E3">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企业国有产权变动涉及交易主体资格审查、反垄断审查、特许经营权、国有划拨土地使用权、探矿权和采矿权等政府审批事项的，按照相关规定执行。</w:t>
      </w:r>
    </w:p>
    <w:p w14:paraId="06D6A28D">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受让方或投资方为</w:t>
      </w:r>
      <w:r>
        <w:rPr>
          <w:rFonts w:hint="eastAsia" w:hAnsi="仿宋" w:cs="仿宋"/>
          <w:b w:val="0"/>
          <w:bCs w:val="0"/>
          <w:color w:val="auto"/>
          <w:sz w:val="32"/>
          <w:szCs w:val="32"/>
          <w:highlight w:val="none"/>
          <w:u w:val="none"/>
          <w:lang w:eastAsia="zh-CN"/>
        </w:rPr>
        <w:t>境外投资者的，</w:t>
      </w:r>
      <w:r>
        <w:rPr>
          <w:rFonts w:hint="eastAsia" w:ascii="仿宋_GB2312" w:hAnsi="仿宋" w:eastAsia="仿宋_GB2312" w:cs="仿宋"/>
          <w:b w:val="0"/>
          <w:bCs w:val="0"/>
          <w:color w:val="auto"/>
          <w:sz w:val="32"/>
          <w:szCs w:val="32"/>
          <w:highlight w:val="none"/>
          <w:u w:val="none"/>
        </w:rPr>
        <w:t>应当符合外商投资产业指导目录和负面清单管理要求，以及外商投资安全审查有关规定。</w:t>
      </w:r>
    </w:p>
    <w:p w14:paraId="2C787779">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交易价款应当以人民币计价，通过产权交易机构以货币进行结算。因特殊情况不能通过产权交易机构结算的，应当向产权交易机构提供产权变动批准单位的书面意见以及交易价款付款凭证。</w:t>
      </w:r>
    </w:p>
    <w:p w14:paraId="127F160E">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企业国有产权变动导致</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不再是国有控股企业的，应当按照有关政策规定处理好与职工的劳动关系，解决</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拖欠职工的工资、欠缴的各项社会保险费以及其他有关费用，并做好企业职工各项社会保险关系的接续工作。</w:t>
      </w:r>
    </w:p>
    <w:p w14:paraId="4C460E06">
      <w:pPr>
        <w:spacing w:afterLines="0" w:line="560" w:lineRule="exact"/>
        <w:ind w:firstLine="640" w:firstLineChars="200"/>
        <w:jc w:val="center"/>
        <w:rPr>
          <w:rFonts w:hint="eastAsia" w:ascii="楷体_GB2312" w:hAnsi="仿宋" w:eastAsia="楷体_GB2312" w:cs="仿宋"/>
          <w:b w:val="0"/>
          <w:bCs w:val="0"/>
          <w:color w:val="auto"/>
          <w:sz w:val="32"/>
          <w:szCs w:val="32"/>
          <w:highlight w:val="none"/>
          <w:u w:val="none"/>
        </w:rPr>
      </w:pPr>
    </w:p>
    <w:p w14:paraId="2F8208AF">
      <w:pPr>
        <w:spacing w:afterLines="0" w:line="560" w:lineRule="exact"/>
        <w:ind w:firstLine="640" w:firstLineChars="200"/>
        <w:jc w:val="center"/>
        <w:rPr>
          <w:rFonts w:ascii="楷体_GB2312" w:hAnsi="仿宋" w:eastAsia="楷体_GB2312" w:cs="仿宋"/>
          <w:b w:val="0"/>
          <w:bCs w:val="0"/>
          <w:color w:val="auto"/>
          <w:sz w:val="32"/>
          <w:szCs w:val="32"/>
          <w:highlight w:val="none"/>
          <w:u w:val="none"/>
        </w:rPr>
      </w:pPr>
      <w:r>
        <w:rPr>
          <w:rFonts w:hint="eastAsia" w:ascii="楷体_GB2312" w:hAnsi="仿宋" w:eastAsia="楷体_GB2312" w:cs="仿宋"/>
          <w:b w:val="0"/>
          <w:bCs w:val="0"/>
          <w:color w:val="auto"/>
          <w:sz w:val="32"/>
          <w:szCs w:val="32"/>
          <w:highlight w:val="none"/>
          <w:u w:val="none"/>
        </w:rPr>
        <w:t xml:space="preserve">第二节  </w:t>
      </w:r>
      <w:r>
        <w:rPr>
          <w:rFonts w:hint="eastAsia" w:ascii="楷体_GB2312" w:hAnsi="仿宋" w:eastAsia="楷体_GB2312" w:cs="仿宋"/>
          <w:b w:val="0"/>
          <w:bCs w:val="0"/>
          <w:color w:val="auto"/>
          <w:sz w:val="32"/>
          <w:szCs w:val="32"/>
          <w:highlight w:val="none"/>
          <w:u w:val="none"/>
          <w:lang w:eastAsia="zh-CN"/>
        </w:rPr>
        <w:t>非公开</w:t>
      </w:r>
      <w:r>
        <w:rPr>
          <w:rFonts w:hint="eastAsia" w:ascii="楷体_GB2312" w:hAnsi="仿宋" w:eastAsia="楷体_GB2312" w:cs="仿宋"/>
          <w:b w:val="0"/>
          <w:bCs w:val="0"/>
          <w:color w:val="auto"/>
          <w:sz w:val="32"/>
          <w:szCs w:val="32"/>
          <w:highlight w:val="none"/>
          <w:u w:val="none"/>
        </w:rPr>
        <w:t>协议交易</w:t>
      </w:r>
    </w:p>
    <w:p w14:paraId="05796AF0">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属于下列情形之一的，经区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审批后，可以免予公开挂牌征集受让方，采取协议转让方式进行交易：</w:t>
      </w:r>
    </w:p>
    <w:p w14:paraId="4994F418">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（一）因国有资本布局结构调整或涉及主业处于关系国家安全、国民经济命脉的重要行业和关键领域企业的重组整合，对受让方有特殊要求，企业产权需要在国有及国有控股企业之间转让的。</w:t>
      </w:r>
    </w:p>
    <w:p w14:paraId="6FFB6ACE">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（二）因国有资本布局结构调整需要，由特定的国有及国有控股企业参与增资的。</w:t>
      </w:r>
    </w:p>
    <w:p w14:paraId="5DCFDD18">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（三）因直管企业与特定投资方建立战略合作伙伴或利益共同体需要，由该投资方参与直管企业或</w:t>
      </w:r>
      <w:r>
        <w:rPr>
          <w:rFonts w:hint="eastAsia" w:hAnsi="仿宋" w:cs="仿宋"/>
          <w:b w:val="0"/>
          <w:bCs w:val="0"/>
          <w:color w:val="auto"/>
          <w:sz w:val="32"/>
          <w:szCs w:val="32"/>
          <w:highlight w:val="none"/>
          <w:u w:val="none"/>
          <w:lang w:eastAsia="zh-CN"/>
        </w:rPr>
        <w:t>其</w:t>
      </w:r>
      <w:r>
        <w:rPr>
          <w:rFonts w:hint="eastAsia" w:ascii="仿宋_GB2312" w:hAnsi="仿宋" w:eastAsia="仿宋_GB2312" w:cs="仿宋"/>
          <w:b w:val="0"/>
          <w:bCs w:val="0"/>
          <w:color w:val="auto"/>
          <w:sz w:val="32"/>
          <w:szCs w:val="32"/>
          <w:highlight w:val="none"/>
          <w:u w:val="none"/>
        </w:rPr>
        <w:t>所属企业增资的。</w:t>
      </w:r>
    </w:p>
    <w:p w14:paraId="3A185D52">
      <w:pPr>
        <w:spacing w:afterLines="0"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（四）直管企业及其所属企业在城市更新或合作开发项目中处置土地及房屋，且拟处置房屋建设面积或土地面积占项目拆迁房屋总建筑面积或土地总面积二分之一以下的。</w:t>
      </w:r>
    </w:p>
    <w:p w14:paraId="064F4F48">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属于下列情形之一的，经直管企业审议决策，可以免予公开挂牌征集，采取协议方式进行交易：</w:t>
      </w:r>
    </w:p>
    <w:p w14:paraId="51E9CAB5">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（一）因实施内部重组整合，国有产权在直管企业内部及所属企业之间进行转让的。</w:t>
      </w:r>
    </w:p>
    <w:p w14:paraId="7750501A">
      <w:pPr>
        <w:spacing w:afterLines="0" w:line="560" w:lineRule="exact"/>
        <w:ind w:firstLine="640" w:firstLineChars="200"/>
        <w:rPr>
          <w:rFonts w:hint="eastAsia" w:hAnsi="仿宋" w:cs="仿宋"/>
          <w:b w:val="0"/>
          <w:bCs w:val="0"/>
          <w:color w:val="auto"/>
          <w:sz w:val="32"/>
          <w:szCs w:val="32"/>
          <w:highlight w:val="none"/>
          <w:u w:val="none"/>
          <w:lang w:eastAsia="zh-CN"/>
        </w:rPr>
      </w:pPr>
      <w:r>
        <w:rPr>
          <w:rFonts w:hint="eastAsia" w:ascii="仿宋_GB2312" w:hAnsi="仿宋" w:eastAsia="仿宋_GB2312" w:cs="仿宋"/>
          <w:b w:val="0"/>
          <w:bCs w:val="0"/>
          <w:color w:val="auto"/>
          <w:sz w:val="32"/>
          <w:szCs w:val="32"/>
          <w:highlight w:val="none"/>
          <w:u w:val="none"/>
        </w:rPr>
        <w:t>（二）直管企业直接或指定其所属企业参与区国有企业增资的</w:t>
      </w:r>
      <w:r>
        <w:rPr>
          <w:rFonts w:hint="eastAsia" w:hAnsi="仿宋" w:cs="仿宋"/>
          <w:b w:val="0"/>
          <w:bCs w:val="0"/>
          <w:color w:val="auto"/>
          <w:sz w:val="32"/>
          <w:szCs w:val="32"/>
          <w:highlight w:val="none"/>
          <w:u w:val="none"/>
          <w:lang w:eastAsia="zh-CN"/>
        </w:rPr>
        <w:t>。</w:t>
      </w:r>
    </w:p>
    <w:p w14:paraId="1A367F27">
      <w:pPr>
        <w:spacing w:afterLines="0" w:line="560" w:lineRule="exact"/>
        <w:ind w:firstLine="640" w:firstLineChars="200"/>
        <w:rPr>
          <w:rFonts w:hint="eastAsia" w:ascii="仿宋_GB2312" w:hAnsi="仿宋" w:eastAsia="仿宋_GB2312" w:cs="仿宋"/>
          <w:b w:val="0"/>
          <w:bCs w:val="0"/>
          <w:color w:val="auto"/>
          <w:sz w:val="32"/>
          <w:szCs w:val="32"/>
          <w:highlight w:val="none"/>
          <w:u w:val="none"/>
          <w:lang w:eastAsia="zh-CN"/>
        </w:rPr>
      </w:pPr>
      <w:r>
        <w:rPr>
          <w:rFonts w:hint="eastAsia" w:ascii="仿宋_GB2312" w:hAnsi="仿宋" w:eastAsia="仿宋_GB2312" w:cs="仿宋"/>
          <w:b w:val="0"/>
          <w:bCs w:val="0"/>
          <w:color w:val="auto"/>
          <w:sz w:val="32"/>
          <w:szCs w:val="32"/>
          <w:highlight w:val="none"/>
          <w:u w:val="none"/>
        </w:rPr>
        <w:t>（三）技术类无形资产经</w:t>
      </w:r>
      <w:r>
        <w:rPr>
          <w:rFonts w:hint="eastAsia" w:hAnsi="仿宋" w:cs="仿宋"/>
          <w:b w:val="0"/>
          <w:bCs w:val="0"/>
          <w:color w:val="auto"/>
          <w:sz w:val="32"/>
          <w:szCs w:val="32"/>
          <w:highlight w:val="none"/>
          <w:u w:val="none"/>
          <w:lang w:eastAsia="zh-CN"/>
        </w:rPr>
        <w:t>产权变动审批机构</w:t>
      </w:r>
      <w:r>
        <w:rPr>
          <w:rFonts w:hint="eastAsia" w:ascii="仿宋_GB2312" w:hAnsi="仿宋" w:eastAsia="仿宋_GB2312" w:cs="仿宋"/>
          <w:b w:val="0"/>
          <w:bCs w:val="0"/>
          <w:color w:val="auto"/>
          <w:sz w:val="32"/>
          <w:szCs w:val="32"/>
          <w:highlight w:val="none"/>
          <w:u w:val="none"/>
        </w:rPr>
        <w:t>批准可以采取协议方式转让，但转让信息应通过产权交易机构或</w:t>
      </w:r>
      <w:r>
        <w:rPr>
          <w:rFonts w:hint="eastAsia" w:hAnsi="仿宋" w:cs="仿宋"/>
          <w:b w:val="0"/>
          <w:bCs w:val="0"/>
          <w:color w:val="auto"/>
          <w:sz w:val="32"/>
          <w:szCs w:val="32"/>
          <w:highlight w:val="none"/>
          <w:u w:val="none"/>
          <w:lang w:eastAsia="zh-CN"/>
        </w:rPr>
        <w:t>其他</w:t>
      </w:r>
      <w:r>
        <w:rPr>
          <w:rFonts w:hint="eastAsia" w:ascii="仿宋_GB2312" w:hAnsi="仿宋" w:eastAsia="仿宋_GB2312" w:cs="仿宋"/>
          <w:b w:val="0"/>
          <w:bCs w:val="0"/>
          <w:color w:val="auto"/>
          <w:sz w:val="32"/>
          <w:szCs w:val="32"/>
          <w:highlight w:val="none"/>
          <w:u w:val="none"/>
        </w:rPr>
        <w:t>专业化交易平台等途径公开发布，选择的受让方应有利于促进技术转化</w:t>
      </w:r>
      <w:r>
        <w:rPr>
          <w:rFonts w:hint="eastAsia" w:hAnsi="仿宋" w:cs="仿宋"/>
          <w:b w:val="0"/>
          <w:bCs w:val="0"/>
          <w:color w:val="auto"/>
          <w:sz w:val="32"/>
          <w:szCs w:val="32"/>
          <w:highlight w:val="none"/>
          <w:u w:val="none"/>
          <w:lang w:eastAsia="zh-CN"/>
        </w:rPr>
        <w:t>。</w:t>
      </w:r>
    </w:p>
    <w:p w14:paraId="65169499">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（四）</w:t>
      </w:r>
      <w:r>
        <w:rPr>
          <w:rFonts w:hint="eastAsia" w:ascii="仿宋_GB2312" w:hAnsi="仿宋" w:eastAsia="仿宋_GB2312" w:cs="仿宋"/>
          <w:b w:val="0"/>
          <w:bCs w:val="0"/>
          <w:color w:val="auto"/>
          <w:sz w:val="32"/>
          <w:szCs w:val="32"/>
          <w:highlight w:val="none"/>
          <w:u w:val="none"/>
        </w:rPr>
        <w:t>评估值在10万元人民币以下</w:t>
      </w:r>
      <w:r>
        <w:rPr>
          <w:rFonts w:hint="eastAsia" w:hAnsi="仿宋" w:cs="仿宋"/>
          <w:b w:val="0"/>
          <w:bCs w:val="0"/>
          <w:color w:val="auto"/>
          <w:sz w:val="32"/>
          <w:szCs w:val="32"/>
          <w:highlight w:val="none"/>
          <w:u w:val="none"/>
          <w:lang w:eastAsia="zh-CN"/>
        </w:rPr>
        <w:t>且不属于土地、房屋范畴的</w:t>
      </w:r>
      <w:r>
        <w:rPr>
          <w:rFonts w:hint="eastAsia" w:ascii="仿宋_GB2312" w:hAnsi="仿宋" w:eastAsia="仿宋_GB2312" w:cs="仿宋"/>
          <w:b w:val="0"/>
          <w:bCs w:val="0"/>
          <w:color w:val="auto"/>
          <w:sz w:val="32"/>
          <w:szCs w:val="32"/>
          <w:highlight w:val="none"/>
          <w:u w:val="none"/>
        </w:rPr>
        <w:t>固定资产</w:t>
      </w:r>
      <w:r>
        <w:rPr>
          <w:rFonts w:hint="eastAsia" w:hAnsi="仿宋" w:cs="仿宋"/>
          <w:b w:val="0"/>
          <w:bCs w:val="0"/>
          <w:color w:val="auto"/>
          <w:sz w:val="32"/>
          <w:szCs w:val="32"/>
          <w:highlight w:val="none"/>
          <w:u w:val="none"/>
          <w:lang w:eastAsia="zh-CN"/>
        </w:rPr>
        <w:t>、存货</w:t>
      </w:r>
      <w:r>
        <w:rPr>
          <w:rFonts w:hint="eastAsia" w:ascii="仿宋_GB2312" w:hAnsi="仿宋" w:eastAsia="仿宋_GB2312" w:cs="仿宋"/>
          <w:b w:val="0"/>
          <w:bCs w:val="0"/>
          <w:color w:val="auto"/>
          <w:sz w:val="32"/>
          <w:szCs w:val="32"/>
          <w:highlight w:val="none"/>
          <w:u w:val="none"/>
        </w:rPr>
        <w:t>的转让。</w:t>
      </w:r>
    </w:p>
    <w:p w14:paraId="104C9A0E">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采取非公开协议转让方式进行交易的，交易价格不得低于经核准或备案的评估</w:t>
      </w:r>
      <w:r>
        <w:rPr>
          <w:rFonts w:hint="eastAsia" w:hAnsi="仿宋" w:cs="仿宋"/>
          <w:b w:val="0"/>
          <w:bCs w:val="0"/>
          <w:color w:val="auto"/>
          <w:sz w:val="32"/>
          <w:szCs w:val="32"/>
          <w:highlight w:val="none"/>
          <w:u w:val="none"/>
          <w:lang w:eastAsia="zh-CN"/>
        </w:rPr>
        <w:t>（估值）</w:t>
      </w:r>
      <w:r>
        <w:rPr>
          <w:rFonts w:hint="eastAsia" w:ascii="仿宋_GB2312" w:hAnsi="仿宋" w:eastAsia="仿宋_GB2312" w:cs="仿宋"/>
          <w:b w:val="0"/>
          <w:bCs w:val="0"/>
          <w:color w:val="auto"/>
          <w:sz w:val="32"/>
          <w:szCs w:val="32"/>
          <w:highlight w:val="none"/>
          <w:u w:val="none"/>
        </w:rPr>
        <w:t>结果。</w:t>
      </w:r>
    </w:p>
    <w:p w14:paraId="44B969E0">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以下情形按照《中华人民共和国公司法》、企业章程履行决策程序后，交易价格可以资产评估报告或最近一期审计报告确认的净资产值为基础确定，且不得低于经评估</w:t>
      </w:r>
      <w:r>
        <w:rPr>
          <w:rFonts w:hint="eastAsia" w:hAnsi="仿宋" w:cs="仿宋"/>
          <w:b w:val="0"/>
          <w:bCs w:val="0"/>
          <w:color w:val="auto"/>
          <w:sz w:val="32"/>
          <w:szCs w:val="32"/>
          <w:highlight w:val="none"/>
          <w:u w:val="none"/>
          <w:lang w:eastAsia="zh-CN"/>
        </w:rPr>
        <w:t>（估值）</w:t>
      </w:r>
      <w:r>
        <w:rPr>
          <w:rFonts w:hint="eastAsia" w:ascii="仿宋_GB2312" w:hAnsi="仿宋" w:eastAsia="仿宋_GB2312" w:cs="仿宋"/>
          <w:b w:val="0"/>
          <w:bCs w:val="0"/>
          <w:color w:val="auto"/>
          <w:sz w:val="32"/>
          <w:szCs w:val="32"/>
          <w:highlight w:val="none"/>
          <w:u w:val="none"/>
        </w:rPr>
        <w:t>或审计的净资产值：</w:t>
      </w:r>
    </w:p>
    <w:p w14:paraId="3EF22260">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（一）企业内部实施重组整合，转让方和受让方为其直接、间接全资拥有的所属企业的。</w:t>
      </w:r>
    </w:p>
    <w:p w14:paraId="1147DCDA">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（二）增资企业和投资方均为国有独资或国有全资企业的。</w:t>
      </w:r>
    </w:p>
    <w:p w14:paraId="6E2A5713">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、直管企业批准或决定采取非公开协议方式的企业产权变动行为时，应当审核下列文件：</w:t>
      </w:r>
    </w:p>
    <w:p w14:paraId="7E99ECA2">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（一）产权变动的有关决议文件。</w:t>
      </w:r>
    </w:p>
    <w:p w14:paraId="34D26235">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（二）产权变动方案。</w:t>
      </w:r>
    </w:p>
    <w:p w14:paraId="1385710F">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（三）采取非公开协议方式的必要性以及受让方或投资方情况。</w:t>
      </w:r>
    </w:p>
    <w:p w14:paraId="0D0BF56C">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（四）标的企业审计报告、资产评估</w:t>
      </w:r>
      <w:r>
        <w:rPr>
          <w:rFonts w:hint="eastAsia" w:hAnsi="仿宋" w:cs="仿宋"/>
          <w:b w:val="0"/>
          <w:bCs w:val="0"/>
          <w:color w:val="auto"/>
          <w:sz w:val="32"/>
          <w:szCs w:val="32"/>
          <w:highlight w:val="none"/>
          <w:u w:val="none"/>
          <w:lang w:eastAsia="zh-CN"/>
        </w:rPr>
        <w:t>（估值）</w:t>
      </w:r>
      <w:r>
        <w:rPr>
          <w:rFonts w:hint="eastAsia" w:ascii="仿宋_GB2312" w:hAnsi="仿宋" w:eastAsia="仿宋_GB2312" w:cs="仿宋"/>
          <w:b w:val="0"/>
          <w:bCs w:val="0"/>
          <w:color w:val="auto"/>
          <w:sz w:val="32"/>
          <w:szCs w:val="32"/>
          <w:highlight w:val="none"/>
          <w:u w:val="none"/>
        </w:rPr>
        <w:t>报告及其核准或备案文件。其中，</w:t>
      </w:r>
      <w:r>
        <w:rPr>
          <w:rFonts w:hint="eastAsia" w:hAnsi="仿宋" w:cs="仿宋"/>
          <w:b w:val="0"/>
          <w:bCs w:val="0"/>
          <w:color w:val="auto"/>
          <w:sz w:val="32"/>
          <w:szCs w:val="32"/>
          <w:highlight w:val="none"/>
          <w:u w:val="none"/>
          <w:lang w:eastAsia="zh-CN"/>
        </w:rPr>
        <w:t>按本</w:t>
      </w:r>
      <w:r>
        <w:rPr>
          <w:rFonts w:hint="eastAsia" w:ascii="仿宋_GB2312" w:hAnsi="仿宋" w:eastAsia="仿宋_GB2312" w:cs="仿宋"/>
          <w:b w:val="0"/>
          <w:bCs w:val="0"/>
          <w:color w:val="auto"/>
          <w:sz w:val="32"/>
          <w:szCs w:val="32"/>
          <w:highlight w:val="none"/>
          <w:u w:val="none"/>
        </w:rPr>
        <w:t>规定可以不进行资产评估的，仅需提供企业审计报告。</w:t>
      </w:r>
    </w:p>
    <w:p w14:paraId="671AE76D">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（五）产权转让或增资扩股协议。</w:t>
      </w:r>
    </w:p>
    <w:p w14:paraId="61F7098D">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（六）产权变动行为的法律意见书。</w:t>
      </w:r>
    </w:p>
    <w:p w14:paraId="529E077B">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（七）其他必要的文件。</w:t>
      </w:r>
    </w:p>
    <w:p w14:paraId="164128C5">
      <w:pPr>
        <w:spacing w:afterLines="0" w:line="560" w:lineRule="exact"/>
        <w:ind w:firstLine="640" w:firstLineChars="200"/>
        <w:jc w:val="center"/>
        <w:rPr>
          <w:rFonts w:hint="eastAsia" w:ascii="黑体" w:hAnsi="黑体" w:eastAsia="黑体" w:cs="仿宋"/>
          <w:b w:val="0"/>
          <w:bCs w:val="0"/>
          <w:color w:val="auto"/>
          <w:sz w:val="32"/>
          <w:szCs w:val="32"/>
          <w:highlight w:val="none"/>
          <w:u w:val="none"/>
        </w:rPr>
      </w:pPr>
    </w:p>
    <w:p w14:paraId="373060E2">
      <w:pPr>
        <w:spacing w:afterLines="0" w:line="560" w:lineRule="exact"/>
        <w:ind w:firstLine="640" w:firstLineChars="200"/>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w:t>
      </w:r>
      <w:r>
        <w:rPr>
          <w:rFonts w:hint="eastAsia" w:ascii="黑体" w:hAnsi="黑体" w:eastAsia="黑体" w:cs="仿宋"/>
          <w:b w:val="0"/>
          <w:bCs w:val="0"/>
          <w:color w:val="auto"/>
          <w:sz w:val="32"/>
          <w:szCs w:val="32"/>
          <w:highlight w:val="none"/>
          <w:u w:val="none"/>
          <w:lang w:val="en-US" w:eastAsia="zh-CN"/>
        </w:rPr>
        <w:t>六</w:t>
      </w:r>
      <w:r>
        <w:rPr>
          <w:rFonts w:hint="eastAsia" w:ascii="黑体" w:hAnsi="黑体" w:eastAsia="黑体" w:cs="仿宋"/>
          <w:b w:val="0"/>
          <w:bCs w:val="0"/>
          <w:color w:val="auto"/>
          <w:sz w:val="32"/>
          <w:szCs w:val="32"/>
          <w:highlight w:val="none"/>
          <w:u w:val="none"/>
        </w:rPr>
        <w:t xml:space="preserve">章  </w:t>
      </w:r>
      <w:r>
        <w:rPr>
          <w:rFonts w:hint="eastAsia" w:ascii="黑体" w:hAnsi="黑体" w:eastAsia="黑体" w:cs="仿宋"/>
          <w:b w:val="0"/>
          <w:bCs w:val="0"/>
          <w:color w:val="auto"/>
          <w:sz w:val="32"/>
          <w:szCs w:val="32"/>
          <w:highlight w:val="none"/>
          <w:u w:val="none"/>
          <w:lang w:eastAsia="zh-CN"/>
        </w:rPr>
        <w:t>变更登记和</w:t>
      </w:r>
      <w:r>
        <w:rPr>
          <w:rFonts w:hint="eastAsia" w:ascii="黑体" w:hAnsi="黑体" w:eastAsia="黑体" w:cs="仿宋"/>
          <w:b w:val="0"/>
          <w:bCs w:val="0"/>
          <w:color w:val="auto"/>
          <w:sz w:val="32"/>
          <w:szCs w:val="32"/>
          <w:highlight w:val="none"/>
          <w:u w:val="none"/>
        </w:rPr>
        <w:t>档案管理</w:t>
      </w:r>
    </w:p>
    <w:p w14:paraId="65BFA32C">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产权单位、产权交易机构和批准机构应当建立企业国有产权变动专项档案，建立文件收集、使用、查询管理办法，加强档案管理。</w:t>
      </w:r>
    </w:p>
    <w:p w14:paraId="296BF67F">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根据有关</w:t>
      </w:r>
      <w:r>
        <w:rPr>
          <w:rFonts w:hint="eastAsia" w:hAnsi="仿宋" w:cs="仿宋"/>
          <w:b w:val="0"/>
          <w:bCs w:val="0"/>
          <w:color w:val="auto"/>
          <w:sz w:val="32"/>
          <w:szCs w:val="32"/>
          <w:highlight w:val="none"/>
          <w:u w:val="none"/>
          <w:lang w:eastAsia="zh-CN"/>
        </w:rPr>
        <w:t>法律法规</w:t>
      </w:r>
      <w:r>
        <w:rPr>
          <w:rFonts w:hint="eastAsia" w:ascii="仿宋_GB2312" w:hAnsi="仿宋" w:eastAsia="仿宋_GB2312" w:cs="仿宋"/>
          <w:b w:val="0"/>
          <w:bCs w:val="0"/>
          <w:color w:val="auto"/>
          <w:sz w:val="32"/>
          <w:szCs w:val="32"/>
          <w:highlight w:val="none"/>
          <w:u w:val="none"/>
        </w:rPr>
        <w:t>的规定，产权单位要负责指导和协调</w:t>
      </w:r>
      <w:r>
        <w:rPr>
          <w:rFonts w:hint="eastAsia" w:hAnsi="仿宋" w:cs="仿宋"/>
          <w:b w:val="0"/>
          <w:bCs w:val="0"/>
          <w:color w:val="auto"/>
          <w:sz w:val="32"/>
          <w:szCs w:val="32"/>
          <w:highlight w:val="none"/>
          <w:u w:val="none"/>
          <w:lang w:eastAsia="zh-CN"/>
        </w:rPr>
        <w:t>产权单位</w:t>
      </w:r>
      <w:r>
        <w:rPr>
          <w:rFonts w:hint="eastAsia" w:ascii="仿宋_GB2312" w:hAnsi="仿宋" w:eastAsia="仿宋_GB2312" w:cs="仿宋"/>
          <w:b w:val="0"/>
          <w:bCs w:val="0"/>
          <w:color w:val="auto"/>
          <w:sz w:val="32"/>
          <w:szCs w:val="32"/>
          <w:highlight w:val="none"/>
          <w:u w:val="none"/>
        </w:rPr>
        <w:t>的档案管理和移交工作，特别要做好财务、产权、法律、人事等重要文件档案的备份和交接工作，避免档案遗失和损毁。</w:t>
      </w:r>
    </w:p>
    <w:p w14:paraId="67C10CAE">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企业国有产权变动档案应当包括下列文件材料：</w:t>
      </w:r>
    </w:p>
    <w:p w14:paraId="21E445CD">
      <w:pPr>
        <w:numPr>
          <w:ilvl w:val="-1"/>
          <w:numId w:val="0"/>
        </w:num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w:t>
      </w:r>
      <w:r>
        <w:rPr>
          <w:rFonts w:hint="eastAsia" w:hAnsi="仿宋" w:cs="仿宋"/>
          <w:b w:val="0"/>
          <w:bCs w:val="0"/>
          <w:color w:val="auto"/>
          <w:sz w:val="32"/>
          <w:szCs w:val="32"/>
          <w:highlight w:val="none"/>
          <w:u w:val="none"/>
          <w:lang w:val="en-US" w:eastAsia="zh-CN"/>
        </w:rPr>
        <w:t>一）</w:t>
      </w:r>
      <w:r>
        <w:rPr>
          <w:rFonts w:hint="eastAsia" w:ascii="仿宋_GB2312" w:hAnsi="仿宋" w:eastAsia="仿宋_GB2312" w:cs="仿宋"/>
          <w:b w:val="0"/>
          <w:bCs w:val="0"/>
          <w:color w:val="auto"/>
          <w:sz w:val="32"/>
          <w:szCs w:val="32"/>
          <w:highlight w:val="none"/>
          <w:u w:val="none"/>
        </w:rPr>
        <w:t>企业国有产权变动的有关决议文件。</w:t>
      </w:r>
    </w:p>
    <w:p w14:paraId="6863CEE8">
      <w:pPr>
        <w:numPr>
          <w:ilvl w:val="-1"/>
          <w:numId w:val="0"/>
        </w:num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hAnsi="仿宋" w:cs="仿宋"/>
          <w:color w:val="auto"/>
          <w:highlight w:val="none"/>
          <w:lang w:eastAsia="zh-CN"/>
        </w:rPr>
        <w:t>（</w:t>
      </w:r>
      <w:r>
        <w:rPr>
          <w:rFonts w:hint="eastAsia" w:hAnsi="仿宋" w:cs="仿宋"/>
          <w:color w:val="auto"/>
          <w:highlight w:val="none"/>
          <w:lang w:val="en-US" w:eastAsia="zh-CN"/>
        </w:rPr>
        <w:t>二）</w:t>
      </w:r>
      <w:r>
        <w:rPr>
          <w:rFonts w:hint="eastAsia" w:hAnsi="仿宋" w:cs="仿宋"/>
          <w:color w:val="auto"/>
          <w:highlight w:val="none"/>
          <w:lang w:eastAsia="zh-CN"/>
        </w:rPr>
        <w:t>产权单位</w:t>
      </w:r>
      <w:r>
        <w:rPr>
          <w:rFonts w:hint="eastAsia" w:hAnsi="仿宋" w:cs="仿宋"/>
          <w:color w:val="auto"/>
          <w:highlight w:val="none"/>
        </w:rPr>
        <w:t>产权归属的证明文件</w:t>
      </w:r>
      <w:r>
        <w:rPr>
          <w:rFonts w:hint="eastAsia" w:ascii="仿宋_GB2312" w:hAnsi="仿宋" w:eastAsia="仿宋_GB2312" w:cs="仿宋"/>
          <w:b w:val="0"/>
          <w:bCs w:val="0"/>
          <w:color w:val="auto"/>
          <w:sz w:val="32"/>
          <w:szCs w:val="32"/>
          <w:highlight w:val="none"/>
          <w:u w:val="none"/>
        </w:rPr>
        <w:t>。</w:t>
      </w:r>
    </w:p>
    <w:p w14:paraId="43C5310A">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（三）产权变动申请报告及批准机构的批复。</w:t>
      </w:r>
    </w:p>
    <w:p w14:paraId="4D79D800">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w:t>
      </w:r>
      <w:r>
        <w:rPr>
          <w:rFonts w:hint="eastAsia" w:hAnsi="仿宋" w:cs="仿宋"/>
          <w:color w:val="auto"/>
          <w:highlight w:val="none"/>
          <w:u w:val="none"/>
        </w:rPr>
        <w:t>专项审计报告或最近一期年度审计报告（按规定免于专项审计的）</w:t>
      </w:r>
      <w:r>
        <w:rPr>
          <w:rFonts w:hint="eastAsia" w:hAnsi="仿宋" w:cs="仿宋"/>
          <w:b w:val="0"/>
          <w:bCs w:val="0"/>
          <w:color w:val="auto"/>
          <w:sz w:val="32"/>
          <w:szCs w:val="32"/>
          <w:highlight w:val="none"/>
          <w:u w:val="none"/>
          <w:lang w:eastAsia="zh-CN"/>
        </w:rPr>
        <w:t>，</w:t>
      </w:r>
      <w:r>
        <w:rPr>
          <w:rFonts w:hint="eastAsia" w:ascii="仿宋_GB2312" w:hAnsi="仿宋" w:eastAsia="仿宋_GB2312" w:cs="仿宋"/>
          <w:b w:val="0"/>
          <w:bCs w:val="0"/>
          <w:color w:val="auto"/>
          <w:sz w:val="32"/>
          <w:szCs w:val="32"/>
          <w:highlight w:val="none"/>
          <w:u w:val="none"/>
        </w:rPr>
        <w:t>资产损失的认定与核销及上级部门的批复。</w:t>
      </w:r>
    </w:p>
    <w:p w14:paraId="5032C210">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（五）经核准或备案的资产评估报告</w:t>
      </w:r>
      <w:r>
        <w:rPr>
          <w:rFonts w:hint="eastAsia" w:hAnsi="仿宋" w:cs="仿宋"/>
          <w:b w:val="0"/>
          <w:bCs w:val="0"/>
          <w:color w:val="auto"/>
          <w:sz w:val="32"/>
          <w:szCs w:val="32"/>
          <w:highlight w:val="none"/>
          <w:u w:val="none"/>
          <w:lang w:eastAsia="zh-CN"/>
        </w:rPr>
        <w:t>及相关材料</w:t>
      </w:r>
      <w:r>
        <w:rPr>
          <w:rFonts w:hint="eastAsia" w:ascii="仿宋_GB2312" w:hAnsi="仿宋" w:eastAsia="仿宋_GB2312" w:cs="仿宋"/>
          <w:b w:val="0"/>
          <w:bCs w:val="0"/>
          <w:color w:val="auto"/>
          <w:sz w:val="32"/>
          <w:szCs w:val="32"/>
          <w:highlight w:val="none"/>
          <w:u w:val="none"/>
        </w:rPr>
        <w:t>。</w:t>
      </w:r>
    </w:p>
    <w:p w14:paraId="11D9C5BF">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六</w:t>
      </w:r>
      <w:r>
        <w:rPr>
          <w:rFonts w:hint="eastAsia" w:ascii="仿宋_GB2312" w:hAnsi="仿宋" w:eastAsia="仿宋_GB2312" w:cs="仿宋"/>
          <w:b w:val="0"/>
          <w:bCs w:val="0"/>
          <w:color w:val="auto"/>
          <w:sz w:val="32"/>
          <w:szCs w:val="32"/>
          <w:highlight w:val="none"/>
          <w:u w:val="none"/>
        </w:rPr>
        <w:t>）有关产权变动的合同或协议文本。</w:t>
      </w:r>
    </w:p>
    <w:p w14:paraId="7E61E281">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七</w:t>
      </w:r>
      <w:r>
        <w:rPr>
          <w:rFonts w:hint="eastAsia" w:ascii="仿宋_GB2312" w:hAnsi="仿宋" w:eastAsia="仿宋_GB2312" w:cs="仿宋"/>
          <w:b w:val="0"/>
          <w:bCs w:val="0"/>
          <w:color w:val="auto"/>
          <w:sz w:val="32"/>
          <w:szCs w:val="32"/>
          <w:highlight w:val="none"/>
          <w:u w:val="none"/>
        </w:rPr>
        <w:t>）涉及公开交易的，由产权交易机构出具的产权交易</w:t>
      </w:r>
      <w:r>
        <w:rPr>
          <w:rFonts w:hint="eastAsia" w:hAnsi="仿宋" w:cs="仿宋"/>
          <w:b w:val="0"/>
          <w:bCs w:val="0"/>
          <w:color w:val="auto"/>
          <w:sz w:val="32"/>
          <w:szCs w:val="32"/>
          <w:highlight w:val="none"/>
          <w:u w:val="none"/>
          <w:lang w:eastAsia="zh-CN"/>
        </w:rPr>
        <w:t>凭</w:t>
      </w:r>
      <w:r>
        <w:rPr>
          <w:rFonts w:hint="eastAsia" w:ascii="仿宋_GB2312" w:hAnsi="仿宋" w:eastAsia="仿宋_GB2312" w:cs="仿宋"/>
          <w:b w:val="0"/>
          <w:bCs w:val="0"/>
          <w:color w:val="auto"/>
          <w:sz w:val="32"/>
          <w:szCs w:val="32"/>
          <w:highlight w:val="none"/>
          <w:u w:val="none"/>
        </w:rPr>
        <w:t>证。</w:t>
      </w:r>
    </w:p>
    <w:p w14:paraId="5B4F5716">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八</w:t>
      </w:r>
      <w:r>
        <w:rPr>
          <w:rFonts w:hint="eastAsia" w:ascii="仿宋_GB2312" w:hAnsi="仿宋" w:eastAsia="仿宋_GB2312" w:cs="仿宋"/>
          <w:b w:val="0"/>
          <w:bCs w:val="0"/>
          <w:color w:val="auto"/>
          <w:sz w:val="32"/>
          <w:szCs w:val="32"/>
          <w:highlight w:val="none"/>
          <w:u w:val="none"/>
        </w:rPr>
        <w:t>）产权变更或注销登记的相关资料。</w:t>
      </w:r>
    </w:p>
    <w:p w14:paraId="14EC8E1F">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九</w:t>
      </w: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区国资监管部门派出的</w:t>
      </w:r>
      <w:r>
        <w:rPr>
          <w:rFonts w:hint="eastAsia" w:ascii="仿宋_GB2312" w:hAnsi="仿宋" w:eastAsia="仿宋_GB2312" w:cs="仿宋"/>
          <w:b w:val="0"/>
          <w:bCs w:val="0"/>
          <w:color w:val="auto"/>
          <w:sz w:val="32"/>
          <w:szCs w:val="32"/>
          <w:highlight w:val="none"/>
          <w:u w:val="none"/>
        </w:rPr>
        <w:t>财务总监的审核意见。</w:t>
      </w:r>
    </w:p>
    <w:p w14:paraId="75DDF0B5">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（十）其他有关文件。</w:t>
      </w:r>
      <w:r>
        <w:rPr>
          <w:rFonts w:ascii="宋体" w:cs="宋体"/>
          <w:b w:val="0"/>
          <w:bCs w:val="0"/>
          <w:color w:val="auto"/>
          <w:sz w:val="32"/>
          <w:szCs w:val="32"/>
          <w:highlight w:val="none"/>
          <w:u w:val="none"/>
        </w:rPr>
        <w:t> </w:t>
      </w:r>
    </w:p>
    <w:p w14:paraId="405F0DD5">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企业国有</w:t>
      </w:r>
      <w:r>
        <w:rPr>
          <w:rFonts w:hint="eastAsia" w:ascii="仿宋_GB2312" w:hAnsi="仿宋" w:eastAsia="仿宋_GB2312" w:cs="仿宋"/>
          <w:b w:val="0"/>
          <w:bCs w:val="0"/>
          <w:color w:val="auto"/>
          <w:sz w:val="32"/>
          <w:szCs w:val="32"/>
          <w:highlight w:val="none"/>
          <w:u w:val="none"/>
        </w:rPr>
        <w:t>产权变动中形成的档案，由形成单位承办部门立</w:t>
      </w:r>
      <w:r>
        <w:rPr>
          <w:rFonts w:hint="eastAsia" w:hAnsi="仿宋" w:cs="仿宋"/>
          <w:b w:val="0"/>
          <w:bCs w:val="0"/>
          <w:color w:val="auto"/>
          <w:sz w:val="32"/>
          <w:szCs w:val="32"/>
          <w:highlight w:val="none"/>
          <w:u w:val="none"/>
          <w:lang w:eastAsia="zh-CN"/>
        </w:rPr>
        <w:t>卷</w:t>
      </w:r>
      <w:r>
        <w:rPr>
          <w:rFonts w:hint="eastAsia" w:ascii="仿宋_GB2312" w:hAnsi="仿宋" w:eastAsia="仿宋_GB2312" w:cs="仿宋"/>
          <w:b w:val="0"/>
          <w:bCs w:val="0"/>
          <w:color w:val="auto"/>
          <w:sz w:val="32"/>
          <w:szCs w:val="32"/>
          <w:highlight w:val="none"/>
          <w:u w:val="none"/>
        </w:rPr>
        <w:t>归档</w:t>
      </w:r>
      <w:r>
        <w:rPr>
          <w:rFonts w:hint="eastAsia" w:hAnsi="仿宋" w:cs="仿宋"/>
          <w:b w:val="0"/>
          <w:bCs w:val="0"/>
          <w:color w:val="auto"/>
          <w:sz w:val="32"/>
          <w:szCs w:val="32"/>
          <w:highlight w:val="none"/>
          <w:u w:val="none"/>
          <w:lang w:eastAsia="zh-CN"/>
        </w:rPr>
        <w:t>后</w:t>
      </w: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向</w:t>
      </w:r>
      <w:r>
        <w:rPr>
          <w:rFonts w:hint="eastAsia" w:ascii="仿宋_GB2312" w:hAnsi="仿宋" w:eastAsia="仿宋_GB2312" w:cs="仿宋"/>
          <w:b w:val="0"/>
          <w:bCs w:val="0"/>
          <w:color w:val="auto"/>
          <w:sz w:val="32"/>
          <w:szCs w:val="32"/>
          <w:highlight w:val="none"/>
          <w:u w:val="none"/>
        </w:rPr>
        <w:t>本单位</w:t>
      </w:r>
      <w:r>
        <w:rPr>
          <w:rFonts w:hint="eastAsia" w:hAnsi="仿宋" w:cs="仿宋"/>
          <w:b w:val="0"/>
          <w:bCs w:val="0"/>
          <w:color w:val="auto"/>
          <w:sz w:val="32"/>
          <w:szCs w:val="32"/>
          <w:highlight w:val="none"/>
          <w:u w:val="none"/>
          <w:lang w:eastAsia="zh-CN"/>
        </w:rPr>
        <w:t>或有关档案部门移交</w:t>
      </w:r>
      <w:r>
        <w:rPr>
          <w:rFonts w:hint="eastAsia" w:ascii="仿宋_GB2312" w:hAnsi="仿宋" w:eastAsia="仿宋_GB2312" w:cs="仿宋"/>
          <w:b w:val="0"/>
          <w:bCs w:val="0"/>
          <w:color w:val="auto"/>
          <w:sz w:val="32"/>
          <w:szCs w:val="32"/>
          <w:highlight w:val="none"/>
          <w:u w:val="none"/>
        </w:rPr>
        <w:t>。</w:t>
      </w:r>
    </w:p>
    <w:p w14:paraId="5885706C">
      <w:pPr>
        <w:spacing w:afterLines="0" w:line="560" w:lineRule="exact"/>
        <w:ind w:firstLine="640" w:firstLineChars="200"/>
        <w:jc w:val="center"/>
        <w:rPr>
          <w:rFonts w:ascii="仿宋_GB2312" w:hAnsi="仿宋" w:eastAsia="仿宋_GB2312" w:cs="仿宋"/>
          <w:b w:val="0"/>
          <w:bCs w:val="0"/>
          <w:color w:val="auto"/>
          <w:sz w:val="32"/>
          <w:szCs w:val="32"/>
          <w:highlight w:val="none"/>
          <w:u w:val="none"/>
        </w:rPr>
      </w:pPr>
    </w:p>
    <w:p w14:paraId="76AFAE84">
      <w:pPr>
        <w:spacing w:afterLines="0" w:line="560" w:lineRule="exact"/>
        <w:ind w:firstLine="640" w:firstLineChars="200"/>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w:t>
      </w:r>
      <w:r>
        <w:rPr>
          <w:rFonts w:hint="eastAsia" w:ascii="黑体" w:hAnsi="黑体" w:eastAsia="黑体" w:cs="仿宋"/>
          <w:b w:val="0"/>
          <w:bCs w:val="0"/>
          <w:color w:val="auto"/>
          <w:sz w:val="32"/>
          <w:szCs w:val="32"/>
          <w:highlight w:val="none"/>
          <w:u w:val="none"/>
          <w:lang w:val="en-US" w:eastAsia="zh-CN"/>
        </w:rPr>
        <w:t>七</w:t>
      </w:r>
      <w:r>
        <w:rPr>
          <w:rFonts w:hint="eastAsia" w:ascii="黑体" w:hAnsi="黑体" w:eastAsia="黑体" w:cs="仿宋"/>
          <w:b w:val="0"/>
          <w:bCs w:val="0"/>
          <w:color w:val="auto"/>
          <w:sz w:val="32"/>
          <w:szCs w:val="32"/>
          <w:highlight w:val="none"/>
          <w:u w:val="none"/>
        </w:rPr>
        <w:t>章  企业国有产权变动情况监督</w:t>
      </w:r>
    </w:p>
    <w:p w14:paraId="3757F1A5">
      <w:pPr>
        <w:numPr>
          <w:ilvl w:val="0"/>
          <w:numId w:val="1"/>
        </w:numPr>
        <w:spacing w:afterLines="0" w:line="560" w:lineRule="exact"/>
        <w:ind w:left="54" w:firstLine="640" w:firstLineChars="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各直管企业应建立相应的工作机制，保证产权监管系统中所属企业相关数据信息的及时性、完整性和准确性。</w:t>
      </w:r>
    </w:p>
    <w:p w14:paraId="161E98BC">
      <w:pPr>
        <w:numPr>
          <w:ilvl w:val="0"/>
          <w:numId w:val="1"/>
        </w:numPr>
        <w:spacing w:afterLines="0" w:line="560" w:lineRule="exact"/>
        <w:ind w:left="54" w:firstLine="640" w:firstLineChars="0"/>
        <w:rPr>
          <w:rFonts w:hint="eastAsia" w:ascii="仿宋_GB2312" w:hAnsi="仿宋" w:eastAsia="仿宋_GB2312" w:cs="仿宋"/>
          <w:b w:val="0"/>
          <w:bCs w:val="0"/>
          <w:color w:val="auto"/>
          <w:sz w:val="32"/>
          <w:szCs w:val="32"/>
          <w:highlight w:val="none"/>
          <w:u w:val="none"/>
        </w:rPr>
      </w:pPr>
      <w:bookmarkStart w:id="3" w:name="OLE_LINK11"/>
      <w:r>
        <w:rPr>
          <w:rFonts w:hint="eastAsia" w:ascii="仿宋_GB2312" w:hAnsi="仿宋" w:eastAsia="仿宋_GB2312" w:cs="仿宋"/>
          <w:b w:val="0"/>
          <w:bCs w:val="0"/>
          <w:color w:val="auto"/>
          <w:sz w:val="32"/>
          <w:szCs w:val="32"/>
          <w:highlight w:val="none"/>
          <w:u w:val="none"/>
        </w:rPr>
        <w:t>企业国有产权变动管理实行即时报告制度。直管企业应在每月5</w:t>
      </w:r>
      <w:r>
        <w:rPr>
          <w:rFonts w:hint="eastAsia" w:hAnsi="仿宋" w:cs="仿宋"/>
          <w:b w:val="0"/>
          <w:bCs w:val="0"/>
          <w:color w:val="auto"/>
          <w:sz w:val="32"/>
          <w:szCs w:val="32"/>
          <w:highlight w:val="none"/>
          <w:u w:val="none"/>
          <w:lang w:eastAsia="zh-CN"/>
        </w:rPr>
        <w:t>日</w:t>
      </w:r>
      <w:r>
        <w:rPr>
          <w:rFonts w:hint="eastAsia" w:ascii="仿宋_GB2312" w:hAnsi="仿宋" w:eastAsia="仿宋_GB2312" w:cs="仿宋"/>
          <w:b w:val="0"/>
          <w:bCs w:val="0"/>
          <w:color w:val="auto"/>
          <w:sz w:val="32"/>
          <w:szCs w:val="32"/>
          <w:highlight w:val="none"/>
          <w:u w:val="none"/>
        </w:rPr>
        <w:t>前，将国有产权变动项目的审批和实施进展的具体情况汇总上报至区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w:t>
      </w:r>
    </w:p>
    <w:bookmarkEnd w:id="3"/>
    <w:p w14:paraId="17AAC0B0">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负责对企业国有产权变动过程的合法性和合规性进行监督检查。指导和检查对象包括发生国有产权变动行为的企业、涉及的产权交易机构以及相关社会中介机构。</w:t>
      </w:r>
    </w:p>
    <w:p w14:paraId="6CEA509D">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通过产权监管系统等多种途径，采取企业自查和有关部门联合检查等多种方式对企业国有产权变动的全过程进行监测。发现问题的，应督促、指导相关企业及时规范。</w:t>
      </w:r>
    </w:p>
    <w:p w14:paraId="119AC8DB">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企业国有产权变动监督检查工作应当做到与本规定的贯彻落实相结合、与责任追究相结合、与完善防范相结合、与制度建设相结合。</w:t>
      </w:r>
    </w:p>
    <w:p w14:paraId="61D42C5C">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直管企业每年</w:t>
      </w:r>
      <w:r>
        <w:rPr>
          <w:rFonts w:hint="eastAsia"/>
          <w:highlight w:val="none"/>
          <w:lang w:val="en-US" w:eastAsia="zh-CN"/>
        </w:rPr>
        <w:t>1</w:t>
      </w:r>
      <w:r>
        <w:rPr>
          <w:rFonts w:hint="eastAsia"/>
          <w:highlight w:val="none"/>
          <w:lang w:eastAsia="zh-CN"/>
        </w:rPr>
        <w:t>月底前</w:t>
      </w:r>
      <w:r>
        <w:rPr>
          <w:rFonts w:hint="eastAsia" w:ascii="仿宋_GB2312" w:hAnsi="仿宋" w:eastAsia="仿宋_GB2312" w:cs="仿宋"/>
          <w:b w:val="0"/>
          <w:bCs w:val="0"/>
          <w:color w:val="auto"/>
          <w:sz w:val="32"/>
          <w:szCs w:val="32"/>
          <w:highlight w:val="none"/>
          <w:u w:val="none"/>
        </w:rPr>
        <w:t>对企业国有产权变动情况进行检查和分析，并以书面形式上报区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。检查内容包括：</w:t>
      </w:r>
    </w:p>
    <w:p w14:paraId="4DE5767D">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（一）企业国有产权变动的基本情况。</w:t>
      </w:r>
    </w:p>
    <w:p w14:paraId="629C7085">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（二）企业国有产权变动</w:t>
      </w:r>
      <w:r>
        <w:rPr>
          <w:rFonts w:hint="eastAsia" w:hAnsi="仿宋" w:cs="仿宋"/>
          <w:b w:val="0"/>
          <w:bCs w:val="0"/>
          <w:color w:val="auto"/>
          <w:sz w:val="32"/>
          <w:szCs w:val="32"/>
          <w:highlight w:val="none"/>
          <w:u w:val="none"/>
          <w:lang w:eastAsia="zh-CN"/>
        </w:rPr>
        <w:t>规定程序的执行情况</w:t>
      </w:r>
      <w:r>
        <w:rPr>
          <w:rFonts w:hint="eastAsia" w:ascii="仿宋_GB2312" w:hAnsi="仿宋" w:eastAsia="仿宋_GB2312" w:cs="仿宋"/>
          <w:b w:val="0"/>
          <w:bCs w:val="0"/>
          <w:color w:val="auto"/>
          <w:sz w:val="32"/>
          <w:szCs w:val="32"/>
          <w:highlight w:val="none"/>
          <w:u w:val="none"/>
        </w:rPr>
        <w:t>。</w:t>
      </w:r>
    </w:p>
    <w:p w14:paraId="70FB4B75">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（三）企业国有产</w:t>
      </w:r>
      <w:r>
        <w:rPr>
          <w:rFonts w:hint="eastAsia" w:hAnsi="仿宋" w:cs="仿宋"/>
          <w:b w:val="0"/>
          <w:bCs w:val="0"/>
          <w:color w:val="auto"/>
          <w:sz w:val="32"/>
          <w:szCs w:val="32"/>
          <w:highlight w:val="none"/>
          <w:u w:val="none"/>
          <w:lang w:eastAsia="zh-CN"/>
        </w:rPr>
        <w:t>权</w:t>
      </w:r>
      <w:r>
        <w:rPr>
          <w:rFonts w:hint="eastAsia" w:ascii="仿宋_GB2312" w:hAnsi="仿宋" w:eastAsia="仿宋_GB2312" w:cs="仿宋"/>
          <w:b w:val="0"/>
          <w:bCs w:val="0"/>
          <w:color w:val="auto"/>
          <w:sz w:val="32"/>
          <w:szCs w:val="32"/>
          <w:highlight w:val="none"/>
          <w:u w:val="none"/>
        </w:rPr>
        <w:t>交易情况。</w:t>
      </w:r>
    </w:p>
    <w:p w14:paraId="1AF03316">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四</w:t>
      </w:r>
      <w:r>
        <w:rPr>
          <w:rFonts w:hint="eastAsia" w:ascii="仿宋_GB2312" w:hAnsi="仿宋" w:eastAsia="仿宋_GB2312" w:cs="仿宋"/>
          <w:b w:val="0"/>
          <w:bCs w:val="0"/>
          <w:color w:val="auto"/>
          <w:sz w:val="32"/>
          <w:szCs w:val="32"/>
          <w:highlight w:val="none"/>
          <w:u w:val="none"/>
        </w:rPr>
        <w:t>）产权</w:t>
      </w:r>
      <w:r>
        <w:rPr>
          <w:rFonts w:hint="eastAsia" w:hAnsi="仿宋" w:cs="仿宋"/>
          <w:b w:val="0"/>
          <w:bCs w:val="0"/>
          <w:color w:val="auto"/>
          <w:sz w:val="32"/>
          <w:szCs w:val="32"/>
          <w:highlight w:val="none"/>
          <w:u w:val="none"/>
          <w:lang w:eastAsia="zh-CN"/>
        </w:rPr>
        <w:t>变动</w:t>
      </w:r>
      <w:r>
        <w:rPr>
          <w:rFonts w:hint="eastAsia" w:ascii="仿宋_GB2312" w:hAnsi="仿宋" w:eastAsia="仿宋_GB2312" w:cs="仿宋"/>
          <w:b w:val="0"/>
          <w:bCs w:val="0"/>
          <w:color w:val="auto"/>
          <w:sz w:val="32"/>
          <w:szCs w:val="32"/>
          <w:highlight w:val="none"/>
          <w:u w:val="none"/>
        </w:rPr>
        <w:t>合同的实施</w:t>
      </w:r>
      <w:r>
        <w:rPr>
          <w:rFonts w:hint="eastAsia" w:hAnsi="仿宋" w:cs="仿宋"/>
          <w:b w:val="0"/>
          <w:bCs w:val="0"/>
          <w:color w:val="auto"/>
          <w:sz w:val="32"/>
          <w:szCs w:val="32"/>
          <w:highlight w:val="none"/>
          <w:u w:val="none"/>
          <w:lang w:eastAsia="zh-CN"/>
        </w:rPr>
        <w:t>、交易</w:t>
      </w:r>
      <w:r>
        <w:rPr>
          <w:rFonts w:hint="eastAsia" w:ascii="仿宋_GB2312" w:hAnsi="仿宋" w:eastAsia="仿宋_GB2312" w:cs="仿宋"/>
          <w:b w:val="0"/>
          <w:bCs w:val="0"/>
          <w:color w:val="auto"/>
          <w:sz w:val="32"/>
          <w:szCs w:val="32"/>
          <w:highlight w:val="none"/>
          <w:u w:val="none"/>
        </w:rPr>
        <w:t>价款的支付</w:t>
      </w:r>
      <w:r>
        <w:rPr>
          <w:rFonts w:hint="eastAsia" w:hAnsi="仿宋" w:cs="仿宋"/>
          <w:b w:val="0"/>
          <w:bCs w:val="0"/>
          <w:color w:val="auto"/>
          <w:sz w:val="32"/>
          <w:szCs w:val="32"/>
          <w:highlight w:val="none"/>
          <w:u w:val="none"/>
          <w:lang w:eastAsia="zh-CN"/>
        </w:rPr>
        <w:t>以及账务处理</w:t>
      </w:r>
      <w:r>
        <w:rPr>
          <w:rFonts w:hint="eastAsia" w:ascii="仿宋_GB2312" w:hAnsi="仿宋" w:eastAsia="仿宋_GB2312" w:cs="仿宋"/>
          <w:b w:val="0"/>
          <w:bCs w:val="0"/>
          <w:color w:val="auto"/>
          <w:sz w:val="32"/>
          <w:szCs w:val="32"/>
          <w:highlight w:val="none"/>
          <w:u w:val="none"/>
        </w:rPr>
        <w:t>情况。</w:t>
      </w:r>
    </w:p>
    <w:p w14:paraId="2509DCEF">
      <w:pPr>
        <w:spacing w:afterLines="0" w:line="560" w:lineRule="exact"/>
        <w:ind w:firstLine="640" w:firstLineChars="200"/>
        <w:rPr>
          <w:rFonts w:hint="eastAsia" w:hAnsi="仿宋" w:cs="仿宋"/>
          <w:b w:val="0"/>
          <w:bCs w:val="0"/>
          <w:color w:val="auto"/>
          <w:sz w:val="32"/>
          <w:szCs w:val="32"/>
          <w:highlight w:val="none"/>
          <w:u w:val="none"/>
          <w:lang w:eastAsia="zh-CN"/>
        </w:rPr>
      </w:pP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五</w:t>
      </w:r>
      <w:r>
        <w:rPr>
          <w:rFonts w:hint="eastAsia" w:ascii="仿宋_GB2312" w:hAnsi="仿宋" w:eastAsia="仿宋_GB2312" w:cs="仿宋"/>
          <w:b w:val="0"/>
          <w:bCs w:val="0"/>
          <w:color w:val="auto"/>
          <w:sz w:val="32"/>
          <w:szCs w:val="32"/>
          <w:highlight w:val="none"/>
          <w:u w:val="none"/>
        </w:rPr>
        <w:t>）</w:t>
      </w:r>
      <w:r>
        <w:rPr>
          <w:rFonts w:hint="eastAsia" w:hAnsi="仿宋" w:cs="仿宋"/>
          <w:b w:val="0"/>
          <w:bCs w:val="0"/>
          <w:color w:val="auto"/>
          <w:sz w:val="32"/>
          <w:szCs w:val="32"/>
          <w:highlight w:val="none"/>
          <w:u w:val="none"/>
          <w:lang w:eastAsia="zh-CN"/>
        </w:rPr>
        <w:t>企业国有</w:t>
      </w:r>
      <w:r>
        <w:rPr>
          <w:rFonts w:hint="eastAsia" w:ascii="仿宋_GB2312" w:hAnsi="仿宋" w:eastAsia="仿宋_GB2312" w:cs="仿宋"/>
          <w:b w:val="0"/>
          <w:bCs w:val="0"/>
          <w:color w:val="auto"/>
          <w:sz w:val="32"/>
          <w:szCs w:val="32"/>
          <w:highlight w:val="none"/>
          <w:u w:val="none"/>
        </w:rPr>
        <w:t>产权</w:t>
      </w:r>
      <w:r>
        <w:rPr>
          <w:rFonts w:hint="eastAsia" w:hAnsi="仿宋" w:cs="仿宋"/>
          <w:b w:val="0"/>
          <w:bCs w:val="0"/>
          <w:color w:val="auto"/>
          <w:sz w:val="32"/>
          <w:szCs w:val="32"/>
          <w:highlight w:val="none"/>
          <w:u w:val="none"/>
          <w:lang w:eastAsia="zh-CN"/>
        </w:rPr>
        <w:t>变动涉及各方按规定履职情况。</w:t>
      </w:r>
    </w:p>
    <w:p w14:paraId="594ABB82">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hAnsi="仿宋" w:cs="仿宋"/>
          <w:b w:val="0"/>
          <w:bCs w:val="0"/>
          <w:color w:val="auto"/>
          <w:sz w:val="32"/>
          <w:szCs w:val="32"/>
          <w:highlight w:val="none"/>
          <w:u w:val="none"/>
          <w:lang w:eastAsia="zh-CN"/>
        </w:rPr>
        <w:t>（六）</w:t>
      </w:r>
      <w:r>
        <w:rPr>
          <w:rFonts w:hint="eastAsia" w:ascii="仿宋_GB2312" w:hAnsi="仿宋" w:eastAsia="仿宋_GB2312" w:cs="仿宋"/>
          <w:b w:val="0"/>
          <w:bCs w:val="0"/>
          <w:color w:val="auto"/>
          <w:sz w:val="32"/>
          <w:szCs w:val="32"/>
          <w:highlight w:val="none"/>
          <w:u w:val="none"/>
        </w:rPr>
        <w:t>企业国有产权变动中涉及上市公司国有股权管理、向外商转让国有产权、国有划拨土地使用权转让的，执行国家相关政策规定的情况。</w:t>
      </w:r>
    </w:p>
    <w:p w14:paraId="27B107D0">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（七）员工安置情况。</w:t>
      </w:r>
    </w:p>
    <w:p w14:paraId="224D510C">
      <w:pPr>
        <w:spacing w:afterLines="0"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（八）存在的问题和其他需要说明的情况。</w:t>
      </w:r>
    </w:p>
    <w:p w14:paraId="1B81DA7B">
      <w:pPr>
        <w:numPr>
          <w:ilvl w:val="0"/>
          <w:numId w:val="1"/>
        </w:numPr>
        <w:spacing w:afterLines="0" w:line="560" w:lineRule="exact"/>
        <w:ind w:left="0"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负责对企业国有产权变动情况进行监督检查，检查内容包括：</w:t>
      </w:r>
    </w:p>
    <w:p w14:paraId="0BB5FC3F">
      <w:pPr>
        <w:spacing w:afterLines="0" w:line="560" w:lineRule="exact"/>
        <w:ind w:firstLine="640" w:firstLineChars="200"/>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（一）企业国有产权变动规定程序的执行情况、交易情况和涉及各方按规定履职情况。</w:t>
      </w:r>
    </w:p>
    <w:p w14:paraId="78B7FB11">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（二）产权变动合同的实施、交易价款的支付以及账务处理情况。</w:t>
      </w:r>
    </w:p>
    <w:p w14:paraId="060C4F9A">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（三）企业国有产权变动中涉及上市公司国有股权管理、向外商转让国有产权、国有划拨土地使用权转让的，执行国家相关政策规定的情况。</w:t>
      </w:r>
    </w:p>
    <w:p w14:paraId="226E71A5">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（四）员工安置情况。</w:t>
      </w:r>
    </w:p>
    <w:p w14:paraId="566F7F29">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（五）存在的问题和其他需要说明的情况。</w:t>
      </w:r>
    </w:p>
    <w:p w14:paraId="6FDE302C">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将定期或不定期对企业国有产权变动情况进行抽查，检查产权变动决策审批、审计、资产评估、产权交易以及合同执行等项目操作全过程，并及时处理所发现问题。</w:t>
      </w:r>
    </w:p>
    <w:p w14:paraId="6DF99327">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发现产权单位在产权变动操作中未执行或违反相关规定、侵害国有权益的，应当责成其停止交易活动。</w:t>
      </w:r>
    </w:p>
    <w:p w14:paraId="3DBCF74C">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选择的产权交易机构应当满足以下条件：</w:t>
      </w:r>
    </w:p>
    <w:p w14:paraId="291025BB">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（一）严格遵守国家法律法规，未从事政府明令禁止开展的业务，未发生重大违法违规行为。</w:t>
      </w:r>
    </w:p>
    <w:p w14:paraId="68930F5C">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（二）交易管理制度、业务规则、收费标准等向社会公开，交易规则符合国有资产交易制度规定。</w:t>
      </w:r>
    </w:p>
    <w:p w14:paraId="50C1B23B">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（三）拥有组织交易活动的场所、设施、信息发布渠道和专业人员，具备实施网络竞价的条件。</w:t>
      </w:r>
    </w:p>
    <w:p w14:paraId="4094155A">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（四）具有较强的市场影响力，服务能力和水平能够满足企业国有资产交易的需要。</w:t>
      </w:r>
    </w:p>
    <w:p w14:paraId="0EEDB4B4">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（五）信息化建设和管理水平满足区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对交易业务动态监测的要求。</w:t>
      </w:r>
    </w:p>
    <w:p w14:paraId="407C58DE">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对产权交易机构开展企业国有资产交易业务的情况进行动态监督。交易机构出现以下情形的，视情节轻重对其进行提醒、警告、通报、暂停直至停止委托从事相关业务：</w:t>
      </w:r>
    </w:p>
    <w:p w14:paraId="11CCFB4A">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（一）服务能力和服务水平较差，市场功能未得到充分发挥。</w:t>
      </w:r>
    </w:p>
    <w:p w14:paraId="1D5F8ECB">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（二）在日常监管和定期检查评审中发现问题较多，且整改不及时或整改效果不明显。</w:t>
      </w:r>
    </w:p>
    <w:p w14:paraId="3696F2DA">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（三）因违规操作、重大过失等导致企业国有资产在交易过程中出现损失。</w:t>
      </w:r>
    </w:p>
    <w:p w14:paraId="542F3629">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（四）违反相关规定，被政府有关部门予以行政处罚而影响业务开展。</w:t>
      </w:r>
    </w:p>
    <w:p w14:paraId="274AD460">
      <w:pPr>
        <w:spacing w:afterLines="0" w:line="560" w:lineRule="exact"/>
        <w:ind w:firstLine="640" w:firstLineChars="20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（五）拒绝接受区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对其相关业务开展监督检查。</w:t>
      </w:r>
    </w:p>
    <w:p w14:paraId="3D998BE2">
      <w:pPr>
        <w:keepNext w:val="0"/>
        <w:keepLines w:val="0"/>
        <w:pageBreakBefore w:val="0"/>
        <w:widowControl w:val="0"/>
        <w:tabs>
          <w:tab w:val="center" w:pos="4533"/>
          <w:tab w:val="left" w:pos="6373"/>
        </w:tabs>
        <w:kinsoku/>
        <w:wordWrap/>
        <w:overflowPunct/>
        <w:topLinePunct w:val="0"/>
        <w:autoSpaceDE/>
        <w:autoSpaceDN/>
        <w:bidi w:val="0"/>
        <w:adjustRightInd/>
        <w:snapToGrid/>
        <w:spacing w:afterLines="0" w:line="560" w:lineRule="exact"/>
        <w:ind w:firstLine="640" w:firstLineChars="200"/>
        <w:jc w:val="left"/>
        <w:textAlignment w:val="auto"/>
        <w:rPr>
          <w:rFonts w:hint="eastAsia"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（六）不能满足区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监管要求的其他情形。</w:t>
      </w:r>
    </w:p>
    <w:p w14:paraId="00681D8A">
      <w:pPr>
        <w:spacing w:afterLines="0" w:line="560" w:lineRule="exact"/>
        <w:ind w:firstLine="640" w:firstLineChars="200"/>
        <w:jc w:val="center"/>
        <w:rPr>
          <w:rFonts w:hint="eastAsia" w:ascii="黑体" w:hAnsi="黑体" w:eastAsia="黑体" w:cs="仿宋"/>
          <w:b w:val="0"/>
          <w:bCs w:val="0"/>
          <w:color w:val="auto"/>
          <w:sz w:val="32"/>
          <w:szCs w:val="32"/>
          <w:highlight w:val="none"/>
          <w:u w:val="none"/>
        </w:rPr>
      </w:pPr>
    </w:p>
    <w:p w14:paraId="2823A9B1">
      <w:pPr>
        <w:spacing w:afterLines="0" w:line="560" w:lineRule="exact"/>
        <w:ind w:firstLine="640" w:firstLineChars="200"/>
        <w:jc w:val="center"/>
        <w:rPr>
          <w:rFonts w:ascii="黑体" w:hAnsi="黑体" w:eastAsia="黑体" w:cs="仿宋"/>
          <w:b w:val="0"/>
          <w:bCs w:val="0"/>
          <w:color w:val="auto"/>
          <w:sz w:val="32"/>
          <w:szCs w:val="32"/>
          <w:highlight w:val="none"/>
          <w:u w:val="none"/>
        </w:rPr>
      </w:pPr>
      <w:r>
        <w:rPr>
          <w:rFonts w:hint="eastAsia" w:ascii="黑体" w:hAnsi="黑体" w:eastAsia="黑体" w:cs="仿宋"/>
          <w:b w:val="0"/>
          <w:bCs w:val="0"/>
          <w:color w:val="auto"/>
          <w:sz w:val="32"/>
          <w:szCs w:val="32"/>
          <w:highlight w:val="none"/>
          <w:u w:val="none"/>
        </w:rPr>
        <w:t>第</w:t>
      </w:r>
      <w:r>
        <w:rPr>
          <w:rFonts w:hint="eastAsia" w:ascii="黑体" w:hAnsi="黑体" w:eastAsia="黑体" w:cs="仿宋"/>
          <w:b w:val="0"/>
          <w:bCs w:val="0"/>
          <w:color w:val="auto"/>
          <w:sz w:val="32"/>
          <w:szCs w:val="32"/>
          <w:highlight w:val="none"/>
          <w:u w:val="none"/>
          <w:lang w:val="en-US" w:eastAsia="zh-CN"/>
        </w:rPr>
        <w:t>八</w:t>
      </w:r>
      <w:r>
        <w:rPr>
          <w:rFonts w:hint="eastAsia" w:ascii="黑体" w:hAnsi="黑体" w:eastAsia="黑体" w:cs="仿宋"/>
          <w:b w:val="0"/>
          <w:bCs w:val="0"/>
          <w:color w:val="auto"/>
          <w:sz w:val="32"/>
          <w:szCs w:val="32"/>
          <w:highlight w:val="none"/>
          <w:u w:val="none"/>
        </w:rPr>
        <w:t>章   附则</w:t>
      </w:r>
    </w:p>
    <w:p w14:paraId="4516BB56">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bookmarkStart w:id="4" w:name="_Hlk44014141"/>
      <w:r>
        <w:rPr>
          <w:rFonts w:hint="eastAsia" w:ascii="仿宋_GB2312" w:hAnsi="仿宋" w:eastAsia="仿宋_GB2312" w:cs="仿宋"/>
          <w:b w:val="0"/>
          <w:bCs w:val="0"/>
          <w:color w:val="auto"/>
          <w:sz w:val="32"/>
          <w:szCs w:val="32"/>
          <w:highlight w:val="none"/>
          <w:u w:val="none"/>
        </w:rPr>
        <w:t>本规定所称“以上”含本数，“以下”不含本数；金额币别为人民币。</w:t>
      </w:r>
      <w:bookmarkEnd w:id="4"/>
    </w:p>
    <w:p w14:paraId="274C70BD">
      <w:pPr>
        <w:numPr>
          <w:ilvl w:val="0"/>
          <w:numId w:val="1"/>
        </w:numPr>
        <w:spacing w:afterLines="0" w:line="560" w:lineRule="exact"/>
        <w:ind w:left="54" w:firstLine="640" w:firstLineChars="0"/>
        <w:rPr>
          <w:rFonts w:ascii="仿宋_GB2312" w:hAnsi="仿宋" w:eastAsia="仿宋_GB2312" w:cs="仿宋"/>
          <w:b w:val="0"/>
          <w:bCs w:val="0"/>
          <w:color w:val="auto"/>
          <w:sz w:val="32"/>
          <w:szCs w:val="32"/>
          <w:highlight w:val="none"/>
          <w:u w:val="none"/>
        </w:rPr>
      </w:pPr>
      <w:r>
        <w:rPr>
          <w:rFonts w:hint="eastAsia" w:ascii="仿宋_GB2312" w:hAnsi="仿宋" w:eastAsia="仿宋_GB2312" w:cs="仿宋"/>
          <w:b w:val="0"/>
          <w:bCs w:val="0"/>
          <w:color w:val="auto"/>
          <w:sz w:val="32"/>
          <w:szCs w:val="32"/>
          <w:highlight w:val="none"/>
          <w:u w:val="none"/>
        </w:rPr>
        <w:t>本规定由区</w:t>
      </w:r>
      <w:r>
        <w:rPr>
          <w:rFonts w:hint="default" w:hAnsi="仿宋" w:cs="仿宋"/>
          <w:b w:val="0"/>
          <w:bCs w:val="0"/>
          <w:color w:val="auto"/>
          <w:sz w:val="32"/>
          <w:szCs w:val="32"/>
          <w:highlight w:val="none"/>
          <w:u w:val="none"/>
          <w:lang w:val="en"/>
        </w:rPr>
        <w:t>国资监管部门</w:t>
      </w:r>
      <w:r>
        <w:rPr>
          <w:rFonts w:hint="eastAsia" w:ascii="仿宋_GB2312" w:hAnsi="仿宋" w:eastAsia="仿宋_GB2312" w:cs="仿宋"/>
          <w:b w:val="0"/>
          <w:bCs w:val="0"/>
          <w:color w:val="auto"/>
          <w:sz w:val="32"/>
          <w:szCs w:val="32"/>
          <w:highlight w:val="none"/>
          <w:u w:val="none"/>
        </w:rPr>
        <w:t>负责解释。</w:t>
      </w:r>
      <w:r>
        <w:rPr>
          <w:rFonts w:hint="eastAsia" w:ascii="仿宋_GB2312" w:hAnsi="仿宋" w:eastAsia="仿宋_GB2312" w:cs="仿宋"/>
          <w:color w:val="auto"/>
          <w:sz w:val="32"/>
          <w:szCs w:val="32"/>
          <w:highlight w:val="none"/>
          <w:u w:val="none"/>
        </w:rPr>
        <w:t>本</w:t>
      </w:r>
      <w:r>
        <w:rPr>
          <w:rFonts w:hint="eastAsia" w:ascii="仿宋_GB2312" w:hAnsi="仿宋" w:eastAsia="仿宋_GB2312" w:cs="仿宋"/>
          <w:color w:val="auto"/>
          <w:sz w:val="32"/>
          <w:szCs w:val="32"/>
          <w:highlight w:val="none"/>
          <w:u w:val="none"/>
          <w:lang w:val="en-US" w:eastAsia="zh-CN"/>
        </w:rPr>
        <w:t>规定</w:t>
      </w:r>
      <w:r>
        <w:rPr>
          <w:rFonts w:hint="eastAsia" w:ascii="仿宋_GB2312" w:hAnsi="仿宋" w:eastAsia="仿宋_GB2312" w:cs="仿宋"/>
          <w:color w:val="auto"/>
          <w:sz w:val="32"/>
          <w:szCs w:val="32"/>
          <w:highlight w:val="none"/>
          <w:u w:val="none"/>
        </w:rPr>
        <w:t>未尽事宜，由区</w:t>
      </w:r>
      <w:r>
        <w:rPr>
          <w:rFonts w:hint="default" w:hAnsi="仿宋" w:cs="仿宋"/>
          <w:color w:val="auto"/>
          <w:sz w:val="32"/>
          <w:szCs w:val="32"/>
          <w:highlight w:val="none"/>
          <w:u w:val="none"/>
          <w:lang w:val="en"/>
        </w:rPr>
        <w:t>国资监管部门</w:t>
      </w:r>
      <w:r>
        <w:rPr>
          <w:rFonts w:hint="eastAsia" w:ascii="仿宋_GB2312" w:hAnsi="仿宋" w:eastAsia="仿宋_GB2312" w:cs="仿宋"/>
          <w:color w:val="auto"/>
          <w:sz w:val="32"/>
          <w:szCs w:val="32"/>
          <w:highlight w:val="none"/>
          <w:u w:val="none"/>
        </w:rPr>
        <w:t>另行制定相关制度规范。</w:t>
      </w:r>
    </w:p>
    <w:p w14:paraId="6ED58575">
      <w:pPr>
        <w:numPr>
          <w:ilvl w:val="0"/>
          <w:numId w:val="1"/>
        </w:numPr>
        <w:spacing w:afterLines="0" w:line="560" w:lineRule="exact"/>
        <w:ind w:left="54" w:firstLine="640" w:firstLineChars="0"/>
        <w:rPr>
          <w:rFonts w:ascii="仿宋" w:hAnsi="仿宋" w:eastAsia="仿宋" w:cs="仿宋"/>
          <w:color w:val="auto"/>
          <w:highlight w:val="none"/>
          <w:u w:val="none"/>
        </w:rPr>
      </w:pPr>
      <w:r>
        <w:rPr>
          <w:rFonts w:hint="eastAsia" w:ascii="仿宋_GB2312" w:hAnsi="仿宋" w:eastAsia="仿宋_GB2312" w:cs="仿宋"/>
          <w:color w:val="auto"/>
          <w:sz w:val="32"/>
          <w:szCs w:val="32"/>
          <w:highlight w:val="none"/>
          <w:u w:val="none"/>
        </w:rPr>
        <w:t>本</w:t>
      </w:r>
      <w:r>
        <w:rPr>
          <w:rFonts w:hint="eastAsia" w:ascii="仿宋_GB2312" w:hAnsi="仿宋" w:eastAsia="仿宋_GB2312" w:cs="仿宋"/>
          <w:color w:val="auto"/>
          <w:sz w:val="32"/>
          <w:szCs w:val="32"/>
          <w:highlight w:val="none"/>
          <w:u w:val="none"/>
          <w:lang w:val="en-US" w:eastAsia="zh-CN"/>
        </w:rPr>
        <w:t>规定</w:t>
      </w:r>
      <w:r>
        <w:rPr>
          <w:rFonts w:hint="eastAsia" w:ascii="仿宋_GB2312" w:hAnsi="仿宋" w:eastAsia="仿宋_GB2312" w:cs="仿宋"/>
          <w:color w:val="auto"/>
          <w:sz w:val="32"/>
          <w:szCs w:val="32"/>
          <w:highlight w:val="none"/>
          <w:u w:val="none"/>
        </w:rPr>
        <w:t>自</w:t>
      </w:r>
      <w:r>
        <w:rPr>
          <w:rFonts w:hint="eastAsia" w:ascii="仿宋_GB2312" w:hAnsi="仿宋" w:eastAsia="仿宋_GB2312" w:cs="仿宋"/>
          <w:color w:val="auto"/>
          <w:sz w:val="32"/>
          <w:szCs w:val="32"/>
          <w:highlight w:val="none"/>
          <w:u w:val="none"/>
          <w:lang w:val="en-US" w:eastAsia="zh-CN"/>
        </w:rPr>
        <w:t>202</w:t>
      </w:r>
      <w:r>
        <w:rPr>
          <w:rFonts w:hint="eastAsia" w:hAnsi="仿宋" w:cs="宋体"/>
          <w:color w:val="auto"/>
          <w:sz w:val="32"/>
          <w:szCs w:val="28"/>
          <w:highlight w:val="none"/>
          <w:u w:val="none"/>
          <w:lang w:val="en-US" w:eastAsia="zh-CN"/>
        </w:rPr>
        <w:t>6</w:t>
      </w:r>
      <w:r>
        <w:rPr>
          <w:rFonts w:hint="eastAsia" w:ascii="仿宋_GB2312" w:hAnsi="仿宋" w:eastAsia="仿宋_GB2312" w:cs="宋体"/>
          <w:color w:val="auto"/>
          <w:sz w:val="32"/>
          <w:szCs w:val="28"/>
          <w:highlight w:val="none"/>
          <w:u w:val="none"/>
          <w:lang w:val="en-US" w:eastAsia="zh-CN"/>
        </w:rPr>
        <w:t>年</w:t>
      </w:r>
      <w:r>
        <w:rPr>
          <w:rFonts w:hint="eastAsia" w:hAnsi="仿宋" w:cs="宋体"/>
          <w:color w:val="auto"/>
          <w:sz w:val="32"/>
          <w:szCs w:val="28"/>
          <w:highlight w:val="none"/>
          <w:u w:val="none"/>
          <w:lang w:val="en-US" w:eastAsia="zh-CN"/>
        </w:rPr>
        <w:t>3</w:t>
      </w:r>
      <w:r>
        <w:rPr>
          <w:rFonts w:hint="eastAsia" w:ascii="仿宋_GB2312" w:hAnsi="仿宋" w:eastAsia="仿宋_GB2312" w:cs="宋体"/>
          <w:color w:val="auto"/>
          <w:sz w:val="32"/>
          <w:szCs w:val="28"/>
          <w:highlight w:val="none"/>
          <w:u w:val="none"/>
          <w:lang w:val="en-US" w:eastAsia="zh-CN"/>
        </w:rPr>
        <w:t>月</w:t>
      </w:r>
      <w:r>
        <w:rPr>
          <w:rFonts w:hint="eastAsia" w:hAnsi="仿宋" w:cs="宋体"/>
          <w:color w:val="auto"/>
          <w:sz w:val="32"/>
          <w:szCs w:val="28"/>
          <w:highlight w:val="none"/>
          <w:u w:val="none"/>
          <w:lang w:val="en-US" w:eastAsia="zh-CN"/>
        </w:rPr>
        <w:t>1日</w:t>
      </w:r>
      <w:r>
        <w:rPr>
          <w:rFonts w:hint="eastAsia" w:ascii="仿宋_GB2312" w:hAnsi="仿宋" w:eastAsia="仿宋_GB2312" w:cs="仿宋"/>
          <w:color w:val="auto"/>
          <w:sz w:val="32"/>
          <w:szCs w:val="32"/>
          <w:highlight w:val="none"/>
          <w:u w:val="none"/>
        </w:rPr>
        <w:t>起施行</w:t>
      </w:r>
      <w:r>
        <w:rPr>
          <w:rFonts w:hint="eastAsia" w:ascii="仿宋_GB2312" w:hAnsi="仿宋" w:eastAsia="仿宋_GB2312" w:cs="仿宋"/>
          <w:b w:val="0"/>
          <w:bCs w:val="0"/>
          <w:color w:val="auto"/>
          <w:sz w:val="32"/>
          <w:szCs w:val="32"/>
          <w:highlight w:val="none"/>
          <w:u w:val="none"/>
          <w:lang w:eastAsia="zh-CN"/>
        </w:rPr>
        <w:t>。</w:t>
      </w:r>
    </w:p>
    <w:p w14:paraId="31479EB1">
      <w:pPr>
        <w:shd w:val="clear" w:color="auto" w:fill="auto"/>
        <w:spacing w:line="560" w:lineRule="exact"/>
        <w:ind w:firstLine="0" w:firstLineChars="0"/>
        <w:rPr>
          <w:highlight w:val="none"/>
          <w:u w:val="none"/>
        </w:rPr>
      </w:pPr>
    </w:p>
    <w:sectPr>
      <w:headerReference r:id="rId3" w:type="default"/>
      <w:footerReference r:id="rId4" w:type="default"/>
      <w:pgSz w:w="11906" w:h="16838"/>
      <w:pgMar w:top="2098" w:right="1474" w:bottom="1984" w:left="1587" w:header="851" w:footer="1417"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9DC2A">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2AF7FFC">
                          <w:pPr>
                            <w:pStyle w:val="4"/>
                            <w:rPr>
                              <w:rFonts w:hint="eastAsia" w:eastAsia="仿宋_GB2312"/>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3</w:t>
                          </w:r>
                          <w:r>
                            <w:rPr>
                              <w:rFonts w:hint="eastAsia" w:ascii="仿宋_GB2312" w:hAnsi="仿宋_GB2312" w:eastAsia="仿宋_GB2312" w:cs="仿宋_GB2312"/>
                              <w:sz w:val="24"/>
                              <w:szCs w:val="24"/>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JauOxM0BAACnAwAADgAAAAAAAAABACAAAAAeAQAAZHJzL2Uy&#10;b0RvYy54bWxQSwUGAAAAAAYABgBZAQAAXQUAAAAA&#10;">
              <v:fill on="f" focussize="0,0"/>
              <v:stroke on="f"/>
              <v:imagedata o:title=""/>
              <o:lock v:ext="edit" aspectratio="f"/>
              <v:textbox inset="0mm,0mm,0mm,0mm" style="mso-fit-shape-to-text:t;">
                <w:txbxContent>
                  <w:p w14:paraId="22AF7FFC">
                    <w:pPr>
                      <w:pStyle w:val="4"/>
                      <w:rPr>
                        <w:rFonts w:hint="eastAsia" w:eastAsia="仿宋_GB2312"/>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3</w:t>
                    </w:r>
                    <w:r>
                      <w:rPr>
                        <w:rFonts w:hint="eastAsia" w:ascii="仿宋_GB2312" w:hAnsi="仿宋_GB2312" w:eastAsia="仿宋_GB2312" w:cs="仿宋_GB2312"/>
                        <w:sz w:val="24"/>
                        <w:szCs w:val="24"/>
                        <w:lang w:eastAsia="zh-CN"/>
                      </w:rPr>
                      <w:fldChar w:fldCharType="end"/>
                    </w:r>
                  </w:p>
                </w:txbxContent>
              </v:textbox>
            </v:shape>
          </w:pict>
        </mc:Fallback>
      </mc:AlternateContent>
    </w:r>
  </w:p>
  <w:p w14:paraId="692AB5B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EB80A">
    <w:pPr>
      <w:pStyle w:val="5"/>
      <w:pBdr>
        <w:bottom w:val="none" w:color="auto" w:sz="0" w:space="0"/>
      </w:pBdr>
    </w:pPr>
  </w:p>
  <w:p w14:paraId="159BE2A6">
    <w:pPr>
      <w:pStyle w:val="5"/>
      <w:pBdr>
        <w:bottom w:val="none" w:color="auto" w:sz="0" w:space="0"/>
      </w:pBdr>
    </w:pPr>
  </w:p>
  <w:p w14:paraId="33D87BA4">
    <w:pPr>
      <w:pStyle w:val="5"/>
      <w:pBdr>
        <w:bottom w:val="none" w:color="auto" w:sz="0" w:space="0"/>
      </w:pBdr>
      <w:jc w:val="right"/>
      <w:rPr>
        <w:rFonts w:hint="eastAsia" w:eastAsia="宋体"/>
        <w:sz w:val="24"/>
        <w:szCs w:val="28"/>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E31140"/>
    <w:multiLevelType w:val="multilevel"/>
    <w:tmpl w:val="77E31140"/>
    <w:lvl w:ilvl="0" w:tentative="0">
      <w:start w:val="1"/>
      <w:numFmt w:val="chineseCountingThousand"/>
      <w:lvlText w:val="第%1条"/>
      <w:lvlJc w:val="left"/>
      <w:pPr>
        <w:ind w:left="1467" w:hanging="420"/>
      </w:pPr>
      <w:rPr>
        <w:rFonts w:hint="eastAsia" w:ascii="仿宋_GB2312" w:hAnsi="仿宋_GB2312" w:eastAsia="仿宋_GB2312" w:cs="仿宋_GB2312"/>
        <w:b/>
        <w:color w:val="auto"/>
        <w:sz w:val="32"/>
        <w:szCs w:val="32"/>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RhNThiMmUwOGM0MDZlOWNmMDhmYThiYTllZTg0ZDkifQ=="/>
  </w:docVars>
  <w:rsids>
    <w:rsidRoot w:val="00000000"/>
    <w:rsid w:val="027A6905"/>
    <w:rsid w:val="04D95A1D"/>
    <w:rsid w:val="04FF3D68"/>
    <w:rsid w:val="06FE6627"/>
    <w:rsid w:val="07BB1BEE"/>
    <w:rsid w:val="07D74439"/>
    <w:rsid w:val="07F7F415"/>
    <w:rsid w:val="09BB5873"/>
    <w:rsid w:val="0A171778"/>
    <w:rsid w:val="0B0C1F3E"/>
    <w:rsid w:val="0BB68240"/>
    <w:rsid w:val="0FDDD668"/>
    <w:rsid w:val="101E46CB"/>
    <w:rsid w:val="13127628"/>
    <w:rsid w:val="135B5CA2"/>
    <w:rsid w:val="15B93F7C"/>
    <w:rsid w:val="165E1A4D"/>
    <w:rsid w:val="167C1BC6"/>
    <w:rsid w:val="174B51AA"/>
    <w:rsid w:val="177D6515"/>
    <w:rsid w:val="17FAB2B0"/>
    <w:rsid w:val="192A068F"/>
    <w:rsid w:val="197A737A"/>
    <w:rsid w:val="1B557588"/>
    <w:rsid w:val="1E3CF1BF"/>
    <w:rsid w:val="1EF947E5"/>
    <w:rsid w:val="1EFFC6A1"/>
    <w:rsid w:val="1F779317"/>
    <w:rsid w:val="1FBE78A4"/>
    <w:rsid w:val="1FD707C9"/>
    <w:rsid w:val="1FF9705C"/>
    <w:rsid w:val="1FFCABD0"/>
    <w:rsid w:val="1FFE96A3"/>
    <w:rsid w:val="20E71F9A"/>
    <w:rsid w:val="217E83DF"/>
    <w:rsid w:val="21D00C81"/>
    <w:rsid w:val="22D21FE9"/>
    <w:rsid w:val="23ED161E"/>
    <w:rsid w:val="25F73812"/>
    <w:rsid w:val="27FC28F5"/>
    <w:rsid w:val="27FDF3E6"/>
    <w:rsid w:val="2A3873C3"/>
    <w:rsid w:val="2A3C3ED6"/>
    <w:rsid w:val="2A9F2DF0"/>
    <w:rsid w:val="2B6E7D0A"/>
    <w:rsid w:val="2BE5D993"/>
    <w:rsid w:val="2BEEFC23"/>
    <w:rsid w:val="2C6F3E2C"/>
    <w:rsid w:val="2CF69D14"/>
    <w:rsid w:val="2CFFE544"/>
    <w:rsid w:val="2D8804C4"/>
    <w:rsid w:val="2DD843AB"/>
    <w:rsid w:val="2DFF71D3"/>
    <w:rsid w:val="2EB7EA29"/>
    <w:rsid w:val="2EE72D23"/>
    <w:rsid w:val="2EF7C117"/>
    <w:rsid w:val="2F4552CD"/>
    <w:rsid w:val="2F7F4922"/>
    <w:rsid w:val="2FCD69BB"/>
    <w:rsid w:val="2FD77E40"/>
    <w:rsid w:val="2FDA1360"/>
    <w:rsid w:val="2FFF28B9"/>
    <w:rsid w:val="30B70406"/>
    <w:rsid w:val="333E188A"/>
    <w:rsid w:val="33CE6621"/>
    <w:rsid w:val="33FF6073"/>
    <w:rsid w:val="362FB868"/>
    <w:rsid w:val="365FF976"/>
    <w:rsid w:val="36BE3D17"/>
    <w:rsid w:val="36FB68E0"/>
    <w:rsid w:val="376FC536"/>
    <w:rsid w:val="377FF6C2"/>
    <w:rsid w:val="37EF5B81"/>
    <w:rsid w:val="383B63CF"/>
    <w:rsid w:val="38763D00"/>
    <w:rsid w:val="39522F81"/>
    <w:rsid w:val="397D803C"/>
    <w:rsid w:val="39F65FCD"/>
    <w:rsid w:val="39F7BE63"/>
    <w:rsid w:val="3A27446B"/>
    <w:rsid w:val="3B3FEFC6"/>
    <w:rsid w:val="3BB2D926"/>
    <w:rsid w:val="3BDF5DF1"/>
    <w:rsid w:val="3BEF5109"/>
    <w:rsid w:val="3BFBFC5B"/>
    <w:rsid w:val="3BFE550A"/>
    <w:rsid w:val="3BFF5DCB"/>
    <w:rsid w:val="3CBDD6D1"/>
    <w:rsid w:val="3CFB85E8"/>
    <w:rsid w:val="3CFFECC2"/>
    <w:rsid w:val="3DBA16E0"/>
    <w:rsid w:val="3DBC0929"/>
    <w:rsid w:val="3DCBFC8F"/>
    <w:rsid w:val="3DDDE9FA"/>
    <w:rsid w:val="3DF3D950"/>
    <w:rsid w:val="3DF789B6"/>
    <w:rsid w:val="3DFEC356"/>
    <w:rsid w:val="3E3FD107"/>
    <w:rsid w:val="3E77F767"/>
    <w:rsid w:val="3EBBCDD3"/>
    <w:rsid w:val="3EBF771D"/>
    <w:rsid w:val="3ED75D75"/>
    <w:rsid w:val="3EDE6207"/>
    <w:rsid w:val="3EDFB90C"/>
    <w:rsid w:val="3EF13255"/>
    <w:rsid w:val="3F2DA9F5"/>
    <w:rsid w:val="3F2F2112"/>
    <w:rsid w:val="3F3BA958"/>
    <w:rsid w:val="3F3FAFF4"/>
    <w:rsid w:val="3F51ADC1"/>
    <w:rsid w:val="3F53CF37"/>
    <w:rsid w:val="3F5A9191"/>
    <w:rsid w:val="3F7F2256"/>
    <w:rsid w:val="3F7F6A22"/>
    <w:rsid w:val="3FAB4DAB"/>
    <w:rsid w:val="3FAF87EA"/>
    <w:rsid w:val="3FB9675B"/>
    <w:rsid w:val="3FBF7E73"/>
    <w:rsid w:val="3FDD9C71"/>
    <w:rsid w:val="3FDFF306"/>
    <w:rsid w:val="3FEE46F9"/>
    <w:rsid w:val="3FF7D110"/>
    <w:rsid w:val="3FF7E718"/>
    <w:rsid w:val="3FFA3DA3"/>
    <w:rsid w:val="3FFB924A"/>
    <w:rsid w:val="3FFE1762"/>
    <w:rsid w:val="3FFF7F04"/>
    <w:rsid w:val="40926D1C"/>
    <w:rsid w:val="435D4969"/>
    <w:rsid w:val="43DBFC5C"/>
    <w:rsid w:val="44385116"/>
    <w:rsid w:val="443BFC0E"/>
    <w:rsid w:val="44BF1B37"/>
    <w:rsid w:val="45CE2118"/>
    <w:rsid w:val="45DD824F"/>
    <w:rsid w:val="47BD1801"/>
    <w:rsid w:val="47D299F0"/>
    <w:rsid w:val="47E78A18"/>
    <w:rsid w:val="47F3283D"/>
    <w:rsid w:val="49341933"/>
    <w:rsid w:val="4A3A57A8"/>
    <w:rsid w:val="4AB915D4"/>
    <w:rsid w:val="4BDF3BA5"/>
    <w:rsid w:val="4BEB0116"/>
    <w:rsid w:val="4BFF4947"/>
    <w:rsid w:val="4CB1D8DF"/>
    <w:rsid w:val="4CFB9B23"/>
    <w:rsid w:val="4CFF3EAF"/>
    <w:rsid w:val="4DF5E7D0"/>
    <w:rsid w:val="4EF6EB99"/>
    <w:rsid w:val="4EF74D19"/>
    <w:rsid w:val="4EF9B8D2"/>
    <w:rsid w:val="4F336113"/>
    <w:rsid w:val="4F361CD0"/>
    <w:rsid w:val="4F5F4614"/>
    <w:rsid w:val="4FBEB55D"/>
    <w:rsid w:val="4FED2DF6"/>
    <w:rsid w:val="511F58A1"/>
    <w:rsid w:val="517789D4"/>
    <w:rsid w:val="517EE4AE"/>
    <w:rsid w:val="53115D65"/>
    <w:rsid w:val="5455CEA6"/>
    <w:rsid w:val="54BB841E"/>
    <w:rsid w:val="54D78784"/>
    <w:rsid w:val="54DF1B0C"/>
    <w:rsid w:val="55C027DF"/>
    <w:rsid w:val="55CE40E4"/>
    <w:rsid w:val="55DF24D4"/>
    <w:rsid w:val="55FF3980"/>
    <w:rsid w:val="567D0B80"/>
    <w:rsid w:val="56DD6784"/>
    <w:rsid w:val="571E5B6E"/>
    <w:rsid w:val="576F29CF"/>
    <w:rsid w:val="578DD94E"/>
    <w:rsid w:val="57F45EB5"/>
    <w:rsid w:val="588FF164"/>
    <w:rsid w:val="59561609"/>
    <w:rsid w:val="59DD2BD5"/>
    <w:rsid w:val="59F30D3D"/>
    <w:rsid w:val="59FFEF3C"/>
    <w:rsid w:val="5A9F98F2"/>
    <w:rsid w:val="5B5630BD"/>
    <w:rsid w:val="5B589142"/>
    <w:rsid w:val="5B694D7F"/>
    <w:rsid w:val="5B958986"/>
    <w:rsid w:val="5BA02E96"/>
    <w:rsid w:val="5BEA4111"/>
    <w:rsid w:val="5D6C883E"/>
    <w:rsid w:val="5DBB360A"/>
    <w:rsid w:val="5DBB8B8A"/>
    <w:rsid w:val="5DC9DDCE"/>
    <w:rsid w:val="5DDB73EF"/>
    <w:rsid w:val="5DDB7ACA"/>
    <w:rsid w:val="5EC17021"/>
    <w:rsid w:val="5ECF8F19"/>
    <w:rsid w:val="5ED79646"/>
    <w:rsid w:val="5EDF9D3B"/>
    <w:rsid w:val="5EF79305"/>
    <w:rsid w:val="5EFA3C7E"/>
    <w:rsid w:val="5EFAB4FE"/>
    <w:rsid w:val="5EFF7672"/>
    <w:rsid w:val="5F2F4E71"/>
    <w:rsid w:val="5F6D11AA"/>
    <w:rsid w:val="5F7DF9A6"/>
    <w:rsid w:val="5F952D55"/>
    <w:rsid w:val="5F9CD6BE"/>
    <w:rsid w:val="5FAF2414"/>
    <w:rsid w:val="5FB5B4E1"/>
    <w:rsid w:val="5FBBA753"/>
    <w:rsid w:val="5FBD3B86"/>
    <w:rsid w:val="5FBF40EE"/>
    <w:rsid w:val="5FCF7AC5"/>
    <w:rsid w:val="5FD74FBF"/>
    <w:rsid w:val="5FEF35FB"/>
    <w:rsid w:val="5FF6414F"/>
    <w:rsid w:val="5FF7A3F7"/>
    <w:rsid w:val="5FFB2BAE"/>
    <w:rsid w:val="5FFBA933"/>
    <w:rsid w:val="5FFBC642"/>
    <w:rsid w:val="5FFDB9B7"/>
    <w:rsid w:val="5FFF60F7"/>
    <w:rsid w:val="5FFFC111"/>
    <w:rsid w:val="60185ACF"/>
    <w:rsid w:val="616D4A65"/>
    <w:rsid w:val="61777B89"/>
    <w:rsid w:val="626A60E7"/>
    <w:rsid w:val="645A5BAC"/>
    <w:rsid w:val="648D2B3B"/>
    <w:rsid w:val="64DB6F9A"/>
    <w:rsid w:val="65777272"/>
    <w:rsid w:val="662BCFD6"/>
    <w:rsid w:val="667F08E8"/>
    <w:rsid w:val="66BB5DBC"/>
    <w:rsid w:val="67396072"/>
    <w:rsid w:val="676FF7CB"/>
    <w:rsid w:val="67BF6B70"/>
    <w:rsid w:val="67E94FB4"/>
    <w:rsid w:val="67FF090E"/>
    <w:rsid w:val="68BE2BB4"/>
    <w:rsid w:val="69361230"/>
    <w:rsid w:val="69675EBB"/>
    <w:rsid w:val="69AF3C43"/>
    <w:rsid w:val="69EB5BFE"/>
    <w:rsid w:val="69EF83E2"/>
    <w:rsid w:val="69F406AD"/>
    <w:rsid w:val="6B3D40C3"/>
    <w:rsid w:val="6B7EFB95"/>
    <w:rsid w:val="6B92145E"/>
    <w:rsid w:val="6BE79D2E"/>
    <w:rsid w:val="6BEB0B59"/>
    <w:rsid w:val="6CFFB4F6"/>
    <w:rsid w:val="6D185AC8"/>
    <w:rsid w:val="6DB740FF"/>
    <w:rsid w:val="6DB78920"/>
    <w:rsid w:val="6DC34E29"/>
    <w:rsid w:val="6DFF0DFC"/>
    <w:rsid w:val="6DFF263D"/>
    <w:rsid w:val="6DFFB3B0"/>
    <w:rsid w:val="6E7E9B3A"/>
    <w:rsid w:val="6EBF327A"/>
    <w:rsid w:val="6EDF1605"/>
    <w:rsid w:val="6EE30E56"/>
    <w:rsid w:val="6EEDD3EF"/>
    <w:rsid w:val="6EF63FB7"/>
    <w:rsid w:val="6EFE75E2"/>
    <w:rsid w:val="6EFFBD3B"/>
    <w:rsid w:val="6EFFD1AF"/>
    <w:rsid w:val="6F0F0FFF"/>
    <w:rsid w:val="6F1EF796"/>
    <w:rsid w:val="6F4DA78B"/>
    <w:rsid w:val="6F5DC9F0"/>
    <w:rsid w:val="6F5E49BC"/>
    <w:rsid w:val="6F7E8087"/>
    <w:rsid w:val="6F9713D4"/>
    <w:rsid w:val="6FAE5D5D"/>
    <w:rsid w:val="6FDB47B3"/>
    <w:rsid w:val="6FDF2E5B"/>
    <w:rsid w:val="6FED4AD0"/>
    <w:rsid w:val="6FEFFEDF"/>
    <w:rsid w:val="6FF58F05"/>
    <w:rsid w:val="6FF5A77E"/>
    <w:rsid w:val="6FFABABA"/>
    <w:rsid w:val="6FFF41E5"/>
    <w:rsid w:val="70424A70"/>
    <w:rsid w:val="70DDEE4B"/>
    <w:rsid w:val="71724D42"/>
    <w:rsid w:val="71DE09F3"/>
    <w:rsid w:val="72B7E403"/>
    <w:rsid w:val="72F7A50A"/>
    <w:rsid w:val="731FB429"/>
    <w:rsid w:val="735B675F"/>
    <w:rsid w:val="737FA07C"/>
    <w:rsid w:val="737FFC53"/>
    <w:rsid w:val="73B51771"/>
    <w:rsid w:val="73BE5BFF"/>
    <w:rsid w:val="73DFE641"/>
    <w:rsid w:val="74270412"/>
    <w:rsid w:val="749EDC20"/>
    <w:rsid w:val="74F69932"/>
    <w:rsid w:val="74FD4FE8"/>
    <w:rsid w:val="7539933F"/>
    <w:rsid w:val="754E7A68"/>
    <w:rsid w:val="757D31DE"/>
    <w:rsid w:val="75AFE8D0"/>
    <w:rsid w:val="75B97D12"/>
    <w:rsid w:val="75E283BD"/>
    <w:rsid w:val="75FDDB11"/>
    <w:rsid w:val="762A3135"/>
    <w:rsid w:val="76FF487A"/>
    <w:rsid w:val="76FFF6EB"/>
    <w:rsid w:val="772587C1"/>
    <w:rsid w:val="773BCB5A"/>
    <w:rsid w:val="777B8B76"/>
    <w:rsid w:val="777E176F"/>
    <w:rsid w:val="777F7AE1"/>
    <w:rsid w:val="779C89D2"/>
    <w:rsid w:val="779E9705"/>
    <w:rsid w:val="77BC19B7"/>
    <w:rsid w:val="77BDA92F"/>
    <w:rsid w:val="77BE0CA1"/>
    <w:rsid w:val="77BFA038"/>
    <w:rsid w:val="77C2083E"/>
    <w:rsid w:val="77D96C14"/>
    <w:rsid w:val="77E538EA"/>
    <w:rsid w:val="77EB794E"/>
    <w:rsid w:val="77F5B78F"/>
    <w:rsid w:val="77FBE0FF"/>
    <w:rsid w:val="77FCFA98"/>
    <w:rsid w:val="783A1FD1"/>
    <w:rsid w:val="797B2E99"/>
    <w:rsid w:val="79ABC19A"/>
    <w:rsid w:val="79AF6907"/>
    <w:rsid w:val="79BFF678"/>
    <w:rsid w:val="79D69EE4"/>
    <w:rsid w:val="79D9DAED"/>
    <w:rsid w:val="79DFB32B"/>
    <w:rsid w:val="79FD7103"/>
    <w:rsid w:val="79FE4653"/>
    <w:rsid w:val="79FF1D77"/>
    <w:rsid w:val="7A9AEB68"/>
    <w:rsid w:val="7AAE1A50"/>
    <w:rsid w:val="7ABF0F94"/>
    <w:rsid w:val="7ABF2B69"/>
    <w:rsid w:val="7ADFD7C1"/>
    <w:rsid w:val="7AF916FA"/>
    <w:rsid w:val="7AFBA20B"/>
    <w:rsid w:val="7AFD2091"/>
    <w:rsid w:val="7AFD4D02"/>
    <w:rsid w:val="7AFF58F5"/>
    <w:rsid w:val="7AFFB3D8"/>
    <w:rsid w:val="7AFFD81A"/>
    <w:rsid w:val="7B2C1B2B"/>
    <w:rsid w:val="7B3FF3B2"/>
    <w:rsid w:val="7B6F774D"/>
    <w:rsid w:val="7B732E0A"/>
    <w:rsid w:val="7B96F5A5"/>
    <w:rsid w:val="7B9F04E3"/>
    <w:rsid w:val="7BBDC477"/>
    <w:rsid w:val="7BDB8CE3"/>
    <w:rsid w:val="7BDEA78B"/>
    <w:rsid w:val="7BF0EE26"/>
    <w:rsid w:val="7BF6CAFC"/>
    <w:rsid w:val="7BF76852"/>
    <w:rsid w:val="7BFDCA09"/>
    <w:rsid w:val="7BFF7838"/>
    <w:rsid w:val="7BFF7BB0"/>
    <w:rsid w:val="7BFFA4FE"/>
    <w:rsid w:val="7C490589"/>
    <w:rsid w:val="7CAE5B1B"/>
    <w:rsid w:val="7CDECBAB"/>
    <w:rsid w:val="7CE1BFEB"/>
    <w:rsid w:val="7CEAF52E"/>
    <w:rsid w:val="7CF65519"/>
    <w:rsid w:val="7CFFB650"/>
    <w:rsid w:val="7D3897C6"/>
    <w:rsid w:val="7D3F12A1"/>
    <w:rsid w:val="7D57A4F5"/>
    <w:rsid w:val="7D6B542C"/>
    <w:rsid w:val="7D771E53"/>
    <w:rsid w:val="7D7B1206"/>
    <w:rsid w:val="7DA666D6"/>
    <w:rsid w:val="7DBFD2CF"/>
    <w:rsid w:val="7DDA61A8"/>
    <w:rsid w:val="7DDDB054"/>
    <w:rsid w:val="7DDE7950"/>
    <w:rsid w:val="7DEB7382"/>
    <w:rsid w:val="7DF57309"/>
    <w:rsid w:val="7DF7BB68"/>
    <w:rsid w:val="7DFBE93A"/>
    <w:rsid w:val="7DFF18E5"/>
    <w:rsid w:val="7DFF31EC"/>
    <w:rsid w:val="7E1E5CCA"/>
    <w:rsid w:val="7E3D0D6E"/>
    <w:rsid w:val="7E3F052E"/>
    <w:rsid w:val="7E77EAC3"/>
    <w:rsid w:val="7E7E0351"/>
    <w:rsid w:val="7EBA2D2A"/>
    <w:rsid w:val="7EBFDCD3"/>
    <w:rsid w:val="7EBFFE39"/>
    <w:rsid w:val="7ECD46F3"/>
    <w:rsid w:val="7ED743E8"/>
    <w:rsid w:val="7EDD5D82"/>
    <w:rsid w:val="7EE934C4"/>
    <w:rsid w:val="7EEB7A06"/>
    <w:rsid w:val="7EFAB833"/>
    <w:rsid w:val="7EFB4614"/>
    <w:rsid w:val="7EFD749B"/>
    <w:rsid w:val="7EFD766D"/>
    <w:rsid w:val="7EFE9981"/>
    <w:rsid w:val="7EFFED68"/>
    <w:rsid w:val="7F156270"/>
    <w:rsid w:val="7F3755C1"/>
    <w:rsid w:val="7F4513E6"/>
    <w:rsid w:val="7F5F0661"/>
    <w:rsid w:val="7F5FFF2D"/>
    <w:rsid w:val="7F65DA52"/>
    <w:rsid w:val="7F67AE2B"/>
    <w:rsid w:val="7F6EC88A"/>
    <w:rsid w:val="7F6EF265"/>
    <w:rsid w:val="7F6F3E01"/>
    <w:rsid w:val="7F7359A3"/>
    <w:rsid w:val="7F74A4C1"/>
    <w:rsid w:val="7F76D35D"/>
    <w:rsid w:val="7F773308"/>
    <w:rsid w:val="7F7AB27F"/>
    <w:rsid w:val="7F7EE2AF"/>
    <w:rsid w:val="7F7F4338"/>
    <w:rsid w:val="7F7F6735"/>
    <w:rsid w:val="7F7F7D3F"/>
    <w:rsid w:val="7F9C3841"/>
    <w:rsid w:val="7F9F3338"/>
    <w:rsid w:val="7F9F9045"/>
    <w:rsid w:val="7FAD5621"/>
    <w:rsid w:val="7FAFDBED"/>
    <w:rsid w:val="7FB2E7D2"/>
    <w:rsid w:val="7FB57291"/>
    <w:rsid w:val="7FB59ABB"/>
    <w:rsid w:val="7FB7349F"/>
    <w:rsid w:val="7FB9CD2D"/>
    <w:rsid w:val="7FBA1DBA"/>
    <w:rsid w:val="7FBB977E"/>
    <w:rsid w:val="7FBE2778"/>
    <w:rsid w:val="7FBECC9B"/>
    <w:rsid w:val="7FBF10E2"/>
    <w:rsid w:val="7FBF3EEE"/>
    <w:rsid w:val="7FCD5260"/>
    <w:rsid w:val="7FD71F84"/>
    <w:rsid w:val="7FDCDB3B"/>
    <w:rsid w:val="7FDD20F2"/>
    <w:rsid w:val="7FDF2EF7"/>
    <w:rsid w:val="7FDF7E94"/>
    <w:rsid w:val="7FE221C4"/>
    <w:rsid w:val="7FE3A67E"/>
    <w:rsid w:val="7FEF18A0"/>
    <w:rsid w:val="7FEF8E13"/>
    <w:rsid w:val="7FEF9C63"/>
    <w:rsid w:val="7FEFABFD"/>
    <w:rsid w:val="7FEFFD45"/>
    <w:rsid w:val="7FF3A5D8"/>
    <w:rsid w:val="7FF3C3CD"/>
    <w:rsid w:val="7FF3FC8F"/>
    <w:rsid w:val="7FF6B8AA"/>
    <w:rsid w:val="7FF6CED8"/>
    <w:rsid w:val="7FF75CB9"/>
    <w:rsid w:val="7FF7A590"/>
    <w:rsid w:val="7FF9C1EE"/>
    <w:rsid w:val="7FFAD525"/>
    <w:rsid w:val="7FFB9394"/>
    <w:rsid w:val="7FFCEEFD"/>
    <w:rsid w:val="7FFD671D"/>
    <w:rsid w:val="7FFF9774"/>
    <w:rsid w:val="7FFFB26F"/>
    <w:rsid w:val="7FFFB27B"/>
    <w:rsid w:val="7FFFCBE5"/>
    <w:rsid w:val="7FFFD4B5"/>
    <w:rsid w:val="7FFFDE7E"/>
    <w:rsid w:val="7FFFE7F5"/>
    <w:rsid w:val="7FFFFE48"/>
    <w:rsid w:val="864B32B9"/>
    <w:rsid w:val="869DDACA"/>
    <w:rsid w:val="8EE77E4F"/>
    <w:rsid w:val="8FDF128A"/>
    <w:rsid w:val="8FF36DB7"/>
    <w:rsid w:val="8FFE9E2E"/>
    <w:rsid w:val="94FDB7F9"/>
    <w:rsid w:val="94FF3607"/>
    <w:rsid w:val="95F77A6B"/>
    <w:rsid w:val="96FF24E8"/>
    <w:rsid w:val="97C6D604"/>
    <w:rsid w:val="97FB7CE6"/>
    <w:rsid w:val="97FF51CE"/>
    <w:rsid w:val="983F3F4B"/>
    <w:rsid w:val="99FB23B3"/>
    <w:rsid w:val="9BBF0E46"/>
    <w:rsid w:val="9BFB18DF"/>
    <w:rsid w:val="9BFD7E11"/>
    <w:rsid w:val="9CDEA31B"/>
    <w:rsid w:val="9D3F3A4C"/>
    <w:rsid w:val="9F3A8861"/>
    <w:rsid w:val="9F7BCE3B"/>
    <w:rsid w:val="9FB4BD99"/>
    <w:rsid w:val="9FDA1372"/>
    <w:rsid w:val="9FDF31CC"/>
    <w:rsid w:val="9FF91159"/>
    <w:rsid w:val="9FFB1C94"/>
    <w:rsid w:val="A1DB92BA"/>
    <w:rsid w:val="A3BF7A6E"/>
    <w:rsid w:val="A4DD68F7"/>
    <w:rsid w:val="A4FFC953"/>
    <w:rsid w:val="A77F6F1A"/>
    <w:rsid w:val="A7A759BF"/>
    <w:rsid w:val="A7DBBB39"/>
    <w:rsid w:val="A7FF3554"/>
    <w:rsid w:val="AB77B036"/>
    <w:rsid w:val="AB7C060F"/>
    <w:rsid w:val="ABF7C4D1"/>
    <w:rsid w:val="ACBBBA0D"/>
    <w:rsid w:val="ADFAC2E0"/>
    <w:rsid w:val="ADFF3058"/>
    <w:rsid w:val="AEBF0B41"/>
    <w:rsid w:val="AF1F0AFE"/>
    <w:rsid w:val="AF7FA2B4"/>
    <w:rsid w:val="AF8C3F21"/>
    <w:rsid w:val="AF8FFF3B"/>
    <w:rsid w:val="AFB723C9"/>
    <w:rsid w:val="AFFFF0EE"/>
    <w:rsid w:val="B53E8DB0"/>
    <w:rsid w:val="B5B2263E"/>
    <w:rsid w:val="B67ED74B"/>
    <w:rsid w:val="B6EFEBC8"/>
    <w:rsid w:val="B7683BFF"/>
    <w:rsid w:val="B7DFE060"/>
    <w:rsid w:val="B7F6B58A"/>
    <w:rsid w:val="B7FB09B9"/>
    <w:rsid w:val="B7FC9887"/>
    <w:rsid w:val="B7FD9431"/>
    <w:rsid w:val="B9FFB812"/>
    <w:rsid w:val="BB9CCD26"/>
    <w:rsid w:val="BBAE740E"/>
    <w:rsid w:val="BBAF8B5F"/>
    <w:rsid w:val="BBC8831B"/>
    <w:rsid w:val="BBDF71BB"/>
    <w:rsid w:val="BCFBDD9E"/>
    <w:rsid w:val="BD655EEA"/>
    <w:rsid w:val="BDAE5644"/>
    <w:rsid w:val="BDDE8383"/>
    <w:rsid w:val="BDFDDE43"/>
    <w:rsid w:val="BE37FC8F"/>
    <w:rsid w:val="BE4B00DC"/>
    <w:rsid w:val="BE571C8B"/>
    <w:rsid w:val="BE7C6463"/>
    <w:rsid w:val="BE970B72"/>
    <w:rsid w:val="BEAF3918"/>
    <w:rsid w:val="BEBFB2C6"/>
    <w:rsid w:val="BECD101F"/>
    <w:rsid w:val="BEEF9D35"/>
    <w:rsid w:val="BEF7C3A1"/>
    <w:rsid w:val="BF4BD5A7"/>
    <w:rsid w:val="BF672029"/>
    <w:rsid w:val="BF7B3D5A"/>
    <w:rsid w:val="BFA0262D"/>
    <w:rsid w:val="BFB7CE2B"/>
    <w:rsid w:val="BFBAFAD5"/>
    <w:rsid w:val="BFD42DF6"/>
    <w:rsid w:val="BFDA1ED4"/>
    <w:rsid w:val="BFDFDFD9"/>
    <w:rsid w:val="BFEBBC6E"/>
    <w:rsid w:val="BFEF5FFF"/>
    <w:rsid w:val="BFF720CF"/>
    <w:rsid w:val="BFFC29C5"/>
    <w:rsid w:val="BFFF4E2B"/>
    <w:rsid w:val="BFFFC28D"/>
    <w:rsid w:val="C15FE2D7"/>
    <w:rsid w:val="C6FEC181"/>
    <w:rsid w:val="C7BF2ACF"/>
    <w:rsid w:val="C7F79D3B"/>
    <w:rsid w:val="C9EA5742"/>
    <w:rsid w:val="CB9F1240"/>
    <w:rsid w:val="CBB82702"/>
    <w:rsid w:val="CBDC6C85"/>
    <w:rsid w:val="CD7F835E"/>
    <w:rsid w:val="CDFB3ACB"/>
    <w:rsid w:val="CDFFE013"/>
    <w:rsid w:val="CE5FDF3C"/>
    <w:rsid w:val="CE7F3602"/>
    <w:rsid w:val="CF7F9057"/>
    <w:rsid w:val="CF97264A"/>
    <w:rsid w:val="CFCA0001"/>
    <w:rsid w:val="CFDBC38D"/>
    <w:rsid w:val="CFDF2AF4"/>
    <w:rsid w:val="CFFB5A73"/>
    <w:rsid w:val="CFFD56F7"/>
    <w:rsid w:val="CFFFE25E"/>
    <w:rsid w:val="D56B49E7"/>
    <w:rsid w:val="D57B4588"/>
    <w:rsid w:val="D63C48EA"/>
    <w:rsid w:val="D6FD385E"/>
    <w:rsid w:val="D7B5398A"/>
    <w:rsid w:val="D7DA8F7B"/>
    <w:rsid w:val="D7DFEC15"/>
    <w:rsid w:val="D7E7EB5E"/>
    <w:rsid w:val="D7EBDEE1"/>
    <w:rsid w:val="D7FF4D17"/>
    <w:rsid w:val="D8EB152E"/>
    <w:rsid w:val="D9BDFA27"/>
    <w:rsid w:val="D9F7F492"/>
    <w:rsid w:val="D9FF4A30"/>
    <w:rsid w:val="DADF5E61"/>
    <w:rsid w:val="DB37AA42"/>
    <w:rsid w:val="DB7D4AA3"/>
    <w:rsid w:val="DBBE2281"/>
    <w:rsid w:val="DBBF6F2B"/>
    <w:rsid w:val="DBF421BD"/>
    <w:rsid w:val="DBF5046B"/>
    <w:rsid w:val="DCECF78F"/>
    <w:rsid w:val="DD6D1D66"/>
    <w:rsid w:val="DD9C11E8"/>
    <w:rsid w:val="DDD7C777"/>
    <w:rsid w:val="DDDF9A5B"/>
    <w:rsid w:val="DDEB209C"/>
    <w:rsid w:val="DDF7BEB9"/>
    <w:rsid w:val="DDFBE280"/>
    <w:rsid w:val="DDFF01CE"/>
    <w:rsid w:val="DE6F2109"/>
    <w:rsid w:val="DE9970DB"/>
    <w:rsid w:val="DEBDA1B0"/>
    <w:rsid w:val="DECFCA45"/>
    <w:rsid w:val="DEF22306"/>
    <w:rsid w:val="DEF55A9C"/>
    <w:rsid w:val="DEF87B44"/>
    <w:rsid w:val="DEFFAE64"/>
    <w:rsid w:val="DF2EA739"/>
    <w:rsid w:val="DF3FCD8D"/>
    <w:rsid w:val="DF4D6803"/>
    <w:rsid w:val="DF6ECFE4"/>
    <w:rsid w:val="DF7FE58B"/>
    <w:rsid w:val="DFAFF021"/>
    <w:rsid w:val="DFBD66A7"/>
    <w:rsid w:val="DFBFB32C"/>
    <w:rsid w:val="DFCF8BD2"/>
    <w:rsid w:val="DFDEA4E0"/>
    <w:rsid w:val="DFE72300"/>
    <w:rsid w:val="DFEF4734"/>
    <w:rsid w:val="DFF71CD3"/>
    <w:rsid w:val="DFF7ECD2"/>
    <w:rsid w:val="DFFC4B6D"/>
    <w:rsid w:val="DFFD0AF5"/>
    <w:rsid w:val="DFFD20DE"/>
    <w:rsid w:val="DFFE10B1"/>
    <w:rsid w:val="DFFEA0C9"/>
    <w:rsid w:val="DFFF1305"/>
    <w:rsid w:val="DFFFDF80"/>
    <w:rsid w:val="E1F965CF"/>
    <w:rsid w:val="E3FF0DCF"/>
    <w:rsid w:val="E4DF7F8F"/>
    <w:rsid w:val="E5FD17DB"/>
    <w:rsid w:val="E65FF0A3"/>
    <w:rsid w:val="E7566DAB"/>
    <w:rsid w:val="E779D38A"/>
    <w:rsid w:val="E77F000E"/>
    <w:rsid w:val="E77FD953"/>
    <w:rsid w:val="E7BF3E61"/>
    <w:rsid w:val="E7EB5DA9"/>
    <w:rsid w:val="E7FA17DC"/>
    <w:rsid w:val="E7FF3CDD"/>
    <w:rsid w:val="E8F6C72D"/>
    <w:rsid w:val="E8FF3E9C"/>
    <w:rsid w:val="E8FFB92E"/>
    <w:rsid w:val="E97FC7F3"/>
    <w:rsid w:val="E9DEAC92"/>
    <w:rsid w:val="EADA5092"/>
    <w:rsid w:val="EB9AE22B"/>
    <w:rsid w:val="EBED4AEB"/>
    <w:rsid w:val="EBFE014B"/>
    <w:rsid w:val="EBFF172F"/>
    <w:rsid w:val="EBFF4EFE"/>
    <w:rsid w:val="EBFF8C58"/>
    <w:rsid w:val="EBFFC4A7"/>
    <w:rsid w:val="EBFFFBC1"/>
    <w:rsid w:val="ECA72026"/>
    <w:rsid w:val="ECBEB972"/>
    <w:rsid w:val="ECBF47C7"/>
    <w:rsid w:val="ECBF81B1"/>
    <w:rsid w:val="ECDFD9E5"/>
    <w:rsid w:val="ED6DF23C"/>
    <w:rsid w:val="ED6F5C2F"/>
    <w:rsid w:val="ED6F8231"/>
    <w:rsid w:val="ED9DC764"/>
    <w:rsid w:val="EDAC993F"/>
    <w:rsid w:val="EDEB3623"/>
    <w:rsid w:val="EDFA8C59"/>
    <w:rsid w:val="EDFF2FA3"/>
    <w:rsid w:val="EDFFF7FE"/>
    <w:rsid w:val="EEAE9E1D"/>
    <w:rsid w:val="EEAF3DFC"/>
    <w:rsid w:val="EEAFEDF4"/>
    <w:rsid w:val="EEBD4B34"/>
    <w:rsid w:val="EEBF696A"/>
    <w:rsid w:val="EEEEABEB"/>
    <w:rsid w:val="EF4E2503"/>
    <w:rsid w:val="EF67BD34"/>
    <w:rsid w:val="EF744E76"/>
    <w:rsid w:val="EF7723C9"/>
    <w:rsid w:val="EF9D3F5D"/>
    <w:rsid w:val="EF9FF9D6"/>
    <w:rsid w:val="EFA72EE9"/>
    <w:rsid w:val="EFAF0B34"/>
    <w:rsid w:val="EFBB4774"/>
    <w:rsid w:val="EFBF7A35"/>
    <w:rsid w:val="EFBF8E55"/>
    <w:rsid w:val="EFDDD301"/>
    <w:rsid w:val="EFEB8DBE"/>
    <w:rsid w:val="EFEF1247"/>
    <w:rsid w:val="EFF60730"/>
    <w:rsid w:val="EFFB61A4"/>
    <w:rsid w:val="EFFBD30A"/>
    <w:rsid w:val="EFFD6B1C"/>
    <w:rsid w:val="EFFE83F3"/>
    <w:rsid w:val="F0DF8D9D"/>
    <w:rsid w:val="F0FB2005"/>
    <w:rsid w:val="F0FFD219"/>
    <w:rsid w:val="F17DF9B6"/>
    <w:rsid w:val="F17EB1D2"/>
    <w:rsid w:val="F1CFE81F"/>
    <w:rsid w:val="F1D797B3"/>
    <w:rsid w:val="F1F3D0A0"/>
    <w:rsid w:val="F1FF8AF1"/>
    <w:rsid w:val="F23ED0DD"/>
    <w:rsid w:val="F2DE3EFE"/>
    <w:rsid w:val="F2E9E107"/>
    <w:rsid w:val="F3BFEE0A"/>
    <w:rsid w:val="F3C76ADC"/>
    <w:rsid w:val="F3E258DD"/>
    <w:rsid w:val="F437F64B"/>
    <w:rsid w:val="F4BFBCDF"/>
    <w:rsid w:val="F52B829B"/>
    <w:rsid w:val="F53B7259"/>
    <w:rsid w:val="F5A7625E"/>
    <w:rsid w:val="F5BE4FE5"/>
    <w:rsid w:val="F5EEB797"/>
    <w:rsid w:val="F63D2F7F"/>
    <w:rsid w:val="F657DD69"/>
    <w:rsid w:val="F677018D"/>
    <w:rsid w:val="F67F1D87"/>
    <w:rsid w:val="F67F7E7F"/>
    <w:rsid w:val="F6BF9F3B"/>
    <w:rsid w:val="F6F7B2E8"/>
    <w:rsid w:val="F6FF47BB"/>
    <w:rsid w:val="F6FFAF89"/>
    <w:rsid w:val="F71F2573"/>
    <w:rsid w:val="F74EB729"/>
    <w:rsid w:val="F7773FB1"/>
    <w:rsid w:val="F77F9F1F"/>
    <w:rsid w:val="F7BA0131"/>
    <w:rsid w:val="F7BCE4B3"/>
    <w:rsid w:val="F7CFAA6D"/>
    <w:rsid w:val="F7D64ABC"/>
    <w:rsid w:val="F7DB95CA"/>
    <w:rsid w:val="F7F748BD"/>
    <w:rsid w:val="F7F95DF6"/>
    <w:rsid w:val="F7FA5434"/>
    <w:rsid w:val="F7FB1C27"/>
    <w:rsid w:val="F7FE31DB"/>
    <w:rsid w:val="F7FE8C75"/>
    <w:rsid w:val="F88F2F39"/>
    <w:rsid w:val="F8AF296D"/>
    <w:rsid w:val="F90F96F7"/>
    <w:rsid w:val="F9334AA8"/>
    <w:rsid w:val="F947EC72"/>
    <w:rsid w:val="F9772CED"/>
    <w:rsid w:val="F9D6BF95"/>
    <w:rsid w:val="F9D762E4"/>
    <w:rsid w:val="F9F3BC8E"/>
    <w:rsid w:val="FA3144ED"/>
    <w:rsid w:val="FA7AD007"/>
    <w:rsid w:val="FAF7613C"/>
    <w:rsid w:val="FAF9AEDD"/>
    <w:rsid w:val="FB17C95F"/>
    <w:rsid w:val="FB3679B7"/>
    <w:rsid w:val="FB37C0BA"/>
    <w:rsid w:val="FB3F4A47"/>
    <w:rsid w:val="FB7FB783"/>
    <w:rsid w:val="FB9DFAAB"/>
    <w:rsid w:val="FBBACC48"/>
    <w:rsid w:val="FBBED9D7"/>
    <w:rsid w:val="FBBFBB6F"/>
    <w:rsid w:val="FBC08DCD"/>
    <w:rsid w:val="FBD67B9A"/>
    <w:rsid w:val="FBD7FFA7"/>
    <w:rsid w:val="FBDAD2AE"/>
    <w:rsid w:val="FBDC28B9"/>
    <w:rsid w:val="FBDF823A"/>
    <w:rsid w:val="FBEDB77E"/>
    <w:rsid w:val="FBF59882"/>
    <w:rsid w:val="FBFBB5A0"/>
    <w:rsid w:val="FBFF5C7A"/>
    <w:rsid w:val="FBFFBCB5"/>
    <w:rsid w:val="FCCE718A"/>
    <w:rsid w:val="FCDA46A8"/>
    <w:rsid w:val="FCF3F7AE"/>
    <w:rsid w:val="FCFF1215"/>
    <w:rsid w:val="FCFF6FF0"/>
    <w:rsid w:val="FD3BE954"/>
    <w:rsid w:val="FD3F6B6D"/>
    <w:rsid w:val="FD75ACA5"/>
    <w:rsid w:val="FD7B78C1"/>
    <w:rsid w:val="FD7C9765"/>
    <w:rsid w:val="FD89CCB3"/>
    <w:rsid w:val="FDABCD02"/>
    <w:rsid w:val="FDAF1E02"/>
    <w:rsid w:val="FDB41AF9"/>
    <w:rsid w:val="FDB7B079"/>
    <w:rsid w:val="FDBD64A7"/>
    <w:rsid w:val="FDBF438A"/>
    <w:rsid w:val="FDBF7853"/>
    <w:rsid w:val="FDCF1865"/>
    <w:rsid w:val="FDD32E04"/>
    <w:rsid w:val="FDDD67C0"/>
    <w:rsid w:val="FDDF157E"/>
    <w:rsid w:val="FDDF7F8E"/>
    <w:rsid w:val="FDEFDAE1"/>
    <w:rsid w:val="FDF16CCC"/>
    <w:rsid w:val="FDF1EF98"/>
    <w:rsid w:val="FDF72355"/>
    <w:rsid w:val="FDF9D880"/>
    <w:rsid w:val="FDFC78D4"/>
    <w:rsid w:val="FDFD28E8"/>
    <w:rsid w:val="FDFF4818"/>
    <w:rsid w:val="FDFF6A9E"/>
    <w:rsid w:val="FDFFB8E4"/>
    <w:rsid w:val="FDFFC391"/>
    <w:rsid w:val="FDFFC5BE"/>
    <w:rsid w:val="FE2F3EF0"/>
    <w:rsid w:val="FE3F8C64"/>
    <w:rsid w:val="FE5E626D"/>
    <w:rsid w:val="FE6F11CA"/>
    <w:rsid w:val="FE7EAC80"/>
    <w:rsid w:val="FE86D264"/>
    <w:rsid w:val="FE87D985"/>
    <w:rsid w:val="FEAFDF3B"/>
    <w:rsid w:val="FEBF6BCC"/>
    <w:rsid w:val="FEDD6F03"/>
    <w:rsid w:val="FEDEFA73"/>
    <w:rsid w:val="FEF752E6"/>
    <w:rsid w:val="FEF7E766"/>
    <w:rsid w:val="FEFB71D6"/>
    <w:rsid w:val="FEFB86BD"/>
    <w:rsid w:val="FEFDCB0D"/>
    <w:rsid w:val="FEFE3D4D"/>
    <w:rsid w:val="FEFEF01C"/>
    <w:rsid w:val="FF1B7F5F"/>
    <w:rsid w:val="FF1F6B8C"/>
    <w:rsid w:val="FF3DDCC5"/>
    <w:rsid w:val="FF3F29D2"/>
    <w:rsid w:val="FF3FB06C"/>
    <w:rsid w:val="FF46ECEE"/>
    <w:rsid w:val="FF513FAA"/>
    <w:rsid w:val="FF5D1F91"/>
    <w:rsid w:val="FF5F9C96"/>
    <w:rsid w:val="FF6929A6"/>
    <w:rsid w:val="FF734CDE"/>
    <w:rsid w:val="FF73DAD7"/>
    <w:rsid w:val="FF7C3AB7"/>
    <w:rsid w:val="FF7D59F0"/>
    <w:rsid w:val="FF7ED0A6"/>
    <w:rsid w:val="FF7F142D"/>
    <w:rsid w:val="FF7F6A55"/>
    <w:rsid w:val="FF7F8D8A"/>
    <w:rsid w:val="FFADD265"/>
    <w:rsid w:val="FFAF3C6B"/>
    <w:rsid w:val="FFAF4A5C"/>
    <w:rsid w:val="FFBB8872"/>
    <w:rsid w:val="FFBBAA47"/>
    <w:rsid w:val="FFBF6D14"/>
    <w:rsid w:val="FFBFCF0C"/>
    <w:rsid w:val="FFC76103"/>
    <w:rsid w:val="FFD7FEC1"/>
    <w:rsid w:val="FFDA96D8"/>
    <w:rsid w:val="FFDDE0E3"/>
    <w:rsid w:val="FFDEC6CF"/>
    <w:rsid w:val="FFE3FA90"/>
    <w:rsid w:val="FFE55971"/>
    <w:rsid w:val="FFEB745A"/>
    <w:rsid w:val="FFEE4F9F"/>
    <w:rsid w:val="FFEEA80D"/>
    <w:rsid w:val="FFF47665"/>
    <w:rsid w:val="FFF58084"/>
    <w:rsid w:val="FFF79986"/>
    <w:rsid w:val="FFF8AEA6"/>
    <w:rsid w:val="FFF908FD"/>
    <w:rsid w:val="FFFB1B05"/>
    <w:rsid w:val="FFFB3D03"/>
    <w:rsid w:val="FFFBDBBC"/>
    <w:rsid w:val="FFFBF126"/>
    <w:rsid w:val="FFFCF7FB"/>
    <w:rsid w:val="FFFD113A"/>
    <w:rsid w:val="FFFF32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宋体"/>
      <w:kern w:val="2"/>
      <w:sz w:val="32"/>
      <w:szCs w:val="3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标书正文1"/>
    <w:basedOn w:val="1"/>
    <w:qFormat/>
    <w:uiPriority w:val="0"/>
    <w:pPr>
      <w:spacing w:line="520" w:lineRule="exact"/>
      <w:ind w:firstLine="640" w:firstLineChars="200"/>
    </w:pPr>
    <w:rPr>
      <w:rFonts w:ascii="Times New Roman" w:hAnsi="Times New Roman" w:eastAsia="宋体"/>
    </w:rPr>
  </w:style>
  <w:style w:type="paragraph" w:styleId="3">
    <w:name w:val="annotation text"/>
    <w:basedOn w:val="1"/>
    <w:qFormat/>
    <w:uiPriority w:val="0"/>
    <w:pPr>
      <w:jc w:val="left"/>
    </w:pPr>
  </w:style>
  <w:style w:type="paragraph" w:styleId="4">
    <w:name w:val="footer"/>
    <w:basedOn w:val="1"/>
    <w:qFormat/>
    <w:uiPriority w:val="99"/>
    <w:pPr>
      <w:tabs>
        <w:tab w:val="center" w:pos="4153"/>
        <w:tab w:val="right" w:pos="8306"/>
      </w:tabs>
      <w:snapToGrid w:val="0"/>
      <w:jc w:val="left"/>
    </w:pPr>
    <w:rPr>
      <w:rFonts w:ascii="Times New Roman" w:hAnsi="Times New Roman"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spacing w:before="150" w:after="150" w:line="480" w:lineRule="auto"/>
      <w:jc w:val="left"/>
    </w:pPr>
    <w:rPr>
      <w:rFonts w:ascii="宋体" w:eastAsia="宋体"/>
      <w:color w:val="000000"/>
      <w:kern w:val="0"/>
      <w:sz w:val="21"/>
      <w:szCs w:val="21"/>
    </w:rPr>
  </w:style>
  <w:style w:type="paragraph" w:customStyle="1" w:styleId="10">
    <w:name w:val="WW-Default"/>
    <w:qFormat/>
    <w:uiPriority w:val="99"/>
    <w:pPr>
      <w:widowControl w:val="0"/>
      <w:suppressAutoHyphens/>
      <w:autoSpaceDE w:val="0"/>
    </w:pPr>
    <w:rPr>
      <w:rFonts w:ascii="Calibri" w:hAnsi="Calibri" w:eastAsia="宋体" w:cs="Times New Roman"/>
      <w:color w:val="000000"/>
      <w:sz w:val="24"/>
      <w:szCs w:val="24"/>
      <w:lang w:val="en-US" w:eastAsia="zh-CN" w:bidi="ar-SA"/>
    </w:rPr>
  </w:style>
  <w:style w:type="character" w:customStyle="1" w:styleId="11">
    <w:name w:val="artcontent"/>
    <w:qFormat/>
    <w:uiPriority w:val="0"/>
    <w:rPr>
      <w:sz w:val="30"/>
    </w:rPr>
  </w:style>
  <w:style w:type="paragraph" w:customStyle="1" w:styleId="12">
    <w:name w:val="List Paragraph"/>
    <w:basedOn w:val="1"/>
    <w:qFormat/>
    <w:uiPriority w:val="0"/>
    <w:pPr>
      <w:ind w:firstLine="420" w:firstLineChars="200"/>
    </w:pPr>
    <w:rPr>
      <w:rFonts w:ascii="Times New Roman" w:hAnsi="Times New Roman" w:eastAsia="宋体" w:cs="Times New Roman"/>
      <w:sz w:val="21"/>
      <w:szCs w:val="24"/>
    </w:rPr>
  </w:style>
  <w:style w:type="paragraph" w:customStyle="1" w:styleId="13">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e775414d-35fc-487e-8cd9-ad984e7a0aa4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79992127</paraID>
      <start xmlns="http://schemas.wps.cn/vas-ai-hub/contract-review">13</start>
      <end xmlns="http://schemas.wps.cn/vas-ai-hub/contract-review">15</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f960aaa5-b880-44ce-944f-ff54f820c85b</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616B3F96</paraID>
      <start xmlns="http://schemas.wps.cn/vas-ai-hub/contract-review">26</start>
      <end xmlns="http://schemas.wps.cn/vas-ai-hub/contract-review">35</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7cc918cd-dcab-4ef1-b30a-33eaf5402b6d</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5D294BB0</paraID>
      <start xmlns="http://schemas.wps.cn/vas-ai-hub/contract-review">29</start>
      <end xmlns="http://schemas.wps.cn/vas-ai-hub/contract-review">38</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b60a37bc-2529-4cc0-b810-6b6e8f1ff2ed</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25D020CC</paraID>
      <start xmlns="http://schemas.wps.cn/vas-ai-hub/contract-review">7</start>
      <end xmlns="http://schemas.wps.cn/vas-ai-hub/contract-review">16</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8a6b95d7-bbf2-48b2-b62c-a45bd01a384c</errorID>
      <errorWord xmlns="http://schemas.wps.cn/vas-ai-hub/contract-review">国有经济布局和结构调整</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国有经济布局优化和结构调整</item>
      </candidateList>
      <explain xmlns="http://schemas.wps.cn/vas-ai-hub/contract-review">词汇“国有经济布局优化和结构调整”在特定场景下为固定表述形式，请确认此处的“国有经济布局和结构调整”是否存在不当。</explain>
      <paraID xmlns="http://schemas.wps.cn/vas-ai-hub/contract-review">68490242</paraID>
      <start xmlns="http://schemas.wps.cn/vas-ai-hub/contract-review">22</start>
      <end xmlns="http://schemas.wps.cn/vas-ai-hub/contract-review">33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5f2bc265-e8c8-427f-ab35-7ae0291ade01</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573B4F86</paraID>
      <start xmlns="http://schemas.wps.cn/vas-ai-hub/contract-review">102</start>
      <end xmlns="http://schemas.wps.cn/vas-ai-hub/contract-review">111</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c007da14-e1db-4d8f-b66c-0c17fb790c8e</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
      <paraID xmlns="http://schemas.wps.cn/vas-ai-hub/contract-review">74BE32EC</paraID>
      <start xmlns="http://schemas.wps.cn/vas-ai-hub/contract-review">23</start>
      <end xmlns="http://schemas.wps.cn/vas-ai-hub/contract-review">24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877a5f27-6d2e-4235-b15c-147d24584a1c</errorID>
      <errorWord xmlns="http://schemas.wps.cn/vas-ai-hub/contract-review">以上奇数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以上计数</item>
      </candidateList>
      <explain xmlns="http://schemas.wps.cn/vas-ai-hub/contract-review"/>
      <paraID xmlns="http://schemas.wps.cn/vas-ai-hub/contract-review">2C7BD7C0</paraID>
      <start xmlns="http://schemas.wps.cn/vas-ai-hub/contract-review">38</start>
      <end xmlns="http://schemas.wps.cn/vas-ai-hub/contract-review">42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e94ca3cd-d465-4003-ab0e-5804b12deb10</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718EAC39</paraID>
      <start xmlns="http://schemas.wps.cn/vas-ai-hub/contract-review">3</start>
      <end xmlns="http://schemas.wps.cn/vas-ai-hub/contract-review">12</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71e9d955-2f85-4a4c-8628-82c55684e106</errorID>
      <errorWord xmlns="http://schemas.wps.cn/vas-ai-hub/contract-review">、或</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或</item>
      </candidateList>
      <explain xmlns="http://schemas.wps.cn/vas-ai-hub/contract-review">❶〈副〉或许；也许：慰问团已经起程，明日上午～可到达。❷〈连〉或者v▲：～多～少｜不解决桥～船的问题，过河就是一句空话｜他生怕我没听清～不注意，所以又嘱咐了一遍。❸〈书〉〈代〉指示代词。某人；有的人：～告之曰。❹〈书〉副稍微：不可～缺｜不可～忽。</explain>
      <paraID xmlns="http://schemas.wps.cn/vas-ai-hub/contract-review">1B96BCBF</paraID>
      <start xmlns="http://schemas.wps.cn/vas-ai-hub/contract-review">63</start>
      <end xmlns="http://schemas.wps.cn/vas-ai-hub/contract-review">65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f4015328-0923-47da-9bb4-72815e53b0d8</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296BF67F</paraID>
      <start xmlns="http://schemas.wps.cn/vas-ai-hub/contract-review">4</start>
      <end xmlns="http://schemas.wps.cn/vas-ai-hub/contract-review">13</end>
      <status xmlns="http://schemas.wps.cn/vas-ai-hub/contract-review">modified</status>
      <modifiedWord xmlns="http://schemas.wps.cn/vas-ai-hub/contract-review">法律法规</modifiedWord>
      <trackRevisions xmlns="http://schemas.wps.cn/vas-ai-hub/contract-review">true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9ab55-eb41-41f5-a7b0-6350456a7a56}">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11302</Words>
  <Characters>11407</Characters>
  <Lines>0</Lines>
  <Paragraphs>0</Paragraphs>
  <TotalTime>126</TotalTime>
  <ScaleCrop>false</ScaleCrop>
  <LinksUpToDate>false</LinksUpToDate>
  <CharactersWithSpaces>11424</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2023-10-28T17:01:00Z</dcterms:created>
  <dc:creator>user</dc:creator>
  <cp:lastModifiedBy>吴晓玲</cp:lastModifiedBy>
  <cp:lastPrinted>2025-03-18T07:39:00Z</cp:lastPrinted>
  <dcterms:modified xsi:type="dcterms:W3CDTF">2026-03-25T11:16:00Z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5650578BA32346BAB12917CE463B40CB_13</vt:lpwstr>
  </property>
  <property fmtid="{D5CDD505-2E9C-101B-9397-08002B2CF9AE}" pid="4" name="KSOTemplateDocerSaveRecord">
    <vt:lpwstr>eyJoZGlkIjoiOWE4ZTExOTY2YmNjZTYzMTZhMDY1ODg2OWY0NWZmY2QiLCJ1c2VySWQiOiIyMjU5ODY0MDEifQ==</vt:lpwstr>
  </property>
</Properties>
</file>