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73FF8">
      <w:pPr>
        <w:spacing w:line="560" w:lineRule="exact"/>
        <w:jc w:val="center"/>
        <w:rPr>
          <w:rFonts w:hint="eastAsia" w:ascii="方正小标宋简体" w:hAnsi="方正小标宋简体" w:eastAsia="方正小标宋简体" w:cs="方正小标宋简体"/>
          <w:b w:val="0"/>
          <w:bCs w:val="0"/>
          <w:color w:val="auto"/>
          <w:kern w:val="0"/>
          <w:sz w:val="44"/>
          <w:szCs w:val="44"/>
          <w:highlight w:val="none"/>
          <w:u w:val="none"/>
        </w:rPr>
      </w:pPr>
      <w:r>
        <w:rPr>
          <w:rFonts w:hint="eastAsia" w:ascii="方正小标宋简体" w:hAnsi="方正小标宋简体" w:eastAsia="方正小标宋简体" w:cs="方正小标宋简体"/>
          <w:b w:val="0"/>
          <w:bCs w:val="0"/>
          <w:color w:val="auto"/>
          <w:kern w:val="0"/>
          <w:sz w:val="44"/>
          <w:szCs w:val="44"/>
          <w:highlight w:val="none"/>
          <w:u w:val="none"/>
        </w:rPr>
        <w:t>深圳市光明区国有企业财务管理规定</w:t>
      </w:r>
    </w:p>
    <w:p w14:paraId="5DC281D8">
      <w:pPr>
        <w:spacing w:line="560" w:lineRule="exact"/>
        <w:jc w:val="center"/>
        <w:rPr>
          <w:rFonts w:hint="eastAsia" w:ascii="仿宋_GB2312" w:hAnsi="仿宋_GB2312" w:eastAsia="仿宋_GB2312" w:cs="仿宋_GB2312"/>
          <w:bCs/>
          <w:color w:val="auto"/>
          <w:kern w:val="0"/>
          <w:sz w:val="32"/>
          <w:szCs w:val="32"/>
          <w:highlight w:val="none"/>
          <w:u w:val="none"/>
          <w:lang w:eastAsia="zh-CN"/>
        </w:rPr>
      </w:pPr>
      <w:r>
        <w:rPr>
          <w:rFonts w:hint="eastAsia" w:hAnsi="仿宋_GB2312" w:cs="仿宋_GB2312"/>
          <w:bCs/>
          <w:color w:val="auto"/>
          <w:kern w:val="0"/>
          <w:sz w:val="32"/>
          <w:szCs w:val="32"/>
          <w:highlight w:val="none"/>
          <w:u w:val="none"/>
          <w:lang w:eastAsia="zh-CN"/>
        </w:rPr>
        <w:t>（</w:t>
      </w:r>
      <w:r>
        <w:rPr>
          <w:rFonts w:hint="eastAsia" w:hAnsi="仿宋_GB2312" w:cs="仿宋_GB2312"/>
          <w:bCs/>
          <w:color w:val="auto"/>
          <w:kern w:val="0"/>
          <w:sz w:val="32"/>
          <w:szCs w:val="32"/>
          <w:highlight w:val="none"/>
          <w:u w:val="none"/>
          <w:lang w:val="en-US" w:eastAsia="zh-CN"/>
        </w:rPr>
        <w:t>征求意见</w:t>
      </w:r>
      <w:r>
        <w:rPr>
          <w:rFonts w:hint="eastAsia" w:hAnsi="仿宋_GB2312" w:cs="仿宋_GB2312"/>
          <w:bCs/>
          <w:color w:val="auto"/>
          <w:kern w:val="0"/>
          <w:sz w:val="32"/>
          <w:szCs w:val="32"/>
          <w:highlight w:val="none"/>
          <w:u w:val="none"/>
          <w:lang w:eastAsia="zh-CN"/>
        </w:rPr>
        <w:t>稿）</w:t>
      </w:r>
    </w:p>
    <w:p w14:paraId="33ACEA13">
      <w:pPr>
        <w:spacing w:line="560" w:lineRule="exact"/>
        <w:jc w:val="center"/>
        <w:rPr>
          <w:rFonts w:hint="eastAsia" w:ascii="黑体" w:hAnsi="黑体" w:eastAsia="黑体" w:cs="仿宋"/>
          <w:b w:val="0"/>
          <w:bCs/>
          <w:color w:val="auto"/>
          <w:kern w:val="0"/>
          <w:sz w:val="32"/>
          <w:szCs w:val="32"/>
          <w:highlight w:val="none"/>
          <w:u w:val="none"/>
        </w:rPr>
      </w:pPr>
    </w:p>
    <w:p w14:paraId="0402D717">
      <w:pPr>
        <w:spacing w:line="560" w:lineRule="exact"/>
        <w:jc w:val="center"/>
        <w:rPr>
          <w:rFonts w:ascii="黑体" w:hAnsi="黑体" w:eastAsia="黑体" w:cs="仿宋"/>
          <w:b w:val="0"/>
          <w:bCs/>
          <w:color w:val="auto"/>
          <w:kern w:val="0"/>
          <w:sz w:val="32"/>
          <w:szCs w:val="32"/>
          <w:highlight w:val="none"/>
          <w:u w:val="none"/>
        </w:rPr>
      </w:pPr>
      <w:r>
        <w:rPr>
          <w:rFonts w:hint="eastAsia" w:ascii="黑体" w:hAnsi="黑体" w:eastAsia="黑体" w:cs="仿宋"/>
          <w:b w:val="0"/>
          <w:bCs/>
          <w:color w:val="auto"/>
          <w:kern w:val="0"/>
          <w:sz w:val="32"/>
          <w:szCs w:val="32"/>
          <w:highlight w:val="none"/>
          <w:u w:val="none"/>
        </w:rPr>
        <w:t>第一章  总则</w:t>
      </w:r>
    </w:p>
    <w:p w14:paraId="55315E48">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为维护国有出资人合法权益，完善国有企业财务监督管理体制，加强国有企业出资人财务监督，确保国有资产保值增值，</w:t>
      </w:r>
      <w:r>
        <w:rPr>
          <w:rFonts w:hint="eastAsia" w:ascii="仿宋_GB2312" w:hAnsi="仿宋" w:eastAsia="仿宋_GB2312" w:cs="仿宋"/>
          <w:b w:val="0"/>
          <w:bCs/>
          <w:color w:val="auto"/>
          <w:kern w:val="0"/>
          <w:sz w:val="32"/>
          <w:szCs w:val="32"/>
          <w:highlight w:val="none"/>
          <w:u w:val="none"/>
          <w:lang w:eastAsia="zh-CN"/>
        </w:rPr>
        <w:t>根据</w:t>
      </w:r>
      <w:r>
        <w:rPr>
          <w:rFonts w:hint="eastAsia" w:ascii="仿宋_GB2312" w:hAnsi="仿宋" w:eastAsia="仿宋_GB2312" w:cs="仿宋"/>
          <w:b w:val="0"/>
          <w:bCs/>
          <w:color w:val="auto"/>
          <w:kern w:val="0"/>
          <w:sz w:val="32"/>
          <w:szCs w:val="32"/>
          <w:highlight w:val="none"/>
          <w:u w:val="none"/>
        </w:rPr>
        <w:t>《中华人民共和国会计法》《中华人民共和国企业国有资产法》等规定，结合我区实际，制定本规定。</w:t>
      </w:r>
    </w:p>
    <w:p w14:paraId="01F71F29">
      <w:pPr>
        <w:pStyle w:val="12"/>
        <w:numPr>
          <w:ilvl w:val="0"/>
          <w:numId w:val="1"/>
        </w:numPr>
        <w:spacing w:line="560" w:lineRule="exact"/>
        <w:ind w:left="0" w:firstLine="643"/>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直管企业和所属企业的财务管理，适用本规定。</w:t>
      </w:r>
    </w:p>
    <w:p w14:paraId="34818466">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作为</w:t>
      </w:r>
      <w:r>
        <w:rPr>
          <w:rFonts w:hint="eastAsia" w:ascii="仿宋_GB2312" w:hAnsi="仿宋" w:eastAsia="仿宋_GB2312" w:cs="仿宋"/>
          <w:b w:val="0"/>
          <w:bCs/>
          <w:color w:val="auto"/>
          <w:kern w:val="0"/>
          <w:sz w:val="32"/>
          <w:szCs w:val="32"/>
          <w:highlight w:val="none"/>
          <w:u w:val="none"/>
        </w:rPr>
        <w:t>区</w:t>
      </w:r>
      <w:r>
        <w:rPr>
          <w:rFonts w:hint="eastAsia" w:ascii="仿宋_GB2312" w:hAnsi="仿宋" w:eastAsia="仿宋_GB2312" w:cs="仿宋"/>
          <w:b w:val="0"/>
          <w:bCs/>
          <w:color w:val="auto"/>
          <w:sz w:val="32"/>
          <w:szCs w:val="32"/>
          <w:highlight w:val="none"/>
          <w:u w:val="none"/>
        </w:rPr>
        <w:t>国有企业监督管理机构，履行以下财务监管职责：</w:t>
      </w:r>
    </w:p>
    <w:p w14:paraId="24C5B7D6">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（一）监督指导</w:t>
      </w:r>
      <w:r>
        <w:rPr>
          <w:rFonts w:hint="eastAsia" w:ascii="仿宋_GB2312" w:hAnsi="仿宋" w:eastAsia="仿宋_GB2312" w:cs="仿宋"/>
          <w:b w:val="0"/>
          <w:bCs/>
          <w:color w:val="auto"/>
          <w:kern w:val="0"/>
          <w:sz w:val="32"/>
          <w:szCs w:val="32"/>
          <w:highlight w:val="none"/>
          <w:u w:val="none"/>
        </w:rPr>
        <w:t>直管</w:t>
      </w:r>
      <w:r>
        <w:rPr>
          <w:rFonts w:hint="eastAsia" w:ascii="仿宋_GB2312" w:hAnsi="仿宋" w:eastAsia="仿宋_GB2312" w:cs="仿宋"/>
          <w:b w:val="0"/>
          <w:bCs/>
          <w:color w:val="auto"/>
          <w:sz w:val="32"/>
          <w:szCs w:val="32"/>
          <w:highlight w:val="none"/>
          <w:u w:val="none"/>
        </w:rPr>
        <w:t>企业财务管理活动。</w:t>
      </w:r>
    </w:p>
    <w:p w14:paraId="29F427E2">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（二）编制</w:t>
      </w:r>
      <w:r>
        <w:rPr>
          <w:rFonts w:hint="eastAsia" w:ascii="仿宋_GB2312" w:hAnsi="仿宋" w:eastAsia="仿宋_GB2312" w:cs="仿宋"/>
          <w:b w:val="0"/>
          <w:bCs/>
          <w:color w:val="auto"/>
          <w:kern w:val="0"/>
          <w:sz w:val="32"/>
          <w:szCs w:val="32"/>
          <w:highlight w:val="none"/>
          <w:u w:val="none"/>
        </w:rPr>
        <w:t>区</w:t>
      </w:r>
      <w:r>
        <w:rPr>
          <w:rFonts w:hint="eastAsia" w:ascii="仿宋_GB2312" w:hAnsi="仿宋" w:eastAsia="仿宋_GB2312" w:cs="仿宋"/>
          <w:b w:val="0"/>
          <w:bCs/>
          <w:color w:val="auto"/>
          <w:sz w:val="32"/>
          <w:szCs w:val="32"/>
          <w:highlight w:val="none"/>
          <w:u w:val="none"/>
        </w:rPr>
        <w:t>企业国有资本经营预算草案</w:t>
      </w:r>
      <w:r>
        <w:rPr>
          <w:rFonts w:hint="eastAsia" w:ascii="仿宋_GB2312" w:hAnsi="仿宋" w:eastAsia="仿宋_GB2312" w:cs="仿宋"/>
          <w:b w:val="0"/>
          <w:bCs/>
          <w:color w:val="auto"/>
          <w:sz w:val="32"/>
          <w:szCs w:val="32"/>
          <w:highlight w:val="none"/>
          <w:u w:val="none"/>
          <w:lang w:eastAsia="zh-CN"/>
        </w:rPr>
        <w:t>、</w:t>
      </w:r>
      <w:r>
        <w:rPr>
          <w:rFonts w:hint="eastAsia" w:ascii="仿宋_GB2312" w:hAnsi="仿宋" w:eastAsia="仿宋_GB2312" w:cs="仿宋"/>
          <w:b w:val="0"/>
          <w:bCs/>
          <w:color w:val="auto"/>
          <w:sz w:val="32"/>
          <w:szCs w:val="32"/>
          <w:highlight w:val="none"/>
          <w:u w:val="none"/>
        </w:rPr>
        <w:t>调整方案及区国有资产、资本收益收缴工作。</w:t>
      </w:r>
    </w:p>
    <w:p w14:paraId="027E069F">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w:t>
      </w:r>
      <w:r>
        <w:rPr>
          <w:rFonts w:hint="eastAsia" w:ascii="仿宋_GB2312" w:hAnsi="仿宋" w:eastAsia="仿宋_GB2312" w:cs="仿宋"/>
          <w:b w:val="0"/>
          <w:bCs/>
          <w:color w:val="auto"/>
          <w:kern w:val="0"/>
          <w:sz w:val="32"/>
          <w:szCs w:val="32"/>
          <w:highlight w:val="none"/>
          <w:u w:val="none"/>
        </w:rPr>
        <w:t>审批</w:t>
      </w:r>
      <w:r>
        <w:rPr>
          <w:rFonts w:hint="eastAsia" w:ascii="仿宋_GB2312" w:hAnsi="仿宋" w:eastAsia="仿宋_GB2312" w:cs="仿宋"/>
          <w:b w:val="0"/>
          <w:bCs/>
          <w:color w:val="auto"/>
          <w:sz w:val="32"/>
          <w:szCs w:val="32"/>
          <w:highlight w:val="none"/>
          <w:u w:val="none"/>
        </w:rPr>
        <w:t>直管企业年度预算方案。</w:t>
      </w:r>
    </w:p>
    <w:p w14:paraId="4E3A6F04">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（四）委派财务总监、外部董事对</w:t>
      </w:r>
      <w:r>
        <w:rPr>
          <w:rFonts w:hint="eastAsia" w:ascii="仿宋_GB2312" w:hAnsi="仿宋" w:eastAsia="仿宋_GB2312" w:cs="仿宋"/>
          <w:b w:val="0"/>
          <w:bCs/>
          <w:color w:val="auto"/>
          <w:kern w:val="0"/>
          <w:sz w:val="32"/>
          <w:szCs w:val="32"/>
          <w:highlight w:val="none"/>
          <w:u w:val="none"/>
        </w:rPr>
        <w:t>直管</w:t>
      </w:r>
      <w:r>
        <w:rPr>
          <w:rFonts w:hint="eastAsia" w:ascii="仿宋_GB2312" w:hAnsi="仿宋" w:eastAsia="仿宋_GB2312" w:cs="仿宋"/>
          <w:b w:val="0"/>
          <w:bCs/>
          <w:color w:val="auto"/>
          <w:sz w:val="32"/>
          <w:szCs w:val="32"/>
          <w:highlight w:val="none"/>
          <w:u w:val="none"/>
        </w:rPr>
        <w:t>企业财务活动进行监督管理。</w:t>
      </w:r>
    </w:p>
    <w:p w14:paraId="5CCAA218">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（五）</w:t>
      </w:r>
      <w:r>
        <w:rPr>
          <w:rFonts w:hint="eastAsia" w:ascii="仿宋_GB2312" w:hAnsi="仿宋" w:eastAsia="仿宋_GB2312" w:cs="仿宋"/>
          <w:b w:val="0"/>
          <w:bCs/>
          <w:color w:val="auto"/>
          <w:sz w:val="32"/>
          <w:szCs w:val="32"/>
          <w:highlight w:val="none"/>
          <w:u w:val="none"/>
          <w:lang w:val="en-US" w:eastAsia="zh-CN"/>
        </w:rPr>
        <w:t>组织开展</w:t>
      </w:r>
      <w:r>
        <w:rPr>
          <w:rFonts w:hint="eastAsia" w:ascii="仿宋_GB2312" w:hAnsi="仿宋" w:eastAsia="仿宋_GB2312" w:cs="仿宋"/>
          <w:b w:val="0"/>
          <w:bCs/>
          <w:color w:val="auto"/>
          <w:kern w:val="0"/>
          <w:sz w:val="32"/>
          <w:szCs w:val="32"/>
          <w:highlight w:val="none"/>
          <w:u w:val="none"/>
        </w:rPr>
        <w:t>直管</w:t>
      </w:r>
      <w:r>
        <w:rPr>
          <w:rFonts w:hint="eastAsia" w:ascii="仿宋_GB2312" w:hAnsi="仿宋" w:eastAsia="仿宋_GB2312" w:cs="仿宋"/>
          <w:b w:val="0"/>
          <w:bCs/>
          <w:color w:val="auto"/>
          <w:sz w:val="32"/>
          <w:szCs w:val="32"/>
          <w:highlight w:val="none"/>
          <w:u w:val="none"/>
        </w:rPr>
        <w:t>企业年度决算</w:t>
      </w:r>
      <w:r>
        <w:rPr>
          <w:rFonts w:hint="eastAsia" w:ascii="仿宋_GB2312" w:hAnsi="仿宋" w:eastAsia="仿宋_GB2312" w:cs="仿宋"/>
          <w:b w:val="0"/>
          <w:bCs/>
          <w:color w:val="auto"/>
          <w:sz w:val="32"/>
          <w:szCs w:val="32"/>
          <w:highlight w:val="none"/>
          <w:u w:val="none"/>
          <w:lang w:val="en-US" w:eastAsia="zh-CN"/>
        </w:rPr>
        <w:t>和</w:t>
      </w:r>
      <w:r>
        <w:rPr>
          <w:rFonts w:hint="eastAsia" w:ascii="仿宋_GB2312" w:hAnsi="仿宋" w:eastAsia="仿宋_GB2312" w:cs="仿宋"/>
          <w:b w:val="0"/>
          <w:bCs/>
          <w:color w:val="auto"/>
          <w:sz w:val="32"/>
          <w:szCs w:val="32"/>
          <w:highlight w:val="none"/>
          <w:u w:val="none"/>
        </w:rPr>
        <w:t>审计工作。</w:t>
      </w:r>
    </w:p>
    <w:p w14:paraId="3A2A4415">
      <w:pPr>
        <w:spacing w:line="560" w:lineRule="exact"/>
        <w:ind w:firstLine="640"/>
        <w:rPr>
          <w:rFonts w:hint="eastAsia"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（六）依据企业年度预算方案向直管企业下达年度经营业绩指标，对直管企业的年度经营业绩进行考核。</w:t>
      </w:r>
    </w:p>
    <w:p w14:paraId="56AA377C">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hAnsi="仿宋" w:cs="仿宋"/>
          <w:b w:val="0"/>
          <w:bCs/>
          <w:color w:val="auto"/>
          <w:sz w:val="32"/>
          <w:szCs w:val="32"/>
          <w:highlight w:val="none"/>
          <w:u w:val="none"/>
          <w:lang w:eastAsia="zh-CN"/>
        </w:rPr>
        <w:t>七</w:t>
      </w:r>
      <w:r>
        <w:rPr>
          <w:rFonts w:hint="eastAsia" w:ascii="仿宋_GB2312" w:hAnsi="仿宋" w:eastAsia="仿宋_GB2312" w:cs="仿宋"/>
          <w:b w:val="0"/>
          <w:bCs/>
          <w:color w:val="auto"/>
          <w:sz w:val="32"/>
          <w:szCs w:val="32"/>
          <w:highlight w:val="none"/>
          <w:u w:val="none"/>
        </w:rPr>
        <w:t>）</w:t>
      </w:r>
      <w:r>
        <w:rPr>
          <w:rFonts w:hint="eastAsia" w:hAnsi="仿宋" w:cs="仿宋"/>
          <w:b w:val="0"/>
          <w:bCs/>
          <w:color w:val="auto"/>
          <w:sz w:val="32"/>
          <w:szCs w:val="32"/>
          <w:highlight w:val="none"/>
          <w:u w:val="none"/>
          <w:lang w:eastAsia="zh-CN"/>
        </w:rPr>
        <w:t>法律法规</w:t>
      </w:r>
      <w:r>
        <w:rPr>
          <w:rFonts w:hint="eastAsia" w:ascii="仿宋_GB2312" w:hAnsi="仿宋" w:eastAsia="仿宋_GB2312" w:cs="仿宋"/>
          <w:b w:val="0"/>
          <w:bCs/>
          <w:color w:val="auto"/>
          <w:sz w:val="32"/>
          <w:szCs w:val="32"/>
          <w:highlight w:val="none"/>
          <w:u w:val="none"/>
        </w:rPr>
        <w:t>及</w:t>
      </w:r>
      <w:r>
        <w:rPr>
          <w:rFonts w:hint="eastAsia" w:ascii="仿宋_GB2312" w:hAnsi="仿宋" w:eastAsia="仿宋_GB2312" w:cs="仿宋"/>
          <w:b w:val="0"/>
          <w:bCs/>
          <w:color w:val="auto"/>
          <w:kern w:val="0"/>
          <w:sz w:val="32"/>
          <w:szCs w:val="32"/>
          <w:highlight w:val="none"/>
          <w:u w:val="none"/>
        </w:rPr>
        <w:t>区政府</w:t>
      </w:r>
      <w:r>
        <w:rPr>
          <w:rFonts w:hint="eastAsia" w:ascii="仿宋_GB2312" w:hAnsi="仿宋" w:eastAsia="仿宋_GB2312" w:cs="仿宋"/>
          <w:b w:val="0"/>
          <w:bCs/>
          <w:color w:val="auto"/>
          <w:sz w:val="32"/>
          <w:szCs w:val="32"/>
          <w:highlight w:val="none"/>
          <w:u w:val="none"/>
        </w:rPr>
        <w:t>授权的其他职责。</w:t>
      </w:r>
    </w:p>
    <w:p w14:paraId="4C23E4EE">
      <w:pPr>
        <w:pStyle w:val="12"/>
        <w:numPr>
          <w:ilvl w:val="0"/>
          <w:numId w:val="1"/>
        </w:numPr>
        <w:spacing w:line="560" w:lineRule="exact"/>
        <w:ind w:left="0"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直管</w:t>
      </w:r>
      <w:r>
        <w:rPr>
          <w:rFonts w:hint="eastAsia" w:ascii="仿宋_GB2312" w:hAnsi="仿宋" w:eastAsia="仿宋_GB2312" w:cs="仿宋"/>
          <w:b w:val="0"/>
          <w:bCs/>
          <w:color w:val="auto"/>
          <w:sz w:val="32"/>
          <w:szCs w:val="32"/>
          <w:highlight w:val="none"/>
          <w:u w:val="none"/>
        </w:rPr>
        <w:t>企业为企业财务行为实施主体及直接责任人，主要履行以下职责：</w:t>
      </w:r>
    </w:p>
    <w:p w14:paraId="3D75A6B8">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（一）制定本企业财务管理制度并规范执行。</w:t>
      </w:r>
    </w:p>
    <w:p w14:paraId="22770669">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（二）编制本企业及其所属企业的国有资本经营预算建议方案。</w:t>
      </w:r>
    </w:p>
    <w:p w14:paraId="17C3AC95">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（三）编制本企业及其所属企业的年度预算方案。</w:t>
      </w:r>
    </w:p>
    <w:p w14:paraId="770E8669">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（四）监督检查、规范所属企业的财务管理活动。</w:t>
      </w:r>
    </w:p>
    <w:p w14:paraId="770451C8">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（五）配合</w:t>
      </w: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对企业财务活动的监督管理。</w:t>
      </w:r>
    </w:p>
    <w:p w14:paraId="29D29417">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（六）收集分析企业财务、资产收益及支出、投融资及担保、资产处置、资产变动等情况，并向</w:t>
      </w: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报告。</w:t>
      </w:r>
    </w:p>
    <w:p w14:paraId="3BBF83D2">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（七）对所属企业下达年度经营指标，并对所属企业的年度经营业绩进行考核。</w:t>
      </w:r>
    </w:p>
    <w:p w14:paraId="78BE76DB">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（八）</w:t>
      </w:r>
      <w:r>
        <w:rPr>
          <w:rFonts w:hint="eastAsia" w:ascii="仿宋_GB2312" w:hAnsi="仿宋" w:eastAsia="仿宋_GB2312" w:cs="仿宋"/>
          <w:b w:val="0"/>
          <w:bCs/>
          <w:color w:val="auto"/>
          <w:kern w:val="0"/>
          <w:sz w:val="32"/>
          <w:szCs w:val="32"/>
          <w:highlight w:val="none"/>
          <w:u w:val="none"/>
        </w:rPr>
        <w:t>通过财务审计、产权界定、产权登记等方式，清点本企业及所属企业占用的国有资产、资源具体数据和相关具体情况，并向区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报告。</w:t>
      </w:r>
    </w:p>
    <w:p w14:paraId="63DE41E5">
      <w:pPr>
        <w:spacing w:line="560" w:lineRule="exact"/>
        <w:ind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（九）</w:t>
      </w:r>
      <w:r>
        <w:rPr>
          <w:rFonts w:hint="eastAsia" w:hAnsi="仿宋" w:cs="仿宋"/>
          <w:b w:val="0"/>
          <w:bCs/>
          <w:color w:val="auto"/>
          <w:sz w:val="32"/>
          <w:szCs w:val="32"/>
          <w:highlight w:val="none"/>
          <w:u w:val="none"/>
          <w:lang w:eastAsia="zh-CN"/>
        </w:rPr>
        <w:t>法律法规</w:t>
      </w:r>
      <w:r>
        <w:rPr>
          <w:rFonts w:hint="eastAsia" w:ascii="仿宋_GB2312" w:hAnsi="仿宋" w:eastAsia="仿宋_GB2312" w:cs="仿宋"/>
          <w:b w:val="0"/>
          <w:bCs/>
          <w:color w:val="auto"/>
          <w:sz w:val="32"/>
          <w:szCs w:val="32"/>
          <w:highlight w:val="none"/>
          <w:u w:val="none"/>
        </w:rPr>
        <w:t>或</w:t>
      </w: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要求的其他事项。</w:t>
      </w:r>
    </w:p>
    <w:p w14:paraId="260ACBA6">
      <w:pPr>
        <w:spacing w:line="560" w:lineRule="exact"/>
        <w:ind w:firstLine="640"/>
        <w:rPr>
          <w:rFonts w:ascii="仿宋_GB2312" w:hAnsi="仿宋" w:eastAsia="仿宋_GB2312" w:cs="仿宋"/>
          <w:b w:val="0"/>
          <w:bCs/>
          <w:color w:val="auto"/>
          <w:sz w:val="32"/>
          <w:szCs w:val="32"/>
          <w:highlight w:val="none"/>
          <w:u w:val="none"/>
        </w:rPr>
      </w:pPr>
    </w:p>
    <w:p w14:paraId="00602E59">
      <w:pPr>
        <w:spacing w:line="560" w:lineRule="exact"/>
        <w:jc w:val="center"/>
        <w:rPr>
          <w:rFonts w:ascii="黑体" w:hAnsi="黑体" w:eastAsia="黑体" w:cs="仿宋"/>
          <w:b w:val="0"/>
          <w:bCs/>
          <w:color w:val="auto"/>
          <w:kern w:val="0"/>
          <w:sz w:val="32"/>
          <w:szCs w:val="32"/>
          <w:highlight w:val="none"/>
          <w:u w:val="none"/>
        </w:rPr>
      </w:pPr>
      <w:r>
        <w:rPr>
          <w:rFonts w:hint="eastAsia" w:ascii="黑体" w:hAnsi="黑体" w:eastAsia="黑体" w:cs="仿宋"/>
          <w:b w:val="0"/>
          <w:bCs/>
          <w:color w:val="auto"/>
          <w:sz w:val="32"/>
          <w:szCs w:val="32"/>
          <w:highlight w:val="none"/>
          <w:u w:val="none"/>
        </w:rPr>
        <w:t xml:space="preserve">第二章  </w:t>
      </w:r>
      <w:r>
        <w:rPr>
          <w:rFonts w:hint="eastAsia" w:ascii="黑体" w:hAnsi="黑体" w:eastAsia="黑体" w:cs="仿宋"/>
          <w:b w:val="0"/>
          <w:bCs/>
          <w:color w:val="auto"/>
          <w:sz w:val="32"/>
          <w:szCs w:val="32"/>
          <w:highlight w:val="none"/>
          <w:u w:val="none"/>
          <w:lang w:eastAsia="zh-CN"/>
        </w:rPr>
        <w:t>企业</w:t>
      </w:r>
      <w:r>
        <w:rPr>
          <w:rFonts w:hint="eastAsia" w:ascii="黑体" w:hAnsi="黑体" w:eastAsia="黑体" w:cs="仿宋"/>
          <w:b w:val="0"/>
          <w:bCs/>
          <w:color w:val="auto"/>
          <w:sz w:val="32"/>
          <w:szCs w:val="32"/>
          <w:highlight w:val="none"/>
          <w:u w:val="none"/>
        </w:rPr>
        <w:t>预算管理</w:t>
      </w:r>
    </w:p>
    <w:p w14:paraId="3D67AE9B">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本规定所称的预算管理是指直管企业根据市场环境、自身战略规划和经营决策、财务资金状况等信息对年度内企业经营活动</w:t>
      </w:r>
      <w:r>
        <w:rPr>
          <w:rFonts w:hint="eastAsia" w:ascii="仿宋_GB2312" w:hAnsi="仿宋" w:eastAsia="仿宋_GB2312" w:cs="仿宋"/>
          <w:b w:val="0"/>
          <w:bCs/>
          <w:color w:val="auto"/>
          <w:kern w:val="0"/>
          <w:sz w:val="32"/>
          <w:szCs w:val="32"/>
          <w:highlight w:val="none"/>
          <w:u w:val="none"/>
          <w:lang w:eastAsia="zh-CN"/>
        </w:rPr>
        <w:t>作出</w:t>
      </w:r>
      <w:r>
        <w:rPr>
          <w:rFonts w:hint="eastAsia" w:ascii="仿宋_GB2312" w:hAnsi="仿宋" w:eastAsia="仿宋_GB2312" w:cs="仿宋"/>
          <w:b w:val="0"/>
          <w:bCs/>
          <w:color w:val="auto"/>
          <w:kern w:val="0"/>
          <w:sz w:val="32"/>
          <w:szCs w:val="32"/>
          <w:highlight w:val="none"/>
          <w:u w:val="none"/>
        </w:rPr>
        <w:t>合理测算，将企业全部经营活动纳入预算编制范围，对企业的财务和经营行为进行监督和控制的行为。</w:t>
      </w:r>
    </w:p>
    <w:p w14:paraId="45993584">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直管企业应当设立预算管理委员会，履行预算管理职责，企业预算管理委员会成员由董事</w:t>
      </w:r>
      <w:r>
        <w:rPr>
          <w:rFonts w:hint="eastAsia" w:ascii="仿宋_GB2312" w:hAnsi="仿宋" w:eastAsia="仿宋_GB2312" w:cs="仿宋"/>
          <w:b w:val="0"/>
          <w:bCs/>
          <w:color w:val="auto"/>
          <w:kern w:val="0"/>
          <w:sz w:val="32"/>
          <w:szCs w:val="32"/>
          <w:highlight w:val="none"/>
          <w:u w:val="none"/>
          <w:lang w:eastAsia="zh-CN"/>
        </w:rPr>
        <w:t>会</w:t>
      </w:r>
      <w:r>
        <w:rPr>
          <w:rFonts w:hint="eastAsia" w:ascii="仿宋_GB2312" w:hAnsi="仿宋" w:eastAsia="仿宋_GB2312" w:cs="仿宋"/>
          <w:b w:val="0"/>
          <w:bCs/>
          <w:color w:val="auto"/>
          <w:kern w:val="0"/>
          <w:sz w:val="32"/>
          <w:szCs w:val="32"/>
          <w:highlight w:val="none"/>
          <w:u w:val="none"/>
        </w:rPr>
        <w:t>及经营班子相关成员组成，财务总监应为预算管理委员会的成员。</w:t>
      </w:r>
    </w:p>
    <w:p w14:paraId="1B8A1AAA">
      <w:pPr>
        <w:widowControl/>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预算管理委员会主要负责拟定预算目标和预算政策，制定预算管理的具体措施和办法，组织编制、审议、平衡年度预算报告（草案），下达经批准的年度预算，协调解决预算编制和执行中的问题，考核预算执行情况，督促完成预算目标。</w:t>
      </w:r>
    </w:p>
    <w:p w14:paraId="6502A540">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区国有企业预算管理主要包括：业务预算、资本预算、筹资预算、资金预算、费用预算。</w:t>
      </w:r>
    </w:p>
    <w:p w14:paraId="189E536C">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业务预算包括业务经营预算和主要业务损益预算，是企业编制年度预算的基础。直管企业要对主要业务的发展趋势及生产经营情况进行客观预算，对企业产生重大影响的生产经营决策作出说明。</w:t>
      </w:r>
    </w:p>
    <w:p w14:paraId="39272149">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资本预算包括固定资产投资预算、长期股权投资预算和无形资产投资预算等，是反映预算期内企业进行资本性支出活动的预算。</w:t>
      </w:r>
    </w:p>
    <w:p w14:paraId="27B8A175">
      <w:pPr>
        <w:widowControl/>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企业根据年度投资计划编制年度投资预算，投资事项在</w:t>
      </w:r>
      <w:r>
        <w:rPr>
          <w:rFonts w:hint="eastAsia" w:hAnsi="仿宋" w:cs="仿宋"/>
          <w:b w:val="0"/>
          <w:bCs/>
          <w:color w:val="auto"/>
          <w:kern w:val="0"/>
          <w:sz w:val="32"/>
          <w:szCs w:val="32"/>
          <w:highlight w:val="none"/>
          <w:u w:val="none"/>
          <w:lang w:eastAsia="zh-CN"/>
        </w:rPr>
        <w:t>完成规定的审批决策</w:t>
      </w:r>
      <w:r>
        <w:rPr>
          <w:rFonts w:hint="eastAsia" w:ascii="仿宋_GB2312" w:hAnsi="仿宋" w:eastAsia="仿宋_GB2312" w:cs="仿宋"/>
          <w:b w:val="0"/>
          <w:bCs/>
          <w:color w:val="auto"/>
          <w:kern w:val="0"/>
          <w:sz w:val="32"/>
          <w:szCs w:val="32"/>
          <w:highlight w:val="none"/>
          <w:u w:val="none"/>
        </w:rPr>
        <w:t>程序后</w:t>
      </w:r>
      <w:r>
        <w:rPr>
          <w:rFonts w:hint="eastAsia" w:hAnsi="仿宋" w:cs="仿宋"/>
          <w:b w:val="0"/>
          <w:bCs/>
          <w:color w:val="auto"/>
          <w:kern w:val="0"/>
          <w:sz w:val="32"/>
          <w:szCs w:val="32"/>
          <w:highlight w:val="none"/>
          <w:u w:val="none"/>
          <w:lang w:val="en-US" w:eastAsia="zh-CN"/>
        </w:rPr>
        <w:t>实施</w:t>
      </w:r>
      <w:r>
        <w:rPr>
          <w:rFonts w:hint="eastAsia" w:ascii="仿宋_GB2312" w:hAnsi="仿宋" w:eastAsia="仿宋_GB2312" w:cs="仿宋"/>
          <w:b w:val="0"/>
          <w:bCs/>
          <w:color w:val="auto"/>
          <w:kern w:val="0"/>
          <w:sz w:val="32"/>
          <w:szCs w:val="32"/>
          <w:highlight w:val="none"/>
          <w:u w:val="none"/>
        </w:rPr>
        <w:t>。</w:t>
      </w:r>
    </w:p>
    <w:p w14:paraId="66F32A9D">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筹资预算是企业年度内对外融资的预算。直管企业应对重大筹资情况包括筹资目的、规模、方式、费用等进行说明，并具体分析筹资行为对企业财务费用增长、资产负债率、速动比率等财务指标带来的影响。其中企业资产负债率连续增长且处于行业较高水平的，应说明原因及控制措施。</w:t>
      </w:r>
    </w:p>
    <w:p w14:paraId="63A6F48D">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资金预算是企业年度内资金来源、使用、统筹情况的预算。直管企业要对年度内利润、现金流量、资产负债情况进行说明，并重点分析经营性现金流量变化、投资与筹资交叉产生的现金流量变化，以及企业为保障资金安全可能采取的具体应对措施。</w:t>
      </w:r>
    </w:p>
    <w:p w14:paraId="09E2BD3B">
      <w:pPr>
        <w:pStyle w:val="12"/>
        <w:numPr>
          <w:ilvl w:val="0"/>
          <w:numId w:val="1"/>
        </w:numPr>
        <w:spacing w:line="560" w:lineRule="exact"/>
        <w:ind w:left="0" w:firstLine="640"/>
        <w:rPr>
          <w:rFonts w:hint="eastAsia"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费用预算包括企业年度内人工成本在内的各项成本费用预算。直管企业应编制企业年度员工薪酬总额预算方案，主要内容包括企业员工数量及构成、薪酬总额、人均薪酬、薪酬水平变动原因、岗位薪酬标准、人工成本占经营收入及成本费用比重等；当人工成本总额、员工人均成本或工资超过收入或利润增幅，应详细说明原因。</w:t>
      </w:r>
    </w:p>
    <w:p w14:paraId="4FE6683B">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直管企业应当在预算年度内向区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报送年度全面预算报表及预算编制说明。报告由以下部分构成：</w:t>
      </w:r>
    </w:p>
    <w:p w14:paraId="63EA0393">
      <w:pPr>
        <w:widowControl/>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（一）年度预算报表。</w:t>
      </w:r>
    </w:p>
    <w:p w14:paraId="15DAE713">
      <w:pPr>
        <w:widowControl/>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（二）年度预算编制说明。</w:t>
      </w:r>
    </w:p>
    <w:p w14:paraId="1951F70F">
      <w:pPr>
        <w:widowControl/>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（三）其他相关材料。</w:t>
      </w:r>
    </w:p>
    <w:p w14:paraId="336DA60B">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直管企业应当对年度预算报表的编制及全面预算管理有关情况进行分析说明，主要包括：</w:t>
      </w:r>
    </w:p>
    <w:p w14:paraId="50FA620E">
      <w:pPr>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（一）企业战略目标的制定。</w:t>
      </w:r>
    </w:p>
    <w:p w14:paraId="093BC051">
      <w:pPr>
        <w:widowControl/>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（二）宏观经济形势、行业发展趋势的研判。</w:t>
      </w:r>
    </w:p>
    <w:p w14:paraId="3F5FBD35">
      <w:pPr>
        <w:widowControl/>
        <w:numPr>
          <w:ilvl w:val="0"/>
          <w:numId w:val="0"/>
        </w:numPr>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（三）预算编制工作的组织。</w:t>
      </w:r>
    </w:p>
    <w:p w14:paraId="5BC8A697">
      <w:pPr>
        <w:widowControl/>
        <w:numPr>
          <w:ilvl w:val="0"/>
          <w:numId w:val="0"/>
        </w:numPr>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（四）预算年度内主要预算指标的分析。</w:t>
      </w:r>
    </w:p>
    <w:p w14:paraId="3F50B0AB">
      <w:pPr>
        <w:widowControl/>
        <w:numPr>
          <w:ilvl w:val="0"/>
          <w:numId w:val="0"/>
        </w:numPr>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（五）预算编制基础、基本假设及采用的重要会计政策说明。</w:t>
      </w:r>
    </w:p>
    <w:p w14:paraId="10A8B1CC">
      <w:pPr>
        <w:widowControl/>
        <w:numPr>
          <w:ilvl w:val="0"/>
          <w:numId w:val="0"/>
        </w:numPr>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（六）预算执行保障措施以及可能影响预算指标事项的说明。</w:t>
      </w:r>
    </w:p>
    <w:p w14:paraId="22FACFBD">
      <w:pPr>
        <w:widowControl/>
        <w:numPr>
          <w:ilvl w:val="0"/>
          <w:numId w:val="0"/>
        </w:numPr>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（七）其他需要说明的情况。</w:t>
      </w:r>
    </w:p>
    <w:p w14:paraId="31027246">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直管企业应对预算年度重大事项进行说明，主要包括以下情况：</w:t>
      </w:r>
    </w:p>
    <w:p w14:paraId="54CC7FC4">
      <w:pPr>
        <w:widowControl/>
        <w:numPr>
          <w:ilvl w:val="0"/>
          <w:numId w:val="2"/>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年度内拟出售固定资产、债务重组等重大营业外收支的原因、金额、对象、方式等。</w:t>
      </w:r>
    </w:p>
    <w:p w14:paraId="2862F19B">
      <w:pPr>
        <w:widowControl/>
        <w:numPr>
          <w:ilvl w:val="0"/>
          <w:numId w:val="2"/>
        </w:numPr>
        <w:shd w:val="clear" w:color="auto" w:fill="auto"/>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hAnsi="仿宋" w:cs="仿宋"/>
          <w:b w:val="0"/>
          <w:bCs/>
          <w:color w:val="auto"/>
          <w:kern w:val="0"/>
          <w:sz w:val="32"/>
          <w:szCs w:val="32"/>
          <w:highlight w:val="none"/>
          <w:u w:val="none"/>
          <w:lang w:eastAsia="zh-CN"/>
        </w:rPr>
        <w:t>年度内投资计划、金额、方式、计划进度等。</w:t>
      </w:r>
    </w:p>
    <w:p w14:paraId="6424554F">
      <w:pPr>
        <w:widowControl/>
        <w:numPr>
          <w:ilvl w:val="0"/>
          <w:numId w:val="2"/>
        </w:numPr>
        <w:shd w:val="clear" w:color="auto" w:fill="auto"/>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hAnsi="仿宋" w:cs="仿宋"/>
          <w:b w:val="0"/>
          <w:bCs/>
          <w:color w:val="auto"/>
          <w:kern w:val="0"/>
          <w:sz w:val="32"/>
          <w:szCs w:val="32"/>
          <w:highlight w:val="none"/>
          <w:u w:val="none"/>
          <w:lang w:eastAsia="zh-CN"/>
        </w:rPr>
        <w:t>企业薪酬总额及其构成，人均薪酬水平，其中领导人员薪酬应当单列并予以说明。</w:t>
      </w:r>
    </w:p>
    <w:p w14:paraId="39302C0D">
      <w:pPr>
        <w:widowControl/>
        <w:numPr>
          <w:ilvl w:val="0"/>
          <w:numId w:val="2"/>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hAnsi="仿宋" w:cs="仿宋"/>
          <w:b w:val="0"/>
          <w:bCs/>
          <w:color w:val="auto"/>
          <w:kern w:val="0"/>
          <w:sz w:val="32"/>
          <w:szCs w:val="32"/>
          <w:highlight w:val="none"/>
          <w:u w:val="none"/>
          <w:lang w:eastAsia="zh-CN"/>
        </w:rPr>
        <w:t>对</w:t>
      </w:r>
      <w:r>
        <w:rPr>
          <w:rFonts w:hint="eastAsia" w:ascii="仿宋_GB2312" w:hAnsi="仿宋" w:eastAsia="仿宋_GB2312" w:cs="仿宋"/>
          <w:b w:val="0"/>
          <w:bCs/>
          <w:color w:val="auto"/>
          <w:kern w:val="0"/>
          <w:sz w:val="32"/>
          <w:szCs w:val="32"/>
          <w:highlight w:val="none"/>
          <w:u w:val="none"/>
        </w:rPr>
        <w:t>年度内担保、抵押等事项予以说明。</w:t>
      </w:r>
    </w:p>
    <w:p w14:paraId="3E106D1C">
      <w:pPr>
        <w:widowControl/>
        <w:numPr>
          <w:ilvl w:val="0"/>
          <w:numId w:val="2"/>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年度内对外捐赠支出项目、支出规模、支出方案等，</w:t>
      </w:r>
      <w:r>
        <w:rPr>
          <w:rFonts w:hint="eastAsia" w:hAnsi="仿宋" w:cs="仿宋"/>
          <w:b w:val="0"/>
          <w:bCs/>
          <w:color w:val="auto"/>
          <w:kern w:val="0"/>
          <w:sz w:val="32"/>
          <w:szCs w:val="32"/>
          <w:highlight w:val="none"/>
          <w:u w:val="none"/>
          <w:lang w:eastAsia="zh-CN"/>
        </w:rPr>
        <w:t>以及</w:t>
      </w:r>
      <w:r>
        <w:rPr>
          <w:rFonts w:hint="eastAsia" w:ascii="仿宋_GB2312" w:hAnsi="仿宋" w:eastAsia="仿宋_GB2312" w:cs="仿宋"/>
          <w:b w:val="0"/>
          <w:bCs/>
          <w:color w:val="auto"/>
          <w:kern w:val="0"/>
          <w:sz w:val="32"/>
          <w:szCs w:val="32"/>
          <w:highlight w:val="none"/>
          <w:u w:val="none"/>
        </w:rPr>
        <w:t>上年度对外捐赠预算执行、实施情况，应进行总结分析。</w:t>
      </w:r>
    </w:p>
    <w:p w14:paraId="53616F77">
      <w:pPr>
        <w:widowControl/>
        <w:numPr>
          <w:ilvl w:val="0"/>
          <w:numId w:val="2"/>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认为需要说明的事项。</w:t>
      </w:r>
    </w:p>
    <w:p w14:paraId="420FE8D2">
      <w:pPr>
        <w:pStyle w:val="12"/>
        <w:numPr>
          <w:ilvl w:val="0"/>
          <w:numId w:val="1"/>
        </w:numPr>
        <w:spacing w:line="560" w:lineRule="exact"/>
        <w:ind w:left="0" w:firstLine="643"/>
        <w:rPr>
          <w:rFonts w:ascii="仿宋_GB2312" w:hAnsi="仿宋" w:eastAsia="仿宋_GB2312"/>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企业全面预算编制程序如下：</w:t>
      </w:r>
    </w:p>
    <w:p w14:paraId="55792ADE">
      <w:pPr>
        <w:spacing w:line="560" w:lineRule="exact"/>
        <w:ind w:firstLine="640" w:firstLineChars="200"/>
        <w:rPr>
          <w:rFonts w:ascii="仿宋_GB2312" w:hAnsi="Times New Roman" w:eastAsia="仿宋_GB2312"/>
          <w:b w:val="0"/>
          <w:bCs/>
          <w:color w:val="auto"/>
          <w:sz w:val="32"/>
          <w:szCs w:val="32"/>
          <w:highlight w:val="none"/>
          <w:u w:val="none"/>
        </w:rPr>
      </w:pPr>
      <w:r>
        <w:rPr>
          <w:rFonts w:hint="eastAsia" w:ascii="仿宋_GB2312" w:hAnsi="Times New Roman" w:eastAsia="仿宋_GB2312"/>
          <w:b w:val="0"/>
          <w:bCs/>
          <w:color w:val="auto"/>
          <w:sz w:val="32"/>
          <w:szCs w:val="32"/>
          <w:highlight w:val="none"/>
          <w:u w:val="none"/>
        </w:rPr>
        <w:t>（一）直管</w:t>
      </w:r>
      <w:r>
        <w:rPr>
          <w:rFonts w:hint="eastAsia" w:ascii="仿宋_GB2312" w:hAnsi="仿宋" w:eastAsia="仿宋_GB2312" w:cs="仿宋"/>
          <w:b w:val="0"/>
          <w:bCs/>
          <w:color w:val="auto"/>
          <w:kern w:val="0"/>
          <w:sz w:val="32"/>
          <w:szCs w:val="32"/>
          <w:highlight w:val="none"/>
          <w:u w:val="none"/>
        </w:rPr>
        <w:t>企业应当于每年</w:t>
      </w:r>
      <w:r>
        <w:rPr>
          <w:rFonts w:ascii="仿宋_GB2312" w:hAnsi="仿宋" w:eastAsia="仿宋_GB2312" w:cs="仿宋"/>
          <w:b w:val="0"/>
          <w:bCs/>
          <w:color w:val="auto"/>
          <w:kern w:val="0"/>
          <w:sz w:val="32"/>
          <w:szCs w:val="32"/>
          <w:highlight w:val="none"/>
          <w:u w:val="none"/>
        </w:rPr>
        <w:t>10月底</w:t>
      </w:r>
      <w:r>
        <w:rPr>
          <w:rFonts w:hint="eastAsia" w:ascii="仿宋_GB2312" w:hAnsi="仿宋" w:eastAsia="仿宋_GB2312" w:cs="仿宋"/>
          <w:b w:val="0"/>
          <w:bCs/>
          <w:color w:val="auto"/>
          <w:kern w:val="0"/>
          <w:sz w:val="32"/>
          <w:szCs w:val="32"/>
          <w:highlight w:val="none"/>
          <w:u w:val="none"/>
        </w:rPr>
        <w:t>之前，将企业下一年度经营目标分解下达到各所属企业，并组织所属企业编制、上报、修改下一年度本企业预算报告（草案）</w:t>
      </w:r>
      <w:r>
        <w:rPr>
          <w:rFonts w:hint="eastAsia" w:ascii="仿宋_GB2312" w:hAnsi="Times New Roman" w:eastAsia="仿宋_GB2312"/>
          <w:b w:val="0"/>
          <w:bCs/>
          <w:color w:val="auto"/>
          <w:sz w:val="32"/>
          <w:szCs w:val="32"/>
          <w:highlight w:val="none"/>
          <w:u w:val="none"/>
        </w:rPr>
        <w:t>。</w:t>
      </w:r>
    </w:p>
    <w:p w14:paraId="4CAADC91">
      <w:pPr>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Times New Roman" w:eastAsia="仿宋_GB2312"/>
          <w:b w:val="0"/>
          <w:bCs/>
          <w:color w:val="auto"/>
          <w:sz w:val="32"/>
          <w:szCs w:val="32"/>
          <w:highlight w:val="none"/>
          <w:u w:val="none"/>
        </w:rPr>
        <w:t>（二）直管</w:t>
      </w:r>
      <w:r>
        <w:rPr>
          <w:rFonts w:hint="eastAsia" w:ascii="仿宋_GB2312" w:hAnsi="仿宋" w:eastAsia="仿宋_GB2312" w:cs="仿宋"/>
          <w:b w:val="0"/>
          <w:bCs/>
          <w:color w:val="auto"/>
          <w:kern w:val="0"/>
          <w:sz w:val="32"/>
          <w:szCs w:val="32"/>
          <w:highlight w:val="none"/>
          <w:u w:val="none"/>
        </w:rPr>
        <w:t>企业对所</w:t>
      </w:r>
      <w:r>
        <w:rPr>
          <w:rFonts w:ascii="仿宋_GB2312" w:hAnsi="仿宋" w:eastAsia="仿宋_GB2312" w:cs="仿宋"/>
          <w:b w:val="0"/>
          <w:bCs/>
          <w:color w:val="auto"/>
          <w:kern w:val="0"/>
          <w:sz w:val="32"/>
          <w:szCs w:val="32"/>
          <w:highlight w:val="none"/>
          <w:u w:val="none"/>
        </w:rPr>
        <w:t>属</w:t>
      </w:r>
      <w:r>
        <w:rPr>
          <w:rFonts w:hint="eastAsia" w:ascii="仿宋_GB2312" w:hAnsi="仿宋" w:eastAsia="仿宋_GB2312" w:cs="仿宋"/>
          <w:b w:val="0"/>
          <w:bCs/>
          <w:color w:val="auto"/>
          <w:kern w:val="0"/>
          <w:sz w:val="32"/>
          <w:szCs w:val="32"/>
          <w:highlight w:val="none"/>
          <w:u w:val="none"/>
        </w:rPr>
        <w:t>企业的预算报告（草案）进行审核汇总，并按照区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统一的报表格式和编制要求，编制上报下一年度预算报告（草案），于每年</w:t>
      </w:r>
      <w:r>
        <w:rPr>
          <w:rFonts w:ascii="仿宋_GB2312" w:hAnsi="仿宋" w:eastAsia="仿宋_GB2312" w:cs="仿宋"/>
          <w:b w:val="0"/>
          <w:bCs/>
          <w:color w:val="auto"/>
          <w:kern w:val="0"/>
          <w:sz w:val="32"/>
          <w:szCs w:val="32"/>
          <w:highlight w:val="none"/>
          <w:u w:val="none"/>
        </w:rPr>
        <w:t>12</w:t>
      </w:r>
      <w:r>
        <w:rPr>
          <w:rFonts w:hint="eastAsia" w:ascii="仿宋_GB2312" w:hAnsi="仿宋" w:eastAsia="仿宋_GB2312" w:cs="仿宋"/>
          <w:b w:val="0"/>
          <w:bCs/>
          <w:color w:val="auto"/>
          <w:kern w:val="0"/>
          <w:sz w:val="32"/>
          <w:szCs w:val="32"/>
          <w:highlight w:val="none"/>
          <w:u w:val="none"/>
        </w:rPr>
        <w:t>月底之前报送区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对预算报告（草案）进行初审，并与直管企业交换预算审核意见，对于需要调整的，直管企业根据反馈意见进行修改。</w:t>
      </w:r>
    </w:p>
    <w:p w14:paraId="4E60094A">
      <w:pPr>
        <w:pStyle w:val="7"/>
        <w:spacing w:before="0" w:beforeAutospacing="0" w:after="0" w:afterAutospacing="0" w:line="560" w:lineRule="exact"/>
        <w:ind w:firstLine="646"/>
        <w:jc w:val="both"/>
        <w:rPr>
          <w:rFonts w:ascii="仿宋_GB2312" w:hAnsi="仿宋" w:eastAsia="仿宋_GB2312" w:cs="仿宋"/>
          <w:b w:val="0"/>
          <w:bCs/>
          <w:color w:val="auto"/>
          <w:sz w:val="32"/>
          <w:szCs w:val="32"/>
          <w:highlight w:val="none"/>
          <w:u w:val="none"/>
        </w:rPr>
      </w:pPr>
      <w:r>
        <w:rPr>
          <w:rFonts w:hint="eastAsia" w:ascii="仿宋_GB2312" w:hAnsi="Times New Roman" w:eastAsia="仿宋_GB2312"/>
          <w:b w:val="0"/>
          <w:bCs/>
          <w:color w:val="auto"/>
          <w:sz w:val="32"/>
          <w:szCs w:val="32"/>
          <w:highlight w:val="none"/>
          <w:u w:val="none"/>
        </w:rPr>
        <w:t>（三）直管</w:t>
      </w:r>
      <w:r>
        <w:rPr>
          <w:rFonts w:hint="eastAsia" w:ascii="仿宋_GB2312" w:hAnsi="仿宋" w:eastAsia="仿宋_GB2312" w:cs="仿宋"/>
          <w:b w:val="0"/>
          <w:bCs/>
          <w:color w:val="auto"/>
          <w:sz w:val="32"/>
          <w:szCs w:val="32"/>
          <w:highlight w:val="none"/>
          <w:u w:val="none"/>
        </w:rPr>
        <w:t>企业于次年2月</w:t>
      </w:r>
      <w:r>
        <w:rPr>
          <w:rFonts w:ascii="仿宋_GB2312" w:hAnsi="仿宋" w:eastAsia="仿宋_GB2312" w:cs="仿宋"/>
          <w:b w:val="0"/>
          <w:bCs/>
          <w:color w:val="auto"/>
          <w:sz w:val="32"/>
          <w:szCs w:val="32"/>
          <w:highlight w:val="none"/>
          <w:u w:val="none"/>
        </w:rPr>
        <w:t>底之</w:t>
      </w:r>
      <w:r>
        <w:rPr>
          <w:rFonts w:hint="eastAsia" w:ascii="仿宋_GB2312" w:hAnsi="仿宋" w:eastAsia="仿宋_GB2312" w:cs="仿宋"/>
          <w:b w:val="0"/>
          <w:bCs/>
          <w:color w:val="auto"/>
          <w:sz w:val="32"/>
          <w:szCs w:val="32"/>
          <w:highlight w:val="none"/>
          <w:u w:val="none"/>
        </w:rPr>
        <w:t>前，将修改后形成的预算报告（正式案）报送区</w:t>
      </w:r>
      <w:r>
        <w:rPr>
          <w:rFonts w:hint="default" w:ascii="仿宋_GB2312" w:hAnsi="仿宋" w:eastAsia="仿宋_GB2312"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最终审定。</w:t>
      </w:r>
    </w:p>
    <w:p w14:paraId="19F44257">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企业预算方案经审批后应严格执行，原则上不得随意变动。企业预算执行过程中出现以下情况之一的，可以在每年</w:t>
      </w:r>
      <w:r>
        <w:rPr>
          <w:rFonts w:hint="eastAsia" w:ascii="仿宋_GB2312" w:hAnsi="仿宋" w:eastAsia="仿宋_GB2312" w:cs="仿宋"/>
          <w:b w:val="0"/>
          <w:bCs/>
          <w:color w:val="auto"/>
          <w:kern w:val="0"/>
          <w:sz w:val="32"/>
          <w:szCs w:val="32"/>
          <w:highlight w:val="none"/>
          <w:u w:val="none"/>
          <w:lang w:val="en-US" w:eastAsia="zh-CN"/>
        </w:rPr>
        <w:t>9</w:t>
      </w:r>
      <w:r>
        <w:rPr>
          <w:rFonts w:hint="eastAsia" w:ascii="仿宋_GB2312" w:hAnsi="仿宋" w:eastAsia="仿宋_GB2312" w:cs="仿宋"/>
          <w:b w:val="0"/>
          <w:bCs/>
          <w:color w:val="auto"/>
          <w:kern w:val="0"/>
          <w:sz w:val="32"/>
          <w:szCs w:val="32"/>
          <w:highlight w:val="none"/>
          <w:u w:val="none"/>
        </w:rPr>
        <w:t>月底之前申请调整，经区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审批后执行：</w:t>
      </w:r>
    </w:p>
    <w:p w14:paraId="002B0E6D">
      <w:pPr>
        <w:widowControl/>
        <w:numPr>
          <w:ilvl w:val="0"/>
          <w:numId w:val="3"/>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出现自然灾害等不可抗力因素。</w:t>
      </w:r>
    </w:p>
    <w:p w14:paraId="0C5CEBF1">
      <w:pPr>
        <w:widowControl/>
        <w:numPr>
          <w:ilvl w:val="0"/>
          <w:numId w:val="3"/>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国家经济政策发生重大调整的，对企业经营活动造成重大影响的。</w:t>
      </w:r>
    </w:p>
    <w:p w14:paraId="4B2C56E9">
      <w:pPr>
        <w:widowControl/>
        <w:numPr>
          <w:ilvl w:val="0"/>
          <w:numId w:val="3"/>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企业发生分立、合并等重大资产重组行为。</w:t>
      </w:r>
    </w:p>
    <w:p w14:paraId="3576FF2C">
      <w:pPr>
        <w:widowControl/>
        <w:numPr>
          <w:ilvl w:val="0"/>
          <w:numId w:val="3"/>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区政府临时指定直管企业承担的投资项目。</w:t>
      </w:r>
    </w:p>
    <w:p w14:paraId="32D15631">
      <w:pPr>
        <w:widowControl/>
        <w:numPr>
          <w:ilvl w:val="0"/>
          <w:numId w:val="3"/>
        </w:numPr>
        <w:spacing w:line="560" w:lineRule="exact"/>
        <w:ind w:firstLine="64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认为需要调整的其他情形。</w:t>
      </w:r>
    </w:p>
    <w:p w14:paraId="51EBDC60">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直管企业应建立健全内部预算管理制度，组织开展预算编制、执行、监督和考核评价工作，完善预算管理工作体系。</w:t>
      </w:r>
    </w:p>
    <w:p w14:paraId="328DA6E2">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定期对直管企业当年度各项预算工作进行考核，考核结果作为直管企业负责人年度绩效考核及企业下年度各项预算编制的依据；考核结果与直管企业主要负责人年度绩效工资和薪酬挂钩。预算管理考核主要内容包括：</w:t>
      </w:r>
    </w:p>
    <w:p w14:paraId="23B71110">
      <w:pPr>
        <w:numPr>
          <w:ilvl w:val="0"/>
          <w:numId w:val="4"/>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预算管理组织和制度健全情况。</w:t>
      </w:r>
    </w:p>
    <w:p w14:paraId="48EAF2F8">
      <w:pPr>
        <w:numPr>
          <w:ilvl w:val="0"/>
          <w:numId w:val="4"/>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预算编制情况。</w:t>
      </w:r>
    </w:p>
    <w:p w14:paraId="49E91DCF">
      <w:pPr>
        <w:numPr>
          <w:ilvl w:val="0"/>
          <w:numId w:val="4"/>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预算执行和控制情况。</w:t>
      </w:r>
    </w:p>
    <w:p w14:paraId="5947304E">
      <w:pPr>
        <w:numPr>
          <w:ilvl w:val="0"/>
          <w:numId w:val="4"/>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预算各项指标考核情况。</w:t>
      </w:r>
    </w:p>
    <w:p w14:paraId="26B7CDEB">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直管企业应在规定时限内组织本企业及所属企业编制各项预算草案，及时检查、跟踪预算执行情况，定期对所属企业进行考核。</w:t>
      </w:r>
    </w:p>
    <w:p w14:paraId="664ACB94">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直管企业预算报告应由企业法定代表人、财务总监、财务负责人和有关负责人签名并加盖企业公章。</w:t>
      </w:r>
    </w:p>
    <w:p w14:paraId="52A3AC66">
      <w:pPr>
        <w:autoSpaceDE w:val="0"/>
        <w:autoSpaceDN w:val="0"/>
        <w:adjustRightInd w:val="0"/>
        <w:spacing w:line="560" w:lineRule="exact"/>
        <w:ind w:firstLine="640"/>
        <w:jc w:val="left"/>
        <w:rPr>
          <w:rFonts w:ascii="仿宋_GB2312" w:hAnsi="仿宋" w:eastAsia="仿宋_GB2312" w:cs="仿宋"/>
          <w:b w:val="0"/>
          <w:bCs/>
          <w:color w:val="auto"/>
          <w:kern w:val="0"/>
          <w:sz w:val="32"/>
          <w:szCs w:val="32"/>
          <w:highlight w:val="none"/>
          <w:u w:val="none"/>
        </w:rPr>
      </w:pPr>
    </w:p>
    <w:p w14:paraId="0570B225">
      <w:pPr>
        <w:autoSpaceDE w:val="0"/>
        <w:autoSpaceDN w:val="0"/>
        <w:adjustRightInd w:val="0"/>
        <w:spacing w:line="560" w:lineRule="exact"/>
        <w:jc w:val="center"/>
        <w:rPr>
          <w:rFonts w:ascii="黑体" w:hAnsi="黑体" w:eastAsia="黑体" w:cs="仿宋"/>
          <w:b w:val="0"/>
          <w:bCs/>
          <w:color w:val="auto"/>
          <w:kern w:val="0"/>
          <w:sz w:val="32"/>
          <w:szCs w:val="32"/>
          <w:highlight w:val="none"/>
          <w:u w:val="none"/>
        </w:rPr>
      </w:pPr>
      <w:r>
        <w:rPr>
          <w:rFonts w:hint="eastAsia" w:ascii="黑体" w:hAnsi="黑体" w:eastAsia="黑体" w:cs="仿宋"/>
          <w:b w:val="0"/>
          <w:bCs/>
          <w:color w:val="auto"/>
          <w:kern w:val="0"/>
          <w:sz w:val="32"/>
          <w:szCs w:val="32"/>
          <w:highlight w:val="none"/>
          <w:u w:val="none"/>
        </w:rPr>
        <w:t>第三章  国有资本经营预算管理</w:t>
      </w:r>
    </w:p>
    <w:p w14:paraId="1FA10ADD">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负责编制国有资本经营预算草案，编制程序如下：</w:t>
      </w:r>
    </w:p>
    <w:p w14:paraId="4D07261D">
      <w:pPr>
        <w:widowControl/>
        <w:spacing w:line="560" w:lineRule="exact"/>
        <w:ind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（一）区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根据区财政局下发的编制国有资本经营预算的有关要求，组织国有资本经营预算草案的编制工作。</w:t>
      </w:r>
    </w:p>
    <w:p w14:paraId="6AF0BF27">
      <w:pPr>
        <w:widowControl/>
        <w:spacing w:line="560" w:lineRule="exact"/>
        <w:ind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（二）各直管企业根据编报要求，编制本企业年度国有资本经营预算计划建议方案，报区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w:t>
      </w:r>
    </w:p>
    <w:p w14:paraId="0642178F">
      <w:pPr>
        <w:spacing w:line="560" w:lineRule="exact"/>
        <w:ind w:firstLine="646"/>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（三）国有资本经营预算草案作为区政府预算的组成部分，按法定程序经区人大审批后执行。</w:t>
      </w:r>
    </w:p>
    <w:p w14:paraId="1D2E315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textAlignment w:val="auto"/>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国有资产收益包括资本性收益和产权转让收入及其他国有资本收入。</w:t>
      </w:r>
    </w:p>
    <w:p w14:paraId="0B3757D7">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（一）资本性收益包括：</w:t>
      </w:r>
    </w:p>
    <w:p w14:paraId="488BC37C">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ascii="仿宋_GB2312" w:hAnsi="仿宋" w:eastAsia="仿宋_GB2312" w:cs="仿宋"/>
          <w:b w:val="0"/>
          <w:bCs/>
          <w:color w:val="auto"/>
          <w:sz w:val="32"/>
          <w:szCs w:val="32"/>
          <w:highlight w:val="none"/>
          <w:u w:val="none"/>
        </w:rPr>
        <w:t>1.</w:t>
      </w:r>
      <w:r>
        <w:rPr>
          <w:rFonts w:hint="eastAsia" w:ascii="仿宋_GB2312" w:hAnsi="仿宋" w:eastAsia="仿宋_GB2312" w:cs="仿宋"/>
          <w:b w:val="0"/>
          <w:bCs/>
          <w:color w:val="auto"/>
          <w:sz w:val="32"/>
          <w:szCs w:val="32"/>
          <w:highlight w:val="none"/>
          <w:u w:val="none"/>
        </w:rPr>
        <w:t>国有独资公司（企业）上缴的利润。</w:t>
      </w:r>
    </w:p>
    <w:p w14:paraId="6C0BA8E9">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ascii="仿宋_GB2312" w:hAnsi="仿宋" w:eastAsia="仿宋_GB2312" w:cs="仿宋"/>
          <w:b w:val="0"/>
          <w:bCs/>
          <w:color w:val="auto"/>
          <w:sz w:val="32"/>
          <w:szCs w:val="32"/>
          <w:highlight w:val="none"/>
          <w:u w:val="none"/>
        </w:rPr>
        <w:t>2.</w:t>
      </w:r>
      <w:r>
        <w:rPr>
          <w:rFonts w:hint="eastAsia" w:ascii="仿宋_GB2312" w:hAnsi="仿宋" w:eastAsia="仿宋_GB2312" w:cs="仿宋"/>
          <w:b w:val="0"/>
          <w:bCs/>
          <w:color w:val="auto"/>
          <w:sz w:val="32"/>
          <w:szCs w:val="32"/>
          <w:highlight w:val="none"/>
          <w:u w:val="none"/>
        </w:rPr>
        <w:t>国有控股公司、国有参股公司中的国有股权应分得的股利、红利收入。</w:t>
      </w:r>
    </w:p>
    <w:p w14:paraId="143192C4">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ascii="仿宋_GB2312" w:hAnsi="仿宋" w:eastAsia="仿宋_GB2312" w:cs="仿宋"/>
          <w:b w:val="0"/>
          <w:bCs/>
          <w:color w:val="auto"/>
          <w:sz w:val="32"/>
          <w:szCs w:val="32"/>
          <w:highlight w:val="none"/>
          <w:u w:val="none"/>
        </w:rPr>
        <w:t>3.</w:t>
      </w:r>
      <w:r>
        <w:rPr>
          <w:rFonts w:hint="eastAsia" w:ascii="仿宋_GB2312" w:hAnsi="仿宋" w:eastAsia="仿宋_GB2312" w:cs="仿宋"/>
          <w:b w:val="0"/>
          <w:bCs/>
          <w:color w:val="auto"/>
          <w:sz w:val="32"/>
          <w:szCs w:val="32"/>
          <w:highlight w:val="none"/>
          <w:u w:val="none"/>
        </w:rPr>
        <w:t>其他单位因占有、使用国有资产形成的应上缴收益。</w:t>
      </w:r>
    </w:p>
    <w:p w14:paraId="3E25EDAA">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（二）产权转让收入包括：</w:t>
      </w:r>
    </w:p>
    <w:p w14:paraId="3C310BE2">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ascii="仿宋_GB2312" w:hAnsi="仿宋" w:eastAsia="仿宋_GB2312" w:cs="仿宋"/>
          <w:b w:val="0"/>
          <w:bCs/>
          <w:color w:val="auto"/>
          <w:sz w:val="32"/>
          <w:szCs w:val="32"/>
          <w:highlight w:val="none"/>
          <w:u w:val="none"/>
        </w:rPr>
        <w:t>1.</w:t>
      </w:r>
      <w:r>
        <w:rPr>
          <w:rFonts w:hint="eastAsia" w:ascii="仿宋_GB2312" w:hAnsi="仿宋" w:eastAsia="仿宋_GB2312" w:cs="仿宋"/>
          <w:b w:val="0"/>
          <w:bCs/>
          <w:color w:val="auto"/>
          <w:sz w:val="32"/>
          <w:szCs w:val="32"/>
          <w:highlight w:val="none"/>
          <w:u w:val="none"/>
        </w:rPr>
        <w:t>转让国有独资公司（企业）产权的净收入。</w:t>
      </w:r>
    </w:p>
    <w:p w14:paraId="3EA03084">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ascii="仿宋_GB2312" w:hAnsi="仿宋" w:eastAsia="仿宋_GB2312" w:cs="仿宋"/>
          <w:b w:val="0"/>
          <w:bCs/>
          <w:color w:val="auto"/>
          <w:sz w:val="32"/>
          <w:szCs w:val="32"/>
          <w:highlight w:val="none"/>
          <w:u w:val="none"/>
        </w:rPr>
        <w:t>2.</w:t>
      </w:r>
      <w:r>
        <w:rPr>
          <w:rFonts w:hint="eastAsia" w:ascii="仿宋_GB2312" w:hAnsi="仿宋" w:eastAsia="仿宋_GB2312" w:cs="仿宋"/>
          <w:b w:val="0"/>
          <w:bCs/>
          <w:color w:val="auto"/>
          <w:sz w:val="32"/>
          <w:szCs w:val="32"/>
          <w:highlight w:val="none"/>
          <w:u w:val="none"/>
        </w:rPr>
        <w:t>转让国有控股公司中的国有股股权及配股权的净收入。</w:t>
      </w:r>
    </w:p>
    <w:p w14:paraId="53E7EF94">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ascii="仿宋_GB2312" w:hAnsi="仿宋" w:eastAsia="仿宋_GB2312" w:cs="仿宋"/>
          <w:b w:val="0"/>
          <w:bCs/>
          <w:color w:val="auto"/>
          <w:sz w:val="32"/>
          <w:szCs w:val="32"/>
          <w:highlight w:val="none"/>
          <w:u w:val="none"/>
        </w:rPr>
        <w:t>3.</w:t>
      </w:r>
      <w:r>
        <w:rPr>
          <w:rFonts w:hint="eastAsia" w:ascii="仿宋_GB2312" w:hAnsi="仿宋" w:eastAsia="仿宋_GB2312" w:cs="仿宋"/>
          <w:b w:val="0"/>
          <w:bCs/>
          <w:color w:val="auto"/>
          <w:sz w:val="32"/>
          <w:szCs w:val="32"/>
          <w:highlight w:val="none"/>
          <w:u w:val="none"/>
        </w:rPr>
        <w:t>转让其他国有资产的净收入。</w:t>
      </w:r>
    </w:p>
    <w:p w14:paraId="005D900B">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（三）其他国有资本收入。</w:t>
      </w:r>
    </w:p>
    <w:p w14:paraId="1811A0F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3"/>
        <w:textAlignment w:val="auto"/>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国有独资公司（企业）</w:t>
      </w:r>
      <w:r>
        <w:rPr>
          <w:rFonts w:hint="eastAsia" w:ascii="仿宋_GB2312" w:hAnsi="仿宋" w:eastAsia="仿宋_GB2312" w:cs="仿宋"/>
          <w:b w:val="0"/>
          <w:bCs/>
          <w:color w:val="auto"/>
          <w:sz w:val="32"/>
          <w:szCs w:val="32"/>
          <w:highlight w:val="none"/>
          <w:u w:val="none"/>
        </w:rPr>
        <w:t>当年净利润</w:t>
      </w:r>
      <w:r>
        <w:rPr>
          <w:rFonts w:hint="eastAsia" w:ascii="仿宋_GB2312" w:hAnsi="仿宋" w:eastAsia="仿宋_GB2312" w:cs="仿宋"/>
          <w:b w:val="0"/>
          <w:bCs/>
          <w:color w:val="auto"/>
          <w:kern w:val="0"/>
          <w:sz w:val="32"/>
          <w:szCs w:val="32"/>
          <w:highlight w:val="none"/>
          <w:u w:val="none"/>
        </w:rPr>
        <w:t>，原则上按照以下</w:t>
      </w:r>
      <w:r>
        <w:rPr>
          <w:rFonts w:hint="eastAsia" w:ascii="仿宋_GB2312" w:hAnsi="仿宋" w:eastAsia="仿宋_GB2312" w:cs="仿宋"/>
          <w:b w:val="0"/>
          <w:bCs/>
          <w:color w:val="auto"/>
          <w:sz w:val="32"/>
          <w:szCs w:val="32"/>
          <w:highlight w:val="none"/>
          <w:u w:val="none"/>
        </w:rPr>
        <w:t>比例</w:t>
      </w:r>
      <w:r>
        <w:rPr>
          <w:rFonts w:hint="eastAsia" w:ascii="仿宋_GB2312" w:hAnsi="仿宋" w:eastAsia="仿宋_GB2312" w:cs="仿宋"/>
          <w:b w:val="0"/>
          <w:bCs/>
          <w:color w:val="auto"/>
          <w:kern w:val="0"/>
          <w:sz w:val="32"/>
          <w:szCs w:val="32"/>
          <w:highlight w:val="none"/>
          <w:u w:val="none"/>
        </w:rPr>
        <w:t>上</w:t>
      </w:r>
      <w:r>
        <w:rPr>
          <w:rFonts w:hint="eastAsia" w:ascii="仿宋_GB2312" w:hAnsi="仿宋" w:eastAsia="仿宋_GB2312" w:cs="仿宋"/>
          <w:b w:val="0"/>
          <w:bCs/>
          <w:color w:val="auto"/>
          <w:sz w:val="32"/>
          <w:szCs w:val="32"/>
          <w:highlight w:val="none"/>
          <w:u w:val="none"/>
        </w:rPr>
        <w:t>缴</w:t>
      </w:r>
      <w:r>
        <w:rPr>
          <w:rFonts w:hint="eastAsia" w:ascii="仿宋_GB2312" w:hAnsi="仿宋" w:eastAsia="仿宋_GB2312" w:cs="仿宋"/>
          <w:b w:val="0"/>
          <w:bCs/>
          <w:color w:val="auto"/>
          <w:kern w:val="0"/>
          <w:sz w:val="32"/>
          <w:szCs w:val="32"/>
          <w:highlight w:val="none"/>
          <w:u w:val="none"/>
        </w:rPr>
        <w:t>：</w:t>
      </w:r>
    </w:p>
    <w:p w14:paraId="3BDEBD15">
      <w:pPr>
        <w:numPr>
          <w:ilvl w:val="0"/>
          <w:numId w:val="5"/>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1000万</w:t>
      </w:r>
      <w:r>
        <w:rPr>
          <w:rFonts w:hint="eastAsia" w:hAnsi="仿宋" w:cs="仿宋"/>
          <w:b w:val="0"/>
          <w:bCs/>
          <w:color w:val="auto"/>
          <w:kern w:val="0"/>
          <w:sz w:val="32"/>
          <w:szCs w:val="32"/>
          <w:highlight w:val="none"/>
          <w:u w:val="none"/>
          <w:lang w:val="en-US" w:eastAsia="zh-CN"/>
        </w:rPr>
        <w:t>以下</w:t>
      </w:r>
      <w:r>
        <w:rPr>
          <w:rFonts w:hint="eastAsia" w:ascii="仿宋_GB2312" w:hAnsi="仿宋" w:eastAsia="仿宋_GB2312" w:cs="仿宋"/>
          <w:b w:val="0"/>
          <w:bCs/>
          <w:color w:val="auto"/>
          <w:kern w:val="0"/>
          <w:sz w:val="32"/>
          <w:szCs w:val="32"/>
          <w:highlight w:val="none"/>
          <w:u w:val="none"/>
        </w:rPr>
        <w:t>部分，上缴比例为50%。</w:t>
      </w:r>
    </w:p>
    <w:p w14:paraId="67977674">
      <w:pPr>
        <w:numPr>
          <w:ilvl w:val="0"/>
          <w:numId w:val="5"/>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1000万以上、2000万以下部分，上缴比例为40%。</w:t>
      </w:r>
    </w:p>
    <w:p w14:paraId="544C97F4">
      <w:pPr>
        <w:numPr>
          <w:ilvl w:val="0"/>
          <w:numId w:val="5"/>
        </w:num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2000万以上部分，上缴比例为30%。</w:t>
      </w:r>
    </w:p>
    <w:p w14:paraId="5993DAB1">
      <w:pPr>
        <w:autoSpaceDE w:val="0"/>
        <w:autoSpaceDN w:val="0"/>
        <w:adjustRightIn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前款</w:t>
      </w:r>
      <w:r>
        <w:rPr>
          <w:rFonts w:hint="eastAsia" w:ascii="仿宋_GB2312" w:hAnsi="仿宋" w:eastAsia="仿宋_GB2312" w:cs="仿宋"/>
          <w:b w:val="0"/>
          <w:bCs/>
          <w:color w:val="auto"/>
          <w:sz w:val="32"/>
          <w:szCs w:val="32"/>
          <w:highlight w:val="none"/>
          <w:u w:val="none"/>
        </w:rPr>
        <w:t>所称企业净利润，是指按合并会计报表计算的企业利润总额</w:t>
      </w:r>
      <w:r>
        <w:rPr>
          <w:rFonts w:hint="eastAsia" w:ascii="仿宋_GB2312" w:hAnsi="仿宋" w:eastAsia="仿宋_GB2312" w:cs="仿宋"/>
          <w:b w:val="0"/>
          <w:bCs/>
          <w:color w:val="auto"/>
          <w:sz w:val="32"/>
          <w:szCs w:val="32"/>
          <w:highlight w:val="none"/>
          <w:u w:val="none"/>
          <w:lang w:eastAsia="zh-CN"/>
        </w:rPr>
        <w:t>，</w:t>
      </w:r>
      <w:r>
        <w:rPr>
          <w:rFonts w:hint="eastAsia" w:ascii="仿宋_GB2312" w:hAnsi="仿宋" w:eastAsia="仿宋_GB2312" w:cs="仿宋"/>
          <w:b w:val="0"/>
          <w:bCs/>
          <w:color w:val="auto"/>
          <w:sz w:val="32"/>
          <w:szCs w:val="32"/>
          <w:highlight w:val="none"/>
          <w:u w:val="none"/>
        </w:rPr>
        <w:t>扣除所得税和少数股东损益后的净利润。</w:t>
      </w:r>
    </w:p>
    <w:p w14:paraId="072B4761">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可视情况，另行确定国有独资公司（企业）的当年净利润上缴比例。</w:t>
      </w:r>
    </w:p>
    <w:p w14:paraId="3822358D">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国有控股公司、国有参股公司的国有资产收益上缴按照公司章程规定执行。</w:t>
      </w:r>
    </w:p>
    <w:p w14:paraId="7E9060E3">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国有资本经营预算</w:t>
      </w:r>
      <w:r>
        <w:rPr>
          <w:rFonts w:hint="eastAsia" w:ascii="仿宋_GB2312" w:hAnsi="仿宋" w:eastAsia="仿宋_GB2312" w:cs="仿宋"/>
          <w:b w:val="0"/>
          <w:bCs/>
          <w:color w:val="auto"/>
          <w:kern w:val="0"/>
          <w:sz w:val="32"/>
          <w:szCs w:val="32"/>
          <w:highlight w:val="none"/>
          <w:u w:val="none"/>
        </w:rPr>
        <w:t>支出范围主要包括：</w:t>
      </w:r>
    </w:p>
    <w:p w14:paraId="1E5FACCD">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（一）资本性支出。包括新设立区国有企业注册资本投入、增加企业注册资本，购买企业股权（股份）等方面的支出。</w:t>
      </w:r>
    </w:p>
    <w:p w14:paraId="04570BF1">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（二）企业改革费用性支出。区国有企业改革成本、处理历史遗留问题等方面的费用性支出。</w:t>
      </w:r>
    </w:p>
    <w:p w14:paraId="25D5CA46">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（三）国有企业政策性补贴支出。</w:t>
      </w:r>
    </w:p>
    <w:p w14:paraId="3BE9F8EB">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（四）调入公共预算管理，按照</w:t>
      </w:r>
      <w:r>
        <w:rPr>
          <w:rFonts w:hint="eastAsia" w:ascii="仿宋_GB2312" w:hAnsi="仿宋" w:eastAsia="仿宋_GB2312" w:cs="仿宋"/>
          <w:b w:val="0"/>
          <w:bCs/>
          <w:color w:val="auto"/>
          <w:kern w:val="0"/>
          <w:sz w:val="32"/>
          <w:szCs w:val="32"/>
          <w:highlight w:val="none"/>
          <w:u w:val="none"/>
          <w:lang w:val="en-US" w:eastAsia="zh-CN"/>
        </w:rPr>
        <w:t>当</w:t>
      </w:r>
      <w:r>
        <w:rPr>
          <w:rFonts w:hint="eastAsia" w:ascii="仿宋_GB2312" w:hAnsi="仿宋" w:eastAsia="仿宋_GB2312" w:cs="仿宋"/>
          <w:b w:val="0"/>
          <w:bCs/>
          <w:color w:val="auto"/>
          <w:kern w:val="0"/>
          <w:sz w:val="32"/>
          <w:szCs w:val="32"/>
          <w:highlight w:val="none"/>
          <w:u w:val="none"/>
        </w:rPr>
        <w:t>年收入一定比例调入一般公共预算，调入比例由区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按规定程序报批。</w:t>
      </w:r>
    </w:p>
    <w:p w14:paraId="3E6CDAC1">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（五）其他支出。包括国有资产监管费支出、区政府统筹安排的其他各项支出。</w:t>
      </w:r>
    </w:p>
    <w:p w14:paraId="2048F6D9">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本规定所称国有资产监管费支出是指区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履行国有资产监管职能发生的费用，具体包括：</w:t>
      </w:r>
    </w:p>
    <w:p w14:paraId="71EBC7DD">
      <w:pPr>
        <w:pStyle w:val="13"/>
        <w:numPr>
          <w:ilvl w:val="0"/>
          <w:numId w:val="6"/>
        </w:numPr>
        <w:spacing w:line="560" w:lineRule="exact"/>
        <w:ind w:firstLine="6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外派人员薪酬。</w:t>
      </w:r>
    </w:p>
    <w:p w14:paraId="0E8C4AF7">
      <w:pPr>
        <w:pStyle w:val="13"/>
        <w:numPr>
          <w:ilvl w:val="0"/>
          <w:numId w:val="6"/>
        </w:numPr>
        <w:spacing w:line="560" w:lineRule="exact"/>
        <w:ind w:firstLine="6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审计费用。</w:t>
      </w:r>
    </w:p>
    <w:p w14:paraId="681160B4">
      <w:pPr>
        <w:pStyle w:val="13"/>
        <w:numPr>
          <w:ilvl w:val="0"/>
          <w:numId w:val="6"/>
        </w:numPr>
        <w:spacing w:line="560" w:lineRule="exact"/>
        <w:ind w:firstLine="6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资产评估费用。</w:t>
      </w:r>
    </w:p>
    <w:p w14:paraId="2A45B37E">
      <w:pPr>
        <w:pStyle w:val="13"/>
        <w:numPr>
          <w:ilvl w:val="0"/>
          <w:numId w:val="6"/>
        </w:numPr>
        <w:spacing w:line="560" w:lineRule="exact"/>
        <w:ind w:firstLine="6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清产核资费用。</w:t>
      </w:r>
    </w:p>
    <w:p w14:paraId="73D04C53">
      <w:pPr>
        <w:pStyle w:val="13"/>
        <w:numPr>
          <w:ilvl w:val="0"/>
          <w:numId w:val="6"/>
        </w:numPr>
        <w:spacing w:line="560" w:lineRule="exact"/>
        <w:ind w:firstLine="6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咨询顾问服务费用。</w:t>
      </w:r>
    </w:p>
    <w:p w14:paraId="5C7E494F">
      <w:pPr>
        <w:pStyle w:val="13"/>
        <w:numPr>
          <w:ilvl w:val="0"/>
          <w:numId w:val="6"/>
        </w:numPr>
        <w:spacing w:line="560" w:lineRule="exact"/>
        <w:ind w:firstLine="6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信息化建设费用。</w:t>
      </w:r>
    </w:p>
    <w:p w14:paraId="130B2DFB">
      <w:pPr>
        <w:autoSpaceDE w:val="0"/>
        <w:autoSpaceDN w:val="0"/>
        <w:adjustRightInd w:val="0"/>
        <w:spacing w:line="560" w:lineRule="exact"/>
        <w:ind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（七）其他费用。</w:t>
      </w:r>
    </w:p>
    <w:p w14:paraId="2D8D0A62">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国有企业应按本规定将国有资产收益及时上缴指定账户，不得以任何理由侵占或留置应上缴的国有资产收益。</w:t>
      </w:r>
    </w:p>
    <w:p w14:paraId="28EE484F">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w:t>
      </w:r>
      <w:r>
        <w:rPr>
          <w:rFonts w:hint="eastAsia" w:ascii="仿宋_GB2312" w:hAnsi="仿宋" w:eastAsia="仿宋_GB2312" w:cs="仿宋"/>
          <w:b w:val="0"/>
          <w:bCs/>
          <w:color w:val="auto"/>
          <w:sz w:val="32"/>
          <w:szCs w:val="32"/>
          <w:highlight w:val="none"/>
          <w:u w:val="none"/>
        </w:rPr>
        <w:t>国有企业资产收益实行专户专存、独立核算。企业资产收益要严格按规定范围使用，任何部门和单位不得挪用、截留及私分。</w:t>
      </w:r>
    </w:p>
    <w:p w14:paraId="0CDA50F6">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Cs/>
          <w:color w:val="auto"/>
          <w:kern w:val="0"/>
          <w:sz w:val="32"/>
          <w:szCs w:val="32"/>
          <w:highlight w:val="none"/>
        </w:rPr>
        <w:t>按照“谁申请资金、谁编制目标”的原则，</w:t>
      </w:r>
      <w:r>
        <w:rPr>
          <w:rFonts w:hint="eastAsia" w:ascii="仿宋_GB2312" w:hAnsi="仿宋" w:eastAsia="仿宋_GB2312" w:cs="仿宋"/>
          <w:bCs/>
          <w:color w:val="auto"/>
          <w:kern w:val="0"/>
          <w:sz w:val="32"/>
          <w:szCs w:val="32"/>
          <w:highlight w:val="none"/>
          <w:lang w:eastAsia="zh-CN"/>
        </w:rPr>
        <w:t>资金使用单位</w:t>
      </w:r>
      <w:r>
        <w:rPr>
          <w:rFonts w:hint="eastAsia" w:ascii="仿宋_GB2312" w:hAnsi="仿宋" w:eastAsia="仿宋_GB2312" w:cs="仿宋"/>
          <w:bCs/>
          <w:color w:val="auto"/>
          <w:kern w:val="0"/>
          <w:sz w:val="32"/>
          <w:szCs w:val="32"/>
          <w:highlight w:val="none"/>
        </w:rPr>
        <w:t>在申报或调整国有资本经营预算资金时，应科学合理编制资金预算绩效目标。</w:t>
      </w:r>
    </w:p>
    <w:p w14:paraId="6C805854">
      <w:pPr>
        <w:pStyle w:val="12"/>
        <w:numPr>
          <w:ilvl w:val="-1"/>
          <w:numId w:val="0"/>
        </w:numPr>
        <w:spacing w:line="560" w:lineRule="exact"/>
        <w:ind w:left="0" w:leftChars="0" w:firstLine="640"/>
        <w:rPr>
          <w:rFonts w:hint="eastAsia" w:ascii="仿宋_GB2312" w:hAnsi="仿宋" w:eastAsia="仿宋_GB2312" w:cs="仿宋"/>
          <w:bCs/>
          <w:color w:val="auto"/>
          <w:kern w:val="0"/>
          <w:sz w:val="32"/>
          <w:szCs w:val="32"/>
          <w:highlight w:val="none"/>
          <w:lang w:eastAsia="zh-CN"/>
        </w:rPr>
      </w:pPr>
      <w:r>
        <w:rPr>
          <w:rFonts w:hint="eastAsia" w:ascii="仿宋_GB2312" w:hAnsi="仿宋" w:eastAsia="仿宋_GB2312" w:cs="仿宋"/>
          <w:bCs/>
          <w:color w:val="auto"/>
          <w:kern w:val="0"/>
          <w:sz w:val="32"/>
          <w:szCs w:val="32"/>
          <w:highlight w:val="none"/>
          <w:lang w:eastAsia="zh-CN"/>
        </w:rPr>
        <w:t>绩效目标分为一级指标、二级指标和三级指标。一级指标包括产出指标和效益指标；二级指标包括数量、质量、时效、成本和经济效益、社会效益、生态效益等；三级指标是一级指标、二级指标的具体化，是实施绩效评价的依据，由直管企业根据项目实际情况确定。</w:t>
      </w:r>
    </w:p>
    <w:p w14:paraId="69157A1D">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直管企业按年申报国有资本经营预算，区国资监管部门依据相关申请材料形成国资预算项目库，从项目库中优先选取符合战略发展方向的项目，滚动安排资金。</w:t>
      </w:r>
    </w:p>
    <w:p w14:paraId="1A382BAA">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直管企业在国有资本经营预算执行过程中，对预算执行情况和绩效目标实现程度按年开展监控。一年内实施完毕的项目，年内开展一次绩效运行监控。跨年项目，每年开展一次绩效运行监控；项目实施期结束后，不再开展绩效运行监控。</w:t>
      </w:r>
    </w:p>
    <w:p w14:paraId="42FEA26D">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直管企业加强项目过程管控，发现严重偏离预期绩效目标的情况，应及时采取有力措施进行干预。</w:t>
      </w:r>
    </w:p>
    <w:p w14:paraId="7234AEAF">
      <w:pPr>
        <w:pStyle w:val="12"/>
        <w:numPr>
          <w:ilvl w:val="0"/>
          <w:numId w:val="1"/>
        </w:numPr>
        <w:spacing w:line="560" w:lineRule="exact"/>
        <w:ind w:left="0" w:firstLine="643"/>
        <w:rPr>
          <w:rFonts w:hint="default" w:ascii="仿宋_GB2312" w:hAnsi="仿宋" w:eastAsia="仿宋_GB2312" w:cs="仿宋"/>
          <w:b w:val="0"/>
          <w:bCs/>
          <w:color w:val="auto"/>
          <w:kern w:val="0"/>
          <w:sz w:val="32"/>
          <w:szCs w:val="32"/>
          <w:highlight w:val="none"/>
          <w:u w:val="none"/>
          <w:lang w:val="en-US"/>
        </w:rPr>
      </w:pPr>
      <w:r>
        <w:rPr>
          <w:rFonts w:hint="eastAsia" w:ascii="仿宋_GB2312" w:hAnsi="仿宋" w:eastAsia="仿宋_GB2312" w:cs="仿宋"/>
          <w:b w:val="0"/>
          <w:bCs/>
          <w:color w:val="auto"/>
          <w:kern w:val="0"/>
          <w:sz w:val="32"/>
          <w:szCs w:val="32"/>
          <w:highlight w:val="none"/>
          <w:u w:val="none"/>
          <w:lang w:eastAsia="zh-CN"/>
        </w:rPr>
        <w:t>直管企业对绩效目标实现程度、资金使用和管理、产出效果进行自评，于每年</w:t>
      </w:r>
      <w:r>
        <w:rPr>
          <w:rFonts w:hint="eastAsia" w:ascii="仿宋_GB2312" w:hAnsi="仿宋" w:eastAsia="仿宋_GB2312" w:cs="仿宋"/>
          <w:b w:val="0"/>
          <w:bCs/>
          <w:color w:val="auto"/>
          <w:kern w:val="0"/>
          <w:sz w:val="32"/>
          <w:szCs w:val="32"/>
          <w:highlight w:val="none"/>
          <w:u w:val="none"/>
          <w:lang w:val="en-US" w:eastAsia="zh-CN"/>
        </w:rPr>
        <w:t>5月底前将上一年度自评报告报送区国资监管部门；跨年项目应分别于实施期间、实施期结束当年开展一次自评。</w:t>
      </w:r>
    </w:p>
    <w:p w14:paraId="66483CB6">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Cs/>
          <w:color w:val="auto"/>
          <w:kern w:val="0"/>
          <w:sz w:val="32"/>
          <w:szCs w:val="32"/>
          <w:highlight w:val="none"/>
        </w:rPr>
        <w:t>区国资监管部门根据工作需要，可组织实施重点项目绩效评价</w:t>
      </w:r>
      <w:r>
        <w:rPr>
          <w:rFonts w:hint="eastAsia" w:ascii="仿宋_GB2312" w:hAnsi="仿宋" w:eastAsia="仿宋_GB2312" w:cs="仿宋"/>
          <w:bCs/>
          <w:color w:val="auto"/>
          <w:kern w:val="0"/>
          <w:sz w:val="32"/>
          <w:szCs w:val="32"/>
          <w:highlight w:val="none"/>
          <w:lang w:eastAsia="zh-CN"/>
        </w:rPr>
        <w:t>，</w:t>
      </w:r>
      <w:r>
        <w:rPr>
          <w:rFonts w:hint="eastAsia" w:ascii="仿宋_GB2312" w:hAnsi="仿宋" w:eastAsia="仿宋_GB2312" w:cs="仿宋"/>
          <w:bCs/>
          <w:color w:val="auto"/>
          <w:kern w:val="0"/>
          <w:sz w:val="32"/>
          <w:szCs w:val="32"/>
          <w:highlight w:val="none"/>
          <w:lang w:val="en-US" w:eastAsia="zh-CN"/>
        </w:rPr>
        <w:t>必要时可委托第三方机构开展。</w:t>
      </w:r>
      <w:r>
        <w:rPr>
          <w:rFonts w:hint="eastAsia" w:ascii="仿宋_GB2312" w:hAnsi="仿宋" w:eastAsia="仿宋_GB2312" w:cs="仿宋"/>
          <w:bCs/>
          <w:color w:val="auto"/>
          <w:kern w:val="0"/>
          <w:sz w:val="32"/>
          <w:szCs w:val="32"/>
          <w:highlight w:val="none"/>
          <w:lang w:eastAsia="zh-CN"/>
        </w:rPr>
        <w:t>流程如下：</w:t>
      </w:r>
    </w:p>
    <w:p w14:paraId="4A6D641D">
      <w:pPr>
        <w:pStyle w:val="12"/>
        <w:numPr>
          <w:ilvl w:val="-1"/>
          <w:numId w:val="0"/>
        </w:numPr>
        <w:spacing w:line="560" w:lineRule="exact"/>
        <w:ind w:left="0" w:leftChars="0" w:firstLine="0" w:firstLineChars="0"/>
        <w:rPr>
          <w:rFonts w:hint="eastAsia" w:ascii="仿宋_GB2312" w:hAnsi="仿宋" w:eastAsia="仿宋_GB2312" w:cs="仿宋"/>
          <w:bCs/>
          <w:color w:val="auto"/>
          <w:kern w:val="0"/>
          <w:sz w:val="32"/>
          <w:szCs w:val="32"/>
          <w:highlight w:val="none"/>
          <w:lang w:val="en-US" w:eastAsia="zh-CN"/>
        </w:rPr>
      </w:pPr>
      <w:r>
        <w:rPr>
          <w:rFonts w:hint="eastAsia" w:ascii="仿宋_GB2312" w:hAnsi="仿宋" w:eastAsia="仿宋_GB2312" w:cs="仿宋"/>
          <w:bCs/>
          <w:color w:val="auto"/>
          <w:kern w:val="0"/>
          <w:sz w:val="32"/>
          <w:szCs w:val="32"/>
          <w:highlight w:val="none"/>
          <w:lang w:val="en-US" w:eastAsia="zh-CN"/>
        </w:rPr>
        <w:t xml:space="preserve">    （一）区国资监管部门研究确定评价项目。</w:t>
      </w:r>
    </w:p>
    <w:p w14:paraId="02EE1B5D">
      <w:pPr>
        <w:pStyle w:val="12"/>
        <w:numPr>
          <w:ilvl w:val="-1"/>
          <w:numId w:val="0"/>
        </w:numPr>
        <w:spacing w:line="560" w:lineRule="exact"/>
        <w:ind w:left="0" w:leftChars="0" w:firstLine="640" w:firstLineChars="0"/>
        <w:rPr>
          <w:rFonts w:hint="eastAsia" w:ascii="仿宋_GB2312" w:hAnsi="仿宋" w:eastAsia="仿宋_GB2312" w:cs="仿宋"/>
          <w:bCs/>
          <w:color w:val="auto"/>
          <w:kern w:val="0"/>
          <w:sz w:val="32"/>
          <w:szCs w:val="32"/>
          <w:highlight w:val="none"/>
          <w:lang w:val="en-US" w:eastAsia="zh-CN"/>
        </w:rPr>
      </w:pPr>
      <w:r>
        <w:rPr>
          <w:rFonts w:hint="eastAsia" w:ascii="仿宋_GB2312" w:hAnsi="仿宋" w:eastAsia="仿宋_GB2312" w:cs="仿宋"/>
          <w:bCs/>
          <w:color w:val="auto"/>
          <w:kern w:val="0"/>
          <w:sz w:val="32"/>
          <w:szCs w:val="32"/>
          <w:highlight w:val="none"/>
          <w:lang w:val="en-US" w:eastAsia="zh-CN"/>
        </w:rPr>
        <w:t>（二）区国资监管部门向直管企业下达绩效评价通知。</w:t>
      </w:r>
    </w:p>
    <w:p w14:paraId="2C263FD5">
      <w:pPr>
        <w:pStyle w:val="12"/>
        <w:numPr>
          <w:ilvl w:val="-1"/>
          <w:numId w:val="0"/>
        </w:numPr>
        <w:spacing w:line="560" w:lineRule="exact"/>
        <w:ind w:left="0" w:leftChars="0" w:firstLine="640" w:firstLineChars="0"/>
        <w:rPr>
          <w:rFonts w:hint="eastAsia" w:ascii="仿宋_GB2312" w:hAnsi="仿宋" w:eastAsia="仿宋_GB2312" w:cs="仿宋"/>
          <w:bCs/>
          <w:color w:val="auto"/>
          <w:kern w:val="0"/>
          <w:sz w:val="32"/>
          <w:szCs w:val="32"/>
          <w:highlight w:val="none"/>
          <w:lang w:val="en-US" w:eastAsia="zh-CN"/>
        </w:rPr>
      </w:pPr>
      <w:r>
        <w:rPr>
          <w:rFonts w:hint="eastAsia" w:ascii="仿宋_GB2312" w:hAnsi="仿宋" w:eastAsia="仿宋_GB2312" w:cs="仿宋"/>
          <w:bCs/>
          <w:color w:val="auto"/>
          <w:kern w:val="0"/>
          <w:sz w:val="32"/>
          <w:szCs w:val="32"/>
          <w:highlight w:val="none"/>
          <w:lang w:val="en-US" w:eastAsia="zh-CN"/>
        </w:rPr>
        <w:t>（三）区国资监管部门制订评价工作方案。</w:t>
      </w:r>
    </w:p>
    <w:p w14:paraId="13CD3AEC">
      <w:pPr>
        <w:pStyle w:val="12"/>
        <w:numPr>
          <w:ilvl w:val="-1"/>
          <w:numId w:val="0"/>
        </w:numPr>
        <w:spacing w:line="560" w:lineRule="exact"/>
        <w:ind w:left="0" w:leftChars="0" w:firstLine="640" w:firstLineChars="0"/>
        <w:rPr>
          <w:rFonts w:hint="eastAsia" w:ascii="仿宋_GB2312" w:hAnsi="仿宋" w:eastAsia="仿宋_GB2312" w:cs="仿宋"/>
          <w:bCs/>
          <w:color w:val="auto"/>
          <w:kern w:val="0"/>
          <w:sz w:val="32"/>
          <w:szCs w:val="32"/>
          <w:highlight w:val="none"/>
          <w:lang w:val="en-US" w:eastAsia="zh-CN"/>
        </w:rPr>
      </w:pPr>
      <w:r>
        <w:rPr>
          <w:rFonts w:hint="eastAsia" w:ascii="仿宋_GB2312" w:hAnsi="仿宋" w:eastAsia="仿宋_GB2312" w:cs="仿宋"/>
          <w:bCs/>
          <w:color w:val="auto"/>
          <w:kern w:val="0"/>
          <w:sz w:val="32"/>
          <w:szCs w:val="32"/>
          <w:highlight w:val="none"/>
          <w:lang w:val="en-US" w:eastAsia="zh-CN"/>
        </w:rPr>
        <w:t>（四）区国资监管部门收集绩效评价相关资料，开展现场调研、座谈等。</w:t>
      </w:r>
    </w:p>
    <w:p w14:paraId="69B08F07">
      <w:pPr>
        <w:pStyle w:val="12"/>
        <w:numPr>
          <w:ilvl w:val="-1"/>
          <w:numId w:val="0"/>
        </w:numPr>
        <w:spacing w:line="560" w:lineRule="exact"/>
        <w:ind w:left="0" w:leftChars="0" w:firstLine="640" w:firstLineChars="0"/>
        <w:rPr>
          <w:rFonts w:hint="eastAsia" w:ascii="仿宋_GB2312" w:hAnsi="仿宋" w:eastAsia="仿宋_GB2312" w:cs="仿宋"/>
          <w:bCs/>
          <w:color w:val="auto"/>
          <w:kern w:val="0"/>
          <w:sz w:val="32"/>
          <w:szCs w:val="32"/>
          <w:highlight w:val="none"/>
          <w:lang w:val="en-US" w:eastAsia="zh-CN"/>
        </w:rPr>
      </w:pPr>
      <w:r>
        <w:rPr>
          <w:rFonts w:hint="eastAsia" w:ascii="仿宋_GB2312" w:hAnsi="仿宋" w:eastAsia="仿宋_GB2312" w:cs="仿宋"/>
          <w:bCs/>
          <w:color w:val="auto"/>
          <w:kern w:val="0"/>
          <w:sz w:val="32"/>
          <w:szCs w:val="32"/>
          <w:highlight w:val="none"/>
          <w:lang w:val="en-US" w:eastAsia="zh-CN"/>
        </w:rPr>
        <w:t>（五）区国资监管部门核实有关情况并形成初步评价结论，征求直管企业意见，形成最终结论。</w:t>
      </w:r>
    </w:p>
    <w:p w14:paraId="5592FC3A">
      <w:pPr>
        <w:pStyle w:val="12"/>
        <w:numPr>
          <w:ilvl w:val="-1"/>
          <w:numId w:val="0"/>
        </w:numPr>
        <w:spacing w:line="560" w:lineRule="exact"/>
        <w:ind w:left="0" w:leftChars="0" w:firstLine="640" w:firstLineChars="0"/>
        <w:rPr>
          <w:rFonts w:hint="default" w:ascii="仿宋_GB2312" w:hAnsi="仿宋" w:eastAsia="仿宋_GB2312" w:cs="仿宋"/>
          <w:bCs/>
          <w:color w:val="auto"/>
          <w:kern w:val="0"/>
          <w:sz w:val="32"/>
          <w:szCs w:val="32"/>
          <w:highlight w:val="none"/>
          <w:lang w:val="en-US" w:eastAsia="zh-CN"/>
        </w:rPr>
      </w:pPr>
      <w:r>
        <w:rPr>
          <w:rFonts w:hint="eastAsia" w:ascii="仿宋_GB2312" w:hAnsi="仿宋" w:eastAsia="仿宋_GB2312" w:cs="仿宋"/>
          <w:bCs/>
          <w:color w:val="auto"/>
          <w:kern w:val="0"/>
          <w:sz w:val="32"/>
          <w:szCs w:val="32"/>
          <w:highlight w:val="none"/>
          <w:lang w:val="en-US" w:eastAsia="zh-CN"/>
        </w:rPr>
        <w:t>（六）区国资监管部门形成绩效评价报告，建立绩效评价档案。</w:t>
      </w:r>
    </w:p>
    <w:p w14:paraId="3032019E">
      <w:pPr>
        <w:pStyle w:val="12"/>
        <w:numPr>
          <w:ilvl w:val="0"/>
          <w:numId w:val="1"/>
        </w:numPr>
        <w:autoSpaceDE w:val="0"/>
        <w:autoSpaceDN w:val="0"/>
        <w:adjustRightInd w:val="0"/>
        <w:spacing w:line="560" w:lineRule="exact"/>
        <w:ind w:left="0" w:leftChars="0" w:firstLine="640" w:firstLineChars="200"/>
        <w:jc w:val="left"/>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Cs/>
          <w:color w:val="auto"/>
          <w:kern w:val="0"/>
          <w:sz w:val="32"/>
          <w:szCs w:val="32"/>
          <w:highlight w:val="none"/>
        </w:rPr>
        <w:t>资金使用单位要切实加强评价结果应用，不断提升预算资金使用绩效</w:t>
      </w:r>
      <w:r>
        <w:rPr>
          <w:rFonts w:hint="eastAsia" w:ascii="仿宋_GB2312" w:hAnsi="仿宋" w:eastAsia="仿宋_GB2312" w:cs="仿宋"/>
          <w:bCs/>
          <w:color w:val="auto"/>
          <w:kern w:val="0"/>
          <w:sz w:val="32"/>
          <w:szCs w:val="32"/>
          <w:highlight w:val="none"/>
          <w:lang w:eastAsia="zh-CN"/>
        </w:rPr>
        <w:t>。</w:t>
      </w:r>
    </w:p>
    <w:p w14:paraId="23AF6760">
      <w:pPr>
        <w:autoSpaceDE w:val="0"/>
        <w:autoSpaceDN w:val="0"/>
        <w:adjustRightInd w:val="0"/>
        <w:spacing w:line="560" w:lineRule="exact"/>
        <w:jc w:val="left"/>
        <w:rPr>
          <w:rFonts w:ascii="仿宋_GB2312" w:hAnsi="仿宋" w:eastAsia="仿宋_GB2312" w:cs="仿宋"/>
          <w:b w:val="0"/>
          <w:bCs/>
          <w:color w:val="auto"/>
          <w:sz w:val="32"/>
          <w:szCs w:val="32"/>
          <w:highlight w:val="none"/>
          <w:u w:val="none"/>
        </w:rPr>
      </w:pPr>
    </w:p>
    <w:p w14:paraId="382C1483">
      <w:pPr>
        <w:spacing w:line="560" w:lineRule="exact"/>
        <w:jc w:val="center"/>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rPr>
        <w:t>第四章  企业财务管理和监督</w:t>
      </w:r>
    </w:p>
    <w:p w14:paraId="7878E803">
      <w:pPr>
        <w:spacing w:line="560" w:lineRule="exact"/>
        <w:jc w:val="center"/>
        <w:rPr>
          <w:rFonts w:ascii="楷体_GB2312" w:hAnsi="仿宋" w:eastAsia="楷体_GB2312" w:cs="仿宋"/>
          <w:b w:val="0"/>
          <w:bCs/>
          <w:color w:val="auto"/>
          <w:sz w:val="32"/>
          <w:szCs w:val="32"/>
          <w:highlight w:val="none"/>
          <w:u w:val="none"/>
        </w:rPr>
      </w:pPr>
      <w:r>
        <w:rPr>
          <w:rFonts w:hint="eastAsia" w:ascii="楷体_GB2312" w:hAnsi="仿宋" w:eastAsia="楷体_GB2312" w:cs="仿宋"/>
          <w:b w:val="0"/>
          <w:bCs/>
          <w:color w:val="auto"/>
          <w:sz w:val="32"/>
          <w:szCs w:val="32"/>
          <w:highlight w:val="none"/>
          <w:u w:val="none"/>
        </w:rPr>
        <w:t>第一节  企业财务制度</w:t>
      </w:r>
    </w:p>
    <w:p w14:paraId="6C516987">
      <w:pPr>
        <w:pStyle w:val="12"/>
        <w:numPr>
          <w:ilvl w:val="0"/>
          <w:numId w:val="1"/>
        </w:numPr>
        <w:spacing w:line="560" w:lineRule="exact"/>
        <w:ind w:left="0" w:firstLine="643"/>
        <w:rPr>
          <w:rFonts w:ascii="楷体_GB2312" w:hAnsi="仿宋" w:eastAsia="楷体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区国有企业应建立健全财务制度，全面规范企业财务活动</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制定</w:t>
      </w:r>
      <w:r>
        <w:rPr>
          <w:rFonts w:hint="eastAsia" w:ascii="仿宋_GB2312" w:hAnsi="仿宋" w:eastAsia="仿宋_GB2312" w:cs="仿宋"/>
          <w:b w:val="0"/>
          <w:bCs/>
          <w:color w:val="auto"/>
          <w:kern w:val="0"/>
          <w:sz w:val="32"/>
          <w:szCs w:val="32"/>
          <w:highlight w:val="none"/>
          <w:u w:val="none"/>
        </w:rPr>
        <w:t>预算管理、资金管理、</w:t>
      </w:r>
      <w:r>
        <w:rPr>
          <w:rFonts w:hint="eastAsia" w:ascii="仿宋_GB2312" w:hAnsi="仿宋" w:eastAsia="仿宋_GB2312" w:cs="仿宋"/>
          <w:color w:val="auto"/>
          <w:sz w:val="32"/>
          <w:szCs w:val="32"/>
          <w:highlight w:val="none"/>
          <w:u w:val="none"/>
        </w:rPr>
        <w:t>资产管理、财务管理</w:t>
      </w:r>
      <w:r>
        <w:rPr>
          <w:rFonts w:hint="eastAsia" w:ascii="仿宋_GB2312" w:hAnsi="仿宋" w:eastAsia="仿宋_GB2312" w:cs="仿宋"/>
          <w:color w:val="auto"/>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报销支付等财务核心制度</w:t>
      </w:r>
      <w:r>
        <w:rPr>
          <w:rFonts w:hint="eastAsia" w:ascii="仿宋_GB2312" w:hAnsi="仿宋" w:eastAsia="仿宋_GB2312" w:cs="仿宋"/>
          <w:b w:val="0"/>
          <w:bCs/>
          <w:color w:val="auto"/>
          <w:kern w:val="0"/>
          <w:sz w:val="32"/>
          <w:szCs w:val="32"/>
          <w:highlight w:val="none"/>
          <w:u w:val="none"/>
          <w:lang w:val="en-US" w:eastAsia="zh-CN"/>
        </w:rPr>
        <w:t>并严格执行</w:t>
      </w:r>
      <w:r>
        <w:rPr>
          <w:rFonts w:hint="eastAsia" w:ascii="楷体_GB2312" w:hAnsi="仿宋" w:eastAsia="楷体_GB2312" w:cs="仿宋"/>
          <w:b w:val="0"/>
          <w:bCs/>
          <w:color w:val="auto"/>
          <w:sz w:val="32"/>
          <w:szCs w:val="32"/>
          <w:highlight w:val="none"/>
          <w:u w:val="none"/>
        </w:rPr>
        <w:t>。</w:t>
      </w:r>
    </w:p>
    <w:p w14:paraId="154B69C4">
      <w:pPr>
        <w:pStyle w:val="12"/>
        <w:numPr>
          <w:ilvl w:val="0"/>
          <w:numId w:val="1"/>
        </w:numPr>
        <w:spacing w:line="560" w:lineRule="exact"/>
        <w:ind w:left="0" w:firstLine="643"/>
        <w:rPr>
          <w:rFonts w:ascii="楷体_GB2312" w:hAnsi="仿宋" w:eastAsia="楷体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区国有企业财务制度应符合《中华人民共和国会计法</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中华人民共和国企业国有资产法》及相关法律法规的规定，并结合本企业实际制定相关流程、标准</w:t>
      </w:r>
      <w:r>
        <w:rPr>
          <w:rFonts w:hint="eastAsia" w:ascii="楷体_GB2312" w:hAnsi="仿宋" w:eastAsia="楷体_GB2312" w:cs="仿宋"/>
          <w:b w:val="0"/>
          <w:bCs/>
          <w:color w:val="auto"/>
          <w:sz w:val="32"/>
          <w:szCs w:val="32"/>
          <w:highlight w:val="none"/>
          <w:u w:val="none"/>
        </w:rPr>
        <w:t>。</w:t>
      </w:r>
    </w:p>
    <w:p w14:paraId="7C5D3A6D">
      <w:pPr>
        <w:pStyle w:val="12"/>
        <w:numPr>
          <w:ilvl w:val="0"/>
          <w:numId w:val="1"/>
        </w:numPr>
        <w:spacing w:line="560" w:lineRule="exact"/>
        <w:ind w:left="0" w:firstLine="643"/>
        <w:rPr>
          <w:rFonts w:ascii="楷体_GB2312" w:hAnsi="仿宋" w:eastAsia="楷体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应按照中央八项规定精神，厉行节约、反对浪费，在财务制度中参照政府机关相关规定和标准明确会议、接待、差旅、培训等费用标准并严格执行。国家、省、市对国有企业上述费用标准另有规定的，从其规定</w:t>
      </w:r>
      <w:r>
        <w:rPr>
          <w:rFonts w:hint="eastAsia" w:ascii="楷体_GB2312" w:hAnsi="仿宋" w:eastAsia="楷体_GB2312" w:cs="仿宋"/>
          <w:b w:val="0"/>
          <w:bCs/>
          <w:color w:val="auto"/>
          <w:sz w:val="32"/>
          <w:szCs w:val="32"/>
          <w:highlight w:val="none"/>
          <w:u w:val="none"/>
        </w:rPr>
        <w:t>。</w:t>
      </w:r>
    </w:p>
    <w:p w14:paraId="61C5BB82">
      <w:pPr>
        <w:pStyle w:val="12"/>
        <w:numPr>
          <w:ilvl w:val="0"/>
          <w:numId w:val="1"/>
        </w:numPr>
        <w:spacing w:line="560" w:lineRule="exact"/>
        <w:ind w:left="0" w:firstLine="643"/>
        <w:rPr>
          <w:rFonts w:ascii="楷体_GB2312" w:hAnsi="仿宋" w:eastAsia="楷体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直管企业负责督促所属企业依法制定本企业的财务制度，对所属企业的财务活动进行规范</w:t>
      </w:r>
      <w:r>
        <w:rPr>
          <w:rFonts w:hint="eastAsia" w:ascii="楷体_GB2312" w:hAnsi="仿宋" w:eastAsia="楷体_GB2312" w:cs="仿宋"/>
          <w:b w:val="0"/>
          <w:bCs/>
          <w:color w:val="auto"/>
          <w:sz w:val="32"/>
          <w:szCs w:val="32"/>
          <w:highlight w:val="none"/>
          <w:u w:val="none"/>
        </w:rPr>
        <w:t>。</w:t>
      </w:r>
    </w:p>
    <w:p w14:paraId="6DD41B52">
      <w:pPr>
        <w:pStyle w:val="12"/>
        <w:numPr>
          <w:ilvl w:val="0"/>
          <w:numId w:val="1"/>
        </w:numPr>
        <w:spacing w:line="560" w:lineRule="exact"/>
        <w:ind w:left="0" w:firstLine="643"/>
        <w:rPr>
          <w:rFonts w:ascii="楷体_GB2312" w:hAnsi="仿宋" w:eastAsia="楷体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区国有企业应组织对财务制度的宣贯学习，保障财务制度执行</w:t>
      </w:r>
      <w:r>
        <w:rPr>
          <w:rFonts w:hint="eastAsia" w:ascii="楷体_GB2312" w:hAnsi="仿宋" w:eastAsia="楷体_GB2312" w:cs="仿宋"/>
          <w:b w:val="0"/>
          <w:bCs/>
          <w:color w:val="auto"/>
          <w:sz w:val="32"/>
          <w:szCs w:val="32"/>
          <w:highlight w:val="none"/>
          <w:u w:val="none"/>
        </w:rPr>
        <w:t>。</w:t>
      </w:r>
    </w:p>
    <w:p w14:paraId="452BE4B4">
      <w:pPr>
        <w:spacing w:line="560" w:lineRule="exact"/>
        <w:jc w:val="center"/>
        <w:rPr>
          <w:rFonts w:ascii="楷体_GB2312" w:hAnsi="仿宋" w:eastAsia="楷体_GB2312" w:cs="仿宋"/>
          <w:b w:val="0"/>
          <w:bCs/>
          <w:color w:val="auto"/>
          <w:sz w:val="32"/>
          <w:szCs w:val="32"/>
          <w:highlight w:val="none"/>
          <w:u w:val="none"/>
        </w:rPr>
      </w:pPr>
    </w:p>
    <w:p w14:paraId="67230755">
      <w:pPr>
        <w:spacing w:line="560" w:lineRule="exact"/>
        <w:jc w:val="center"/>
        <w:rPr>
          <w:rFonts w:ascii="楷体_GB2312" w:hAnsi="仿宋" w:eastAsia="楷体_GB2312" w:cs="仿宋"/>
          <w:b w:val="0"/>
          <w:bCs/>
          <w:color w:val="auto"/>
          <w:sz w:val="32"/>
          <w:szCs w:val="32"/>
          <w:highlight w:val="none"/>
          <w:u w:val="none"/>
        </w:rPr>
      </w:pPr>
      <w:r>
        <w:rPr>
          <w:rFonts w:hint="eastAsia" w:ascii="楷体_GB2312" w:hAnsi="仿宋" w:eastAsia="楷体_GB2312" w:cs="仿宋"/>
          <w:b w:val="0"/>
          <w:bCs/>
          <w:color w:val="auto"/>
          <w:sz w:val="32"/>
          <w:szCs w:val="32"/>
          <w:highlight w:val="none"/>
          <w:u w:val="none"/>
        </w:rPr>
        <w:t>第二节  企业财务管理</w:t>
      </w:r>
    </w:p>
    <w:p w14:paraId="5C1EDD07">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区国有企业应依照《中华人民共和国会计法》及相关法律法规的要求，根据本企业经济活动的需要设置财务部门，配备必要的财务人员，明确责任，分工协作。</w:t>
      </w:r>
    </w:p>
    <w:p w14:paraId="5003E2A2">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区国有企业应按照国家统一会计制度规范，定期进行财产清理，建立会计档案管理制度，加强财务管理的基础工作，充分利用计划、预算、分析、考核和控制等手段，提高经济效益，确保国有资产保值增值。</w:t>
      </w:r>
    </w:p>
    <w:p w14:paraId="0C3294DC">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区国有企业应</w:t>
      </w:r>
      <w:r>
        <w:rPr>
          <w:rFonts w:hint="eastAsia" w:ascii="仿宋_GB2312" w:hAnsi="仿宋" w:eastAsia="仿宋_GB2312" w:cs="仿宋"/>
          <w:b w:val="0"/>
          <w:bCs/>
          <w:color w:val="auto"/>
          <w:kern w:val="0"/>
          <w:sz w:val="32"/>
          <w:szCs w:val="32"/>
          <w:highlight w:val="none"/>
          <w:u w:val="none"/>
        </w:rPr>
        <w:t>严格执行年度预算，</w:t>
      </w:r>
      <w:r>
        <w:rPr>
          <w:rFonts w:hint="eastAsia" w:ascii="仿宋_GB2312" w:hAnsi="仿宋" w:eastAsia="仿宋_GB2312" w:cs="仿宋"/>
          <w:b w:val="0"/>
          <w:bCs/>
          <w:color w:val="auto"/>
          <w:sz w:val="32"/>
          <w:szCs w:val="32"/>
          <w:highlight w:val="none"/>
          <w:u w:val="none"/>
        </w:rPr>
        <w:t>控制费用支出，按照相关法律法规、企业财务制度和年度预算</w:t>
      </w:r>
      <w:r>
        <w:rPr>
          <w:rFonts w:hint="eastAsia" w:ascii="仿宋_GB2312" w:hAnsi="仿宋" w:eastAsia="仿宋_GB2312" w:cs="仿宋"/>
          <w:b w:val="0"/>
          <w:bCs/>
          <w:color w:val="auto"/>
          <w:sz w:val="32"/>
          <w:szCs w:val="32"/>
          <w:highlight w:val="none"/>
          <w:u w:val="none"/>
          <w:lang w:eastAsia="zh-CN"/>
        </w:rPr>
        <w:t>方案规定</w:t>
      </w:r>
      <w:r>
        <w:rPr>
          <w:rFonts w:hint="eastAsia" w:ascii="仿宋_GB2312" w:hAnsi="仿宋" w:eastAsia="仿宋_GB2312" w:cs="仿宋"/>
          <w:b w:val="0"/>
          <w:bCs/>
          <w:color w:val="auto"/>
          <w:sz w:val="32"/>
          <w:szCs w:val="32"/>
          <w:highlight w:val="none"/>
          <w:u w:val="none"/>
        </w:rPr>
        <w:t>审核费用报销、资金支付事项</w:t>
      </w:r>
      <w:r>
        <w:rPr>
          <w:rFonts w:hint="eastAsia" w:ascii="仿宋_GB2312" w:hAnsi="仿宋" w:eastAsia="仿宋_GB2312" w:cs="仿宋"/>
          <w:b w:val="0"/>
          <w:bCs/>
          <w:color w:val="auto"/>
          <w:sz w:val="32"/>
          <w:szCs w:val="32"/>
          <w:highlight w:val="none"/>
          <w:u w:val="none"/>
          <w:lang w:eastAsia="zh-CN"/>
        </w:rPr>
        <w:t>。</w:t>
      </w:r>
    </w:p>
    <w:p w14:paraId="491AD0C5">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区国有企业财务部门应认真贯彻执行国家有关财务管理制度及本企业财务制度，完善会计核算管理，开展</w:t>
      </w:r>
      <w:r>
        <w:rPr>
          <w:rFonts w:hint="eastAsia" w:ascii="仿宋_GB2312" w:hAnsi="仿宋" w:eastAsia="仿宋_GB2312" w:cs="仿宋"/>
          <w:b w:val="0"/>
          <w:bCs/>
          <w:color w:val="auto"/>
          <w:kern w:val="0"/>
          <w:sz w:val="32"/>
          <w:szCs w:val="32"/>
          <w:highlight w:val="none"/>
          <w:u w:val="none"/>
          <w:lang w:eastAsia="zh-CN"/>
        </w:rPr>
        <w:t>财务</w:t>
      </w:r>
      <w:r>
        <w:rPr>
          <w:rFonts w:hint="eastAsia" w:ascii="仿宋_GB2312" w:hAnsi="仿宋" w:eastAsia="仿宋_GB2312" w:cs="仿宋"/>
          <w:b w:val="0"/>
          <w:bCs/>
          <w:color w:val="auto"/>
          <w:kern w:val="0"/>
          <w:sz w:val="32"/>
          <w:szCs w:val="32"/>
          <w:highlight w:val="none"/>
          <w:u w:val="none"/>
        </w:rPr>
        <w:t>分析，对企业经营和财务管理提出建议</w:t>
      </w:r>
      <w:r>
        <w:rPr>
          <w:rFonts w:hint="eastAsia" w:ascii="仿宋_GB2312" w:hAnsi="仿宋" w:eastAsia="仿宋_GB2312" w:cs="仿宋"/>
          <w:b w:val="0"/>
          <w:bCs/>
          <w:color w:val="auto"/>
          <w:sz w:val="32"/>
          <w:szCs w:val="32"/>
          <w:highlight w:val="none"/>
          <w:u w:val="none"/>
        </w:rPr>
        <w:t>。</w:t>
      </w:r>
    </w:p>
    <w:p w14:paraId="2E98EBCC">
      <w:pPr>
        <w:pStyle w:val="12"/>
        <w:numPr>
          <w:ilvl w:val="-1"/>
          <w:numId w:val="0"/>
        </w:numPr>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直管企业财务部门应对其所属企业的财务工作进行监督检查，及时向区</w:t>
      </w:r>
      <w:r>
        <w:rPr>
          <w:rFonts w:hint="default" w:ascii="仿宋_GB2312" w:hAnsi="仿宋" w:eastAsia="仿宋_GB2312"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或直管企业领导反映问题和提出建议，不断改进工作方法，提高工作效率和管理水平。</w:t>
      </w:r>
    </w:p>
    <w:p w14:paraId="18AA7A14">
      <w:pPr>
        <w:numPr>
          <w:ilvl w:val="0"/>
          <w:numId w:val="1"/>
        </w:numPr>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直管企业财务部门除了编制本企业的财务报表外，还应根据产权或所属关系编制所属企业合并报表，并于每月</w:t>
      </w:r>
      <w:r>
        <w:rPr>
          <w:rFonts w:ascii="仿宋_GB2312" w:hAnsi="仿宋" w:eastAsia="仿宋_GB2312" w:cs="仿宋"/>
          <w:b w:val="0"/>
          <w:bCs/>
          <w:color w:val="auto"/>
          <w:sz w:val="32"/>
          <w:szCs w:val="32"/>
          <w:highlight w:val="none"/>
          <w:u w:val="none"/>
        </w:rPr>
        <w:t>15</w:t>
      </w:r>
      <w:r>
        <w:rPr>
          <w:rFonts w:hint="eastAsia" w:ascii="仿宋_GB2312" w:hAnsi="仿宋" w:eastAsia="仿宋_GB2312" w:cs="仿宋"/>
          <w:b w:val="0"/>
          <w:bCs/>
          <w:color w:val="auto"/>
          <w:sz w:val="32"/>
          <w:szCs w:val="32"/>
          <w:highlight w:val="none"/>
          <w:u w:val="none"/>
        </w:rPr>
        <w:t>日前将法定代表人签字</w:t>
      </w:r>
      <w:r>
        <w:rPr>
          <w:rFonts w:hint="eastAsia" w:ascii="仿宋_GB2312" w:hAnsi="仿宋" w:eastAsia="仿宋_GB2312" w:cs="仿宋"/>
          <w:b w:val="0"/>
          <w:bCs/>
          <w:color w:val="auto"/>
          <w:sz w:val="32"/>
          <w:szCs w:val="32"/>
          <w:highlight w:val="none"/>
          <w:u w:val="none"/>
          <w:lang w:val="en-US" w:eastAsia="zh-CN"/>
        </w:rPr>
        <w:t>或签章</w:t>
      </w:r>
      <w:r>
        <w:rPr>
          <w:rFonts w:hint="eastAsia" w:ascii="仿宋_GB2312" w:hAnsi="仿宋" w:eastAsia="仿宋_GB2312" w:cs="仿宋"/>
          <w:b w:val="0"/>
          <w:bCs/>
          <w:color w:val="auto"/>
          <w:sz w:val="32"/>
          <w:szCs w:val="32"/>
          <w:highlight w:val="none"/>
          <w:u w:val="none"/>
        </w:rPr>
        <w:t>确认的本企业和所属企业上个月的合并财务报表</w:t>
      </w:r>
      <w:r>
        <w:rPr>
          <w:rFonts w:hint="eastAsia" w:ascii="仿宋_GB2312" w:hAnsi="仿宋" w:eastAsia="仿宋_GB2312" w:cs="仿宋"/>
          <w:b w:val="0"/>
          <w:bCs/>
          <w:color w:val="auto"/>
          <w:sz w:val="32"/>
          <w:szCs w:val="32"/>
          <w:highlight w:val="none"/>
          <w:u w:val="none"/>
          <w:lang w:eastAsia="zh-CN"/>
        </w:rPr>
        <w:t>、经营分析报告（含预算执行情况）</w:t>
      </w:r>
      <w:r>
        <w:rPr>
          <w:rFonts w:hint="eastAsia" w:hAnsi="仿宋" w:cs="仿宋"/>
          <w:b w:val="0"/>
          <w:bCs/>
          <w:color w:val="auto"/>
          <w:sz w:val="32"/>
          <w:szCs w:val="32"/>
          <w:highlight w:val="none"/>
          <w:u w:val="none"/>
          <w:lang w:eastAsia="zh-CN"/>
        </w:rPr>
        <w:t>报</w:t>
      </w:r>
      <w:r>
        <w:rPr>
          <w:rFonts w:hint="eastAsia" w:ascii="仿宋_GB2312" w:hAnsi="仿宋" w:eastAsia="仿宋_GB2312" w:cs="仿宋"/>
          <w:b w:val="0"/>
          <w:bCs/>
          <w:color w:val="auto"/>
          <w:sz w:val="32"/>
          <w:szCs w:val="32"/>
          <w:highlight w:val="none"/>
          <w:u w:val="none"/>
        </w:rPr>
        <w:t>送区</w:t>
      </w:r>
      <w:r>
        <w:rPr>
          <w:rFonts w:hint="default" w:ascii="仿宋_GB2312" w:hAnsi="仿宋" w:eastAsia="仿宋_GB2312" w:cs="仿宋"/>
          <w:b w:val="0"/>
          <w:bCs/>
          <w:color w:val="auto"/>
          <w:sz w:val="32"/>
          <w:szCs w:val="32"/>
          <w:highlight w:val="none"/>
          <w:u w:val="none"/>
          <w:lang w:val="en"/>
        </w:rPr>
        <w:t>国资监管部门</w:t>
      </w:r>
      <w:r>
        <w:rPr>
          <w:rFonts w:hint="eastAsia" w:hAnsi="仿宋" w:cs="仿宋"/>
          <w:b w:val="0"/>
          <w:bCs/>
          <w:color w:val="auto"/>
          <w:sz w:val="32"/>
          <w:szCs w:val="32"/>
          <w:highlight w:val="none"/>
          <w:u w:val="none"/>
          <w:lang w:val="en" w:eastAsia="zh-CN"/>
        </w:rPr>
        <w:t>。</w:t>
      </w:r>
    </w:p>
    <w:p w14:paraId="52D1BC51">
      <w:pPr>
        <w:numPr>
          <w:ilvl w:val="0"/>
          <w:numId w:val="1"/>
        </w:numPr>
        <w:spacing w:line="560" w:lineRule="exact"/>
        <w:ind w:left="640" w:leftChars="200" w:firstLine="0" w:firstLineChars="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下列事项应当实行</w:t>
      </w:r>
      <w:r>
        <w:rPr>
          <w:rFonts w:hint="eastAsia" w:hAnsi="仿宋" w:cs="仿宋"/>
          <w:b w:val="0"/>
          <w:bCs/>
          <w:color w:val="auto"/>
          <w:sz w:val="32"/>
          <w:szCs w:val="32"/>
          <w:highlight w:val="none"/>
          <w:u w:val="none"/>
          <w:lang w:eastAsia="zh-CN"/>
        </w:rPr>
        <w:t>财务总监</w:t>
      </w:r>
      <w:r>
        <w:rPr>
          <w:rFonts w:hint="eastAsia" w:ascii="仿宋_GB2312" w:hAnsi="仿宋" w:eastAsia="仿宋_GB2312" w:cs="仿宋"/>
          <w:b w:val="0"/>
          <w:bCs/>
          <w:color w:val="auto"/>
          <w:sz w:val="32"/>
          <w:szCs w:val="32"/>
          <w:highlight w:val="none"/>
          <w:u w:val="none"/>
        </w:rPr>
        <w:t>联签：</w:t>
      </w:r>
    </w:p>
    <w:p w14:paraId="4215F2AD">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（一）企业借入和借出资金、对外担保。</w:t>
      </w:r>
    </w:p>
    <w:p w14:paraId="664E0A5A">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（二）企业对外投资、兼并、收购，对外捐款或赞助、</w:t>
      </w:r>
      <w:r>
        <w:rPr>
          <w:rFonts w:ascii="仿宋_GB2312" w:hAnsi="仿宋" w:eastAsia="仿宋_GB2312" w:cs="仿宋"/>
          <w:b w:val="0"/>
          <w:bCs/>
          <w:color w:val="auto"/>
          <w:sz w:val="32"/>
          <w:szCs w:val="32"/>
          <w:highlight w:val="none"/>
          <w:u w:val="none"/>
        </w:rPr>
        <w:t>支付违约金、罚款、赔偿金</w:t>
      </w:r>
      <w:r>
        <w:rPr>
          <w:rFonts w:hint="eastAsia" w:ascii="仿宋_GB2312" w:hAnsi="仿宋" w:eastAsia="仿宋_GB2312" w:cs="仿宋"/>
          <w:b w:val="0"/>
          <w:bCs/>
          <w:color w:val="auto"/>
          <w:sz w:val="32"/>
          <w:szCs w:val="32"/>
          <w:highlight w:val="none"/>
          <w:u w:val="none"/>
        </w:rPr>
        <w:t>等非经营性支出。</w:t>
      </w:r>
    </w:p>
    <w:p w14:paraId="002F05AB">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（三）企业</w:t>
      </w:r>
      <w:r>
        <w:rPr>
          <w:rFonts w:ascii="仿宋_GB2312" w:hAnsi="仿宋" w:eastAsia="仿宋_GB2312" w:cs="仿宋"/>
          <w:b w:val="0"/>
          <w:bCs/>
          <w:color w:val="auto"/>
          <w:sz w:val="32"/>
          <w:szCs w:val="32"/>
          <w:highlight w:val="none"/>
          <w:u w:val="none"/>
        </w:rPr>
        <w:t>资产损失、</w:t>
      </w:r>
      <w:r>
        <w:rPr>
          <w:rFonts w:hint="eastAsia" w:ascii="仿宋_GB2312" w:hAnsi="仿宋" w:eastAsia="仿宋_GB2312" w:cs="仿宋"/>
          <w:b w:val="0"/>
          <w:bCs/>
          <w:color w:val="auto"/>
          <w:sz w:val="32"/>
          <w:szCs w:val="32"/>
          <w:highlight w:val="none"/>
          <w:u w:val="none"/>
        </w:rPr>
        <w:t>资产</w:t>
      </w:r>
      <w:r>
        <w:rPr>
          <w:rFonts w:ascii="仿宋_GB2312" w:hAnsi="仿宋" w:eastAsia="仿宋_GB2312" w:cs="仿宋"/>
          <w:b w:val="0"/>
          <w:bCs/>
          <w:color w:val="auto"/>
          <w:sz w:val="32"/>
          <w:szCs w:val="32"/>
          <w:highlight w:val="none"/>
          <w:u w:val="none"/>
        </w:rPr>
        <w:t>报废</w:t>
      </w:r>
      <w:r>
        <w:rPr>
          <w:rFonts w:hint="eastAsia" w:ascii="仿宋_GB2312" w:hAnsi="仿宋" w:eastAsia="仿宋_GB2312" w:cs="仿宋"/>
          <w:b w:val="0"/>
          <w:bCs/>
          <w:color w:val="auto"/>
          <w:sz w:val="32"/>
          <w:szCs w:val="32"/>
          <w:highlight w:val="none"/>
          <w:u w:val="none"/>
        </w:rPr>
        <w:t>、非经营</w:t>
      </w:r>
      <w:r>
        <w:rPr>
          <w:rFonts w:ascii="仿宋_GB2312" w:hAnsi="仿宋" w:eastAsia="仿宋_GB2312" w:cs="仿宋"/>
          <w:b w:val="0"/>
          <w:bCs/>
          <w:color w:val="auto"/>
          <w:sz w:val="32"/>
          <w:szCs w:val="32"/>
          <w:highlight w:val="none"/>
          <w:u w:val="none"/>
        </w:rPr>
        <w:t>性资产出售</w:t>
      </w:r>
      <w:r>
        <w:rPr>
          <w:rFonts w:hint="eastAsia" w:ascii="仿宋_GB2312" w:hAnsi="仿宋" w:eastAsia="仿宋_GB2312" w:cs="仿宋"/>
          <w:b w:val="0"/>
          <w:bCs/>
          <w:color w:val="auto"/>
          <w:sz w:val="32"/>
          <w:szCs w:val="32"/>
          <w:highlight w:val="none"/>
          <w:u w:val="none"/>
        </w:rPr>
        <w:t>。</w:t>
      </w:r>
    </w:p>
    <w:p w14:paraId="534ACC6A">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val="en-US" w:eastAsia="zh-CN"/>
        </w:rPr>
        <w:t>四</w:t>
      </w:r>
      <w:r>
        <w:rPr>
          <w:rFonts w:hint="eastAsia" w:ascii="仿宋_GB2312" w:hAnsi="仿宋" w:eastAsia="仿宋_GB2312" w:cs="仿宋"/>
          <w:b w:val="0"/>
          <w:bCs/>
          <w:color w:val="auto"/>
          <w:sz w:val="32"/>
          <w:szCs w:val="32"/>
          <w:highlight w:val="none"/>
          <w:u w:val="none"/>
        </w:rPr>
        <w:t>）企业购置固定资产，单笔数额在二十万元以上。</w:t>
      </w:r>
    </w:p>
    <w:p w14:paraId="347B10BA">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val="en-US" w:eastAsia="zh-CN"/>
        </w:rPr>
        <w:t>五</w:t>
      </w:r>
      <w:r>
        <w:rPr>
          <w:rFonts w:hint="eastAsia" w:ascii="仿宋_GB2312" w:hAnsi="仿宋" w:eastAsia="仿宋_GB2312" w:cs="仿宋"/>
          <w:b w:val="0"/>
          <w:bCs/>
          <w:color w:val="auto"/>
          <w:sz w:val="32"/>
          <w:szCs w:val="32"/>
          <w:highlight w:val="none"/>
          <w:u w:val="none"/>
        </w:rPr>
        <w:t>）企业在银行</w:t>
      </w:r>
      <w:r>
        <w:rPr>
          <w:rFonts w:hint="eastAsia" w:hAnsi="仿宋" w:cs="仿宋"/>
          <w:b w:val="0"/>
          <w:bCs/>
          <w:color w:val="auto"/>
          <w:sz w:val="32"/>
          <w:szCs w:val="32"/>
          <w:highlight w:val="none"/>
          <w:u w:val="none"/>
          <w:lang w:eastAsia="zh-CN"/>
        </w:rPr>
        <w:t>账</w:t>
      </w:r>
      <w:r>
        <w:rPr>
          <w:rFonts w:hint="eastAsia" w:ascii="仿宋_GB2312" w:hAnsi="仿宋" w:eastAsia="仿宋_GB2312" w:cs="仿宋"/>
          <w:b w:val="0"/>
          <w:bCs/>
          <w:color w:val="auto"/>
          <w:sz w:val="32"/>
          <w:szCs w:val="32"/>
          <w:highlight w:val="none"/>
          <w:u w:val="none"/>
        </w:rPr>
        <w:t>户之间资金划转，单笔数额在五百万元以上。</w:t>
      </w:r>
    </w:p>
    <w:p w14:paraId="11FA0204">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val="en-US" w:eastAsia="zh-CN"/>
        </w:rPr>
        <w:t>六</w:t>
      </w:r>
      <w:r>
        <w:rPr>
          <w:rFonts w:hint="eastAsia" w:ascii="仿宋_GB2312" w:hAnsi="仿宋" w:eastAsia="仿宋_GB2312" w:cs="仿宋"/>
          <w:b w:val="0"/>
          <w:bCs/>
          <w:color w:val="auto"/>
          <w:sz w:val="32"/>
          <w:szCs w:val="32"/>
          <w:highlight w:val="none"/>
          <w:u w:val="none"/>
        </w:rPr>
        <w:t>）企业对外结算、支付，单笔数额在二十万元以上。</w:t>
      </w:r>
    </w:p>
    <w:p w14:paraId="56BA16A6">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val="en-US" w:eastAsia="zh-CN"/>
        </w:rPr>
        <w:t>七</w:t>
      </w:r>
      <w:r>
        <w:rPr>
          <w:rFonts w:hint="eastAsia" w:ascii="仿宋_GB2312" w:hAnsi="仿宋" w:eastAsia="仿宋_GB2312" w:cs="仿宋"/>
          <w:b w:val="0"/>
          <w:bCs/>
          <w:color w:val="auto"/>
          <w:sz w:val="32"/>
          <w:szCs w:val="32"/>
          <w:highlight w:val="none"/>
          <w:u w:val="none"/>
        </w:rPr>
        <w:t>）企业单笔备用金支付和费用报销金额在五万元以上。</w:t>
      </w:r>
    </w:p>
    <w:p w14:paraId="7CB81DC6">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val="en-US" w:eastAsia="zh-CN"/>
        </w:rPr>
        <w:t>八</w:t>
      </w:r>
      <w:r>
        <w:rPr>
          <w:rFonts w:hint="eastAsia" w:ascii="仿宋_GB2312" w:hAnsi="仿宋" w:eastAsia="仿宋_GB2312" w:cs="仿宋"/>
          <w:b w:val="0"/>
          <w:bCs/>
          <w:color w:val="auto"/>
          <w:sz w:val="32"/>
          <w:szCs w:val="32"/>
          <w:highlight w:val="none"/>
          <w:u w:val="none"/>
        </w:rPr>
        <w:t>）企业财务会计报告及其所属企业的合并财务报告（月报、季报、年报、快报及相关分析说明）。</w:t>
      </w:r>
    </w:p>
    <w:p w14:paraId="670D7CB8">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val="en-US" w:eastAsia="zh-CN"/>
        </w:rPr>
        <w:t>九</w:t>
      </w:r>
      <w:r>
        <w:rPr>
          <w:rFonts w:hint="eastAsia" w:ascii="仿宋_GB2312" w:hAnsi="仿宋" w:eastAsia="仿宋_GB2312" w:cs="仿宋"/>
          <w:b w:val="0"/>
          <w:bCs/>
          <w:color w:val="auto"/>
          <w:sz w:val="32"/>
          <w:szCs w:val="32"/>
          <w:highlight w:val="none"/>
          <w:u w:val="none"/>
        </w:rPr>
        <w:t>）企业本部</w:t>
      </w:r>
      <w:r>
        <w:rPr>
          <w:rFonts w:hint="eastAsia" w:hAnsi="仿宋" w:cs="仿宋"/>
          <w:b w:val="0"/>
          <w:bCs/>
          <w:color w:val="auto"/>
          <w:sz w:val="32"/>
          <w:szCs w:val="32"/>
          <w:highlight w:val="none"/>
          <w:u w:val="none"/>
          <w:lang w:eastAsia="zh-CN"/>
        </w:rPr>
        <w:t>及所属企业</w:t>
      </w:r>
      <w:r>
        <w:rPr>
          <w:rFonts w:hint="eastAsia" w:ascii="仿宋_GB2312" w:hAnsi="仿宋" w:eastAsia="仿宋_GB2312" w:cs="仿宋"/>
          <w:b w:val="0"/>
          <w:bCs/>
          <w:color w:val="auto"/>
          <w:sz w:val="32"/>
          <w:szCs w:val="32"/>
          <w:highlight w:val="none"/>
          <w:u w:val="none"/>
        </w:rPr>
        <w:t>设立、合并、撤销银行</w:t>
      </w:r>
      <w:r>
        <w:rPr>
          <w:rFonts w:hint="eastAsia" w:hAnsi="仿宋" w:cs="仿宋"/>
          <w:b w:val="0"/>
          <w:bCs/>
          <w:color w:val="auto"/>
          <w:sz w:val="32"/>
          <w:szCs w:val="32"/>
          <w:highlight w:val="none"/>
          <w:u w:val="none"/>
          <w:lang w:eastAsia="zh-CN"/>
        </w:rPr>
        <w:t>账</w:t>
      </w:r>
      <w:r>
        <w:rPr>
          <w:rFonts w:hint="eastAsia" w:ascii="仿宋_GB2312" w:hAnsi="仿宋" w:eastAsia="仿宋_GB2312" w:cs="仿宋"/>
          <w:b w:val="0"/>
          <w:bCs/>
          <w:color w:val="auto"/>
          <w:sz w:val="32"/>
          <w:szCs w:val="32"/>
          <w:highlight w:val="none"/>
          <w:u w:val="none"/>
        </w:rPr>
        <w:t>户和证券</w:t>
      </w:r>
      <w:r>
        <w:rPr>
          <w:rFonts w:hint="eastAsia" w:hAnsi="仿宋" w:cs="仿宋"/>
          <w:b w:val="0"/>
          <w:bCs/>
          <w:color w:val="auto"/>
          <w:sz w:val="32"/>
          <w:szCs w:val="32"/>
          <w:highlight w:val="none"/>
          <w:u w:val="none"/>
          <w:lang w:eastAsia="zh-CN"/>
        </w:rPr>
        <w:t>账</w:t>
      </w:r>
      <w:r>
        <w:rPr>
          <w:rFonts w:hint="eastAsia" w:ascii="仿宋_GB2312" w:hAnsi="仿宋" w:eastAsia="仿宋_GB2312" w:cs="仿宋"/>
          <w:b w:val="0"/>
          <w:bCs/>
          <w:color w:val="auto"/>
          <w:sz w:val="32"/>
          <w:szCs w:val="32"/>
          <w:highlight w:val="none"/>
          <w:u w:val="none"/>
        </w:rPr>
        <w:t>户。</w:t>
      </w:r>
    </w:p>
    <w:p w14:paraId="408ED31F">
      <w:pPr>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（十）企业全面预算报告，包括本企业及其所属企业的预算报表及预算说明。</w:t>
      </w:r>
    </w:p>
    <w:p w14:paraId="02893475">
      <w:pPr>
        <w:numPr>
          <w:ilvl w:val="0"/>
          <w:numId w:val="0"/>
        </w:numPr>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（十</w:t>
      </w:r>
      <w:r>
        <w:rPr>
          <w:rFonts w:hint="eastAsia" w:ascii="仿宋_GB2312" w:hAnsi="仿宋" w:eastAsia="仿宋_GB2312" w:cs="仿宋"/>
          <w:b w:val="0"/>
          <w:bCs/>
          <w:color w:val="auto"/>
          <w:sz w:val="32"/>
          <w:szCs w:val="32"/>
          <w:highlight w:val="none"/>
          <w:u w:val="none"/>
          <w:lang w:val="en-US" w:eastAsia="zh-CN"/>
        </w:rPr>
        <w:t>一</w:t>
      </w:r>
      <w:r>
        <w:rPr>
          <w:rFonts w:hint="eastAsia" w:ascii="仿宋_GB2312" w:hAnsi="仿宋" w:eastAsia="仿宋_GB2312" w:cs="仿宋"/>
          <w:b w:val="0"/>
          <w:bCs/>
          <w:color w:val="auto"/>
          <w:sz w:val="32"/>
          <w:szCs w:val="32"/>
          <w:highlight w:val="none"/>
          <w:u w:val="none"/>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认为应当联签的其他事项。</w:t>
      </w:r>
    </w:p>
    <w:p w14:paraId="517A78C3">
      <w:pPr>
        <w:numPr>
          <w:ilvl w:val="0"/>
          <w:numId w:val="1"/>
        </w:numPr>
        <w:spacing w:line="560" w:lineRule="exact"/>
        <w:ind w:left="0" w:leftChars="0" w:firstLine="640" w:firstLineChars="200"/>
        <w:rPr>
          <w:rFonts w:hint="eastAsia"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凡规定联签的事项，应当在董事长或经理签署之前送财务总监审签。联签的程序为：业务部门报企业分管副经理审签后，报财务总监审签，</w:t>
      </w:r>
      <w:r>
        <w:rPr>
          <w:rFonts w:hint="eastAsia" w:ascii="仿宋_GB2312" w:hAnsi="仿宋" w:eastAsia="仿宋_GB2312" w:cs="仿宋"/>
          <w:b w:val="0"/>
          <w:bCs/>
          <w:color w:val="auto"/>
          <w:sz w:val="32"/>
          <w:szCs w:val="32"/>
          <w:highlight w:val="none"/>
          <w:u w:val="none"/>
          <w:lang w:val="en-US" w:eastAsia="zh-CN"/>
        </w:rPr>
        <w:t>再</w:t>
      </w:r>
      <w:r>
        <w:rPr>
          <w:rFonts w:hint="eastAsia" w:ascii="仿宋_GB2312" w:hAnsi="仿宋" w:eastAsia="仿宋_GB2312" w:cs="仿宋"/>
          <w:b w:val="0"/>
          <w:bCs/>
          <w:color w:val="auto"/>
          <w:sz w:val="32"/>
          <w:szCs w:val="32"/>
          <w:highlight w:val="none"/>
          <w:u w:val="none"/>
        </w:rPr>
        <w:t>报经理或董事长审签。</w:t>
      </w:r>
    </w:p>
    <w:p w14:paraId="138FAFD6">
      <w:pPr>
        <w:pStyle w:val="12"/>
        <w:numPr>
          <w:ilvl w:val="0"/>
          <w:numId w:val="0"/>
        </w:numPr>
        <w:spacing w:line="560" w:lineRule="exact"/>
        <w:ind w:leftChars="200"/>
        <w:jc w:val="left"/>
        <w:rPr>
          <w:rFonts w:ascii="仿宋_GB2312" w:hAnsi="仿宋" w:eastAsia="仿宋_GB2312" w:cs="仿宋"/>
          <w:b w:val="0"/>
          <w:bCs/>
          <w:color w:val="auto"/>
          <w:sz w:val="32"/>
          <w:szCs w:val="32"/>
          <w:highlight w:val="none"/>
          <w:u w:val="none"/>
        </w:rPr>
      </w:pPr>
    </w:p>
    <w:p w14:paraId="34941E36">
      <w:pPr>
        <w:spacing w:line="560" w:lineRule="exact"/>
        <w:jc w:val="center"/>
        <w:rPr>
          <w:rFonts w:ascii="楷体_GB2312" w:hAnsi="仿宋" w:eastAsia="楷体_GB2312" w:cs="仿宋"/>
          <w:b w:val="0"/>
          <w:bCs/>
          <w:color w:val="auto"/>
          <w:sz w:val="32"/>
          <w:szCs w:val="32"/>
          <w:highlight w:val="none"/>
          <w:u w:val="none"/>
        </w:rPr>
      </w:pPr>
      <w:r>
        <w:rPr>
          <w:rFonts w:hint="eastAsia" w:ascii="楷体_GB2312" w:hAnsi="仿宋" w:eastAsia="楷体_GB2312" w:cs="仿宋"/>
          <w:b w:val="0"/>
          <w:bCs/>
          <w:color w:val="auto"/>
          <w:sz w:val="32"/>
          <w:szCs w:val="32"/>
          <w:highlight w:val="none"/>
          <w:u w:val="none"/>
        </w:rPr>
        <w:t>第三节  企业财务审计</w:t>
      </w:r>
    </w:p>
    <w:p w14:paraId="55FA168A">
      <w:pPr>
        <w:pStyle w:val="12"/>
        <w:numPr>
          <w:ilvl w:val="0"/>
          <w:numId w:val="1"/>
        </w:numPr>
        <w:spacing w:line="560" w:lineRule="exact"/>
        <w:ind w:left="0" w:firstLine="643"/>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w:t>
      </w:r>
      <w:r>
        <w:rPr>
          <w:rFonts w:hint="default" w:ascii="仿宋_GB2312" w:hAnsi="仿宋" w:eastAsia="仿宋_GB2312"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负责组织对直管企业的年度财务决算及经济活动进行年度审计</w:t>
      </w:r>
      <w:r>
        <w:rPr>
          <w:rFonts w:hint="eastAsia" w:ascii="仿宋_GB2312" w:hAnsi="仿宋" w:eastAsia="仿宋_GB2312" w:cs="仿宋"/>
          <w:b w:val="0"/>
          <w:bCs/>
          <w:color w:val="auto"/>
          <w:sz w:val="32"/>
          <w:szCs w:val="32"/>
          <w:highlight w:val="none"/>
          <w:u w:val="none"/>
          <w:lang w:val="en-US" w:eastAsia="zh-CN"/>
        </w:rPr>
        <w:t>。年度审计费用列入企业成本。</w:t>
      </w:r>
    </w:p>
    <w:p w14:paraId="0CC4358B">
      <w:pPr>
        <w:pStyle w:val="12"/>
        <w:numPr>
          <w:ilvl w:val="0"/>
          <w:numId w:val="1"/>
        </w:numPr>
        <w:spacing w:line="560" w:lineRule="exact"/>
        <w:ind w:left="0"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w:t>
      </w:r>
      <w:r>
        <w:rPr>
          <w:rFonts w:hint="default" w:ascii="仿宋_GB2312" w:hAnsi="仿宋" w:eastAsia="仿宋_GB2312"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根据需要，可以委托会计师事务所对国有独资公司（企业）进行</w:t>
      </w:r>
      <w:r>
        <w:rPr>
          <w:rFonts w:hint="eastAsia" w:ascii="仿宋_GB2312" w:hAnsi="仿宋" w:eastAsia="仿宋_GB2312" w:cs="仿宋"/>
          <w:b w:val="0"/>
          <w:bCs/>
          <w:color w:val="auto"/>
          <w:sz w:val="32"/>
          <w:szCs w:val="32"/>
          <w:highlight w:val="none"/>
          <w:u w:val="none"/>
          <w:lang w:eastAsia="zh-CN"/>
        </w:rPr>
        <w:t>年度</w:t>
      </w:r>
      <w:r>
        <w:rPr>
          <w:rFonts w:hint="eastAsia" w:ascii="仿宋_GB2312" w:hAnsi="仿宋" w:eastAsia="仿宋_GB2312" w:cs="仿宋"/>
          <w:b w:val="0"/>
          <w:bCs/>
          <w:color w:val="auto"/>
          <w:sz w:val="32"/>
          <w:szCs w:val="32"/>
          <w:highlight w:val="none"/>
          <w:u w:val="none"/>
        </w:rPr>
        <w:t>审计，或者通过国有资本控股公司的股东（大）会决议，由国有资本控股公司聘请的会计师事务所对公司进行</w:t>
      </w:r>
      <w:r>
        <w:rPr>
          <w:rFonts w:hint="eastAsia" w:ascii="仿宋_GB2312" w:hAnsi="仿宋" w:eastAsia="仿宋_GB2312" w:cs="仿宋"/>
          <w:b w:val="0"/>
          <w:bCs/>
          <w:color w:val="auto"/>
          <w:sz w:val="32"/>
          <w:szCs w:val="32"/>
          <w:highlight w:val="none"/>
          <w:u w:val="none"/>
          <w:lang w:eastAsia="zh-CN"/>
        </w:rPr>
        <w:t>年度</w:t>
      </w:r>
      <w:r>
        <w:rPr>
          <w:rFonts w:hint="eastAsia" w:ascii="仿宋_GB2312" w:hAnsi="仿宋" w:eastAsia="仿宋_GB2312" w:cs="仿宋"/>
          <w:b w:val="0"/>
          <w:bCs/>
          <w:color w:val="auto"/>
          <w:sz w:val="32"/>
          <w:szCs w:val="32"/>
          <w:highlight w:val="none"/>
          <w:u w:val="none"/>
        </w:rPr>
        <w:t>审计</w:t>
      </w:r>
      <w:r>
        <w:rPr>
          <w:rFonts w:hint="eastAsia" w:ascii="仿宋_GB2312" w:hAnsi="仿宋" w:eastAsia="仿宋_GB2312" w:cs="仿宋"/>
          <w:b w:val="0"/>
          <w:bCs/>
          <w:color w:val="auto"/>
          <w:sz w:val="32"/>
          <w:szCs w:val="32"/>
          <w:highlight w:val="none"/>
          <w:u w:val="none"/>
          <w:lang w:eastAsia="zh-CN"/>
        </w:rPr>
        <w:t>。</w:t>
      </w:r>
    </w:p>
    <w:p w14:paraId="738118BC">
      <w:pPr>
        <w:pStyle w:val="12"/>
        <w:numPr>
          <w:ilvl w:val="0"/>
          <w:numId w:val="1"/>
        </w:numPr>
        <w:spacing w:line="560" w:lineRule="exact"/>
        <w:ind w:left="0"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直管企业不得干预正常审计工作，应当为审计工作提供必要的工作条件，对所提供的会计记录和财务数据等资料的真实性、合法性和完整性负责。</w:t>
      </w:r>
    </w:p>
    <w:p w14:paraId="6274C6D7">
      <w:pPr>
        <w:pStyle w:val="12"/>
        <w:numPr>
          <w:ilvl w:val="0"/>
          <w:numId w:val="1"/>
        </w:numPr>
        <w:spacing w:line="560" w:lineRule="exact"/>
        <w:ind w:left="0"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lang w:eastAsia="zh-CN"/>
        </w:rPr>
        <w:t>会计师事务所实施年度审计工作内容如下</w:t>
      </w:r>
      <w:r>
        <w:rPr>
          <w:rFonts w:hint="eastAsia" w:ascii="仿宋_GB2312" w:hAnsi="仿宋" w:eastAsia="仿宋_GB2312" w:cs="仿宋"/>
          <w:b w:val="0"/>
          <w:bCs/>
          <w:color w:val="auto"/>
          <w:sz w:val="32"/>
          <w:szCs w:val="32"/>
          <w:highlight w:val="none"/>
          <w:u w:val="none"/>
        </w:rPr>
        <w:t>：</w:t>
      </w:r>
    </w:p>
    <w:p w14:paraId="0A996729">
      <w:pPr>
        <w:spacing w:line="560" w:lineRule="exact"/>
        <w:ind w:firstLine="642"/>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w:t>
      </w:r>
      <w:r>
        <w:rPr>
          <w:rFonts w:hint="eastAsia" w:hAnsi="仿宋" w:cs="仿宋"/>
          <w:b w:val="0"/>
          <w:bCs/>
          <w:color w:val="auto"/>
          <w:sz w:val="32"/>
          <w:szCs w:val="32"/>
          <w:highlight w:val="none"/>
          <w:u w:val="none"/>
          <w:lang w:eastAsia="zh-CN"/>
        </w:rPr>
        <w:t>审计报告。会计师事务所应当按照委托工作要求，依据有关制度、准则，对企业资产负债表、利润表、现金流量表、所有者权益变动表及会计报表附注等资料进行审计，独立发表审计意见书，出具审计报告。</w:t>
      </w:r>
    </w:p>
    <w:p w14:paraId="671EA4FE">
      <w:pPr>
        <w:spacing w:line="560" w:lineRule="exact"/>
        <w:ind w:firstLine="642"/>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w:t>
      </w:r>
      <w:r>
        <w:rPr>
          <w:rFonts w:hint="eastAsia" w:hAnsi="仿宋" w:cs="仿宋"/>
          <w:b w:val="0"/>
          <w:bCs/>
          <w:color w:val="auto"/>
          <w:sz w:val="32"/>
          <w:szCs w:val="32"/>
          <w:highlight w:val="none"/>
          <w:u w:val="none"/>
          <w:lang w:eastAsia="zh-CN"/>
        </w:rPr>
        <w:t>审计意见书。会计师事务所应当按照委托工作要求，对企业业绩考核、预算完成、投资活动、重大风险等作出客观评价，出具审计意见书。审计意见书包括内部控制、产权变动、资产租赁、期初重大调整事项、非经营性损益、国有资产保值增值、资产减值准备、对外借款、审计整改、落实国资监管制度等事项。</w:t>
      </w:r>
    </w:p>
    <w:p w14:paraId="5C19584D">
      <w:pPr>
        <w:spacing w:line="560" w:lineRule="exact"/>
        <w:ind w:firstLine="642"/>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w:t>
      </w:r>
      <w:r>
        <w:rPr>
          <w:rFonts w:hint="eastAsia" w:hAnsi="仿宋" w:cs="仿宋"/>
          <w:b w:val="0"/>
          <w:bCs/>
          <w:color w:val="auto"/>
          <w:sz w:val="32"/>
          <w:szCs w:val="32"/>
          <w:highlight w:val="none"/>
          <w:u w:val="none"/>
          <w:lang w:eastAsia="zh-CN"/>
        </w:rPr>
        <w:t>其他委托事项</w:t>
      </w:r>
      <w:r>
        <w:rPr>
          <w:rFonts w:hint="eastAsia" w:ascii="仿宋_GB2312" w:hAnsi="仿宋" w:eastAsia="仿宋_GB2312" w:cs="仿宋"/>
          <w:b w:val="0"/>
          <w:bCs/>
          <w:color w:val="auto"/>
          <w:sz w:val="32"/>
          <w:szCs w:val="32"/>
          <w:highlight w:val="none"/>
          <w:u w:val="none"/>
        </w:rPr>
        <w:t>。</w:t>
      </w:r>
    </w:p>
    <w:p w14:paraId="230E4E36">
      <w:pPr>
        <w:pStyle w:val="12"/>
        <w:numPr>
          <w:ilvl w:val="0"/>
          <w:numId w:val="1"/>
        </w:numPr>
        <w:spacing w:line="560" w:lineRule="exact"/>
        <w:ind w:left="0"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审计结果运用：</w:t>
      </w:r>
    </w:p>
    <w:p w14:paraId="16BCDDEB">
      <w:pPr>
        <w:numPr>
          <w:ilvl w:val="0"/>
          <w:numId w:val="7"/>
        </w:numPr>
        <w:spacing w:line="560" w:lineRule="exact"/>
        <w:ind w:firstLine="642"/>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审计结果</w:t>
      </w:r>
      <w:r>
        <w:rPr>
          <w:rFonts w:hint="eastAsia" w:hAnsi="仿宋" w:cs="仿宋"/>
          <w:b w:val="0"/>
          <w:bCs/>
          <w:color w:val="auto"/>
          <w:sz w:val="32"/>
          <w:szCs w:val="32"/>
          <w:highlight w:val="none"/>
          <w:u w:val="none"/>
          <w:lang w:eastAsia="zh-CN"/>
        </w:rPr>
        <w:t>作为</w:t>
      </w:r>
      <w:r>
        <w:rPr>
          <w:rFonts w:hint="eastAsia" w:ascii="仿宋_GB2312" w:hAnsi="仿宋" w:eastAsia="仿宋_GB2312" w:cs="仿宋"/>
          <w:b w:val="0"/>
          <w:bCs/>
          <w:color w:val="auto"/>
          <w:sz w:val="32"/>
          <w:szCs w:val="32"/>
          <w:highlight w:val="none"/>
          <w:u w:val="none"/>
        </w:rPr>
        <w:t>直管企业主要负责人经营业绩考核</w:t>
      </w:r>
      <w:r>
        <w:rPr>
          <w:rFonts w:hint="eastAsia" w:hAnsi="仿宋" w:cs="仿宋"/>
          <w:b w:val="0"/>
          <w:bCs/>
          <w:color w:val="auto"/>
          <w:sz w:val="32"/>
          <w:szCs w:val="32"/>
          <w:highlight w:val="none"/>
          <w:u w:val="none"/>
          <w:lang w:eastAsia="zh-CN"/>
        </w:rPr>
        <w:t>的重要依据</w:t>
      </w:r>
      <w:r>
        <w:rPr>
          <w:rFonts w:hint="eastAsia" w:ascii="仿宋_GB2312" w:hAnsi="仿宋" w:eastAsia="仿宋_GB2312" w:cs="仿宋"/>
          <w:b w:val="0"/>
          <w:bCs/>
          <w:color w:val="auto"/>
          <w:sz w:val="32"/>
          <w:szCs w:val="32"/>
          <w:highlight w:val="none"/>
          <w:u w:val="none"/>
        </w:rPr>
        <w:t>。</w:t>
      </w:r>
    </w:p>
    <w:p w14:paraId="13E3B662">
      <w:pPr>
        <w:spacing w:line="560" w:lineRule="exact"/>
        <w:ind w:firstLine="640" w:firstLineChars="200"/>
        <w:rPr>
          <w:b w:val="0"/>
          <w:bCs/>
          <w:color w:val="auto"/>
          <w:highlight w:val="none"/>
          <w:u w:val="none"/>
        </w:rPr>
      </w:pPr>
      <w:r>
        <w:rPr>
          <w:rFonts w:hint="eastAsia" w:ascii="仿宋_GB2312" w:hAnsi="仿宋" w:eastAsia="仿宋_GB2312" w:cs="仿宋"/>
          <w:b w:val="0"/>
          <w:bCs/>
          <w:color w:val="auto"/>
          <w:sz w:val="32"/>
          <w:szCs w:val="32"/>
          <w:highlight w:val="none"/>
          <w:u w:val="none"/>
        </w:rPr>
        <w:t>（二）直管企业应当依据有关制度、规范、准则，对年度总结审计报告中提出的意见建议及时采取整改措施，按照规定完成有关整改工作。直管企业的主要负责人作为审计整改第一责任人，应当认真抓好审计整改工作，及时将其审计整改工作情况报告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w:t>
      </w:r>
    </w:p>
    <w:p w14:paraId="2D95A9EA">
      <w:pPr>
        <w:pStyle w:val="12"/>
        <w:numPr>
          <w:ilvl w:val="0"/>
          <w:numId w:val="1"/>
        </w:numPr>
        <w:spacing w:line="560" w:lineRule="exact"/>
        <w:ind w:left="0" w:firstLine="640"/>
        <w:rPr>
          <w:rFonts w:ascii="仿宋_GB2312" w:hAnsi="仿宋" w:eastAsia="仿宋_GB2312" w:cs="仿宋"/>
          <w:b w:val="0"/>
          <w:bCs/>
          <w:color w:val="auto"/>
          <w:sz w:val="32"/>
          <w:szCs w:val="32"/>
          <w:highlight w:val="none"/>
          <w:u w:val="none"/>
        </w:rPr>
      </w:pPr>
      <w:r>
        <w:rPr>
          <w:rFonts w:hint="eastAsia" w:ascii="仿宋_GB2312" w:hAnsi="仿宋" w:eastAsia="仿宋_GB2312" w:cs="仿宋"/>
          <w:bCs/>
          <w:color w:val="auto"/>
          <w:sz w:val="32"/>
          <w:szCs w:val="32"/>
          <w:highlight w:val="none"/>
          <w:lang w:eastAsia="zh-CN"/>
        </w:rPr>
        <w:t>区国有企业选聘会计师事务所</w:t>
      </w:r>
      <w:r>
        <w:rPr>
          <w:rFonts w:hint="eastAsia" w:ascii="仿宋_GB2312" w:hAnsi="仿宋" w:eastAsia="仿宋_GB2312" w:cs="仿宋"/>
          <w:bCs/>
          <w:color w:val="auto"/>
          <w:sz w:val="32"/>
          <w:szCs w:val="32"/>
          <w:highlight w:val="none"/>
        </w:rPr>
        <w:t>应当符合《</w:t>
      </w:r>
      <w:r>
        <w:rPr>
          <w:rFonts w:hint="eastAsia" w:ascii="仿宋_GB2312" w:hAnsi="仿宋" w:eastAsia="仿宋_GB2312" w:cs="仿宋"/>
          <w:bCs/>
          <w:color w:val="auto"/>
          <w:sz w:val="32"/>
          <w:szCs w:val="32"/>
          <w:highlight w:val="none"/>
          <w:lang w:eastAsia="zh-CN"/>
        </w:rPr>
        <w:t>国有企业、上市公司选聘会计师事务所管理办法</w:t>
      </w:r>
      <w:r>
        <w:rPr>
          <w:rFonts w:hint="eastAsia" w:ascii="仿宋_GB2312" w:hAnsi="仿宋" w:eastAsia="仿宋_GB2312" w:cs="仿宋"/>
          <w:bCs/>
          <w:color w:val="auto"/>
          <w:sz w:val="32"/>
          <w:szCs w:val="32"/>
          <w:highlight w:val="none"/>
        </w:rPr>
        <w:t>》</w:t>
      </w:r>
      <w:r>
        <w:rPr>
          <w:rFonts w:hint="eastAsia" w:ascii="仿宋_GB2312" w:hAnsi="仿宋" w:eastAsia="仿宋_GB2312" w:cs="仿宋"/>
          <w:bCs/>
          <w:color w:val="auto"/>
          <w:sz w:val="32"/>
          <w:szCs w:val="32"/>
          <w:highlight w:val="none"/>
          <w:lang w:eastAsia="zh-CN"/>
        </w:rPr>
        <w:t>（财会</w:t>
      </w:r>
      <w:r>
        <w:rPr>
          <w:rFonts w:hint="eastAsia" w:ascii="华文仿宋" w:hAnsi="华文仿宋" w:eastAsia="华文仿宋" w:cs="华文仿宋"/>
          <w:bCs/>
          <w:color w:val="auto"/>
          <w:sz w:val="32"/>
          <w:szCs w:val="32"/>
          <w:highlight w:val="none"/>
          <w:lang w:eastAsia="zh-CN"/>
        </w:rPr>
        <w:t>〔</w:t>
      </w:r>
      <w:r>
        <w:rPr>
          <w:rFonts w:hint="eastAsia" w:ascii="华文仿宋" w:hAnsi="华文仿宋" w:eastAsia="华文仿宋" w:cs="华文仿宋"/>
          <w:bCs/>
          <w:color w:val="auto"/>
          <w:sz w:val="32"/>
          <w:szCs w:val="32"/>
          <w:highlight w:val="none"/>
          <w:lang w:val="en-US" w:eastAsia="zh-CN"/>
        </w:rPr>
        <w:t>2023</w:t>
      </w:r>
      <w:r>
        <w:rPr>
          <w:rFonts w:hint="eastAsia" w:ascii="华文仿宋" w:hAnsi="华文仿宋" w:eastAsia="华文仿宋" w:cs="华文仿宋"/>
          <w:bCs/>
          <w:color w:val="auto"/>
          <w:sz w:val="32"/>
          <w:szCs w:val="32"/>
          <w:highlight w:val="none"/>
          <w:lang w:eastAsia="zh-CN"/>
        </w:rPr>
        <w:t>〕</w:t>
      </w:r>
      <w:r>
        <w:rPr>
          <w:rFonts w:hint="eastAsia" w:ascii="华文仿宋" w:hAnsi="华文仿宋" w:eastAsia="华文仿宋" w:cs="华文仿宋"/>
          <w:bCs/>
          <w:color w:val="auto"/>
          <w:sz w:val="32"/>
          <w:szCs w:val="32"/>
          <w:highlight w:val="none"/>
          <w:lang w:val="en-US" w:eastAsia="zh-CN"/>
        </w:rPr>
        <w:t>4号</w:t>
      </w:r>
      <w:r>
        <w:rPr>
          <w:rFonts w:hint="eastAsia" w:ascii="仿宋_GB2312" w:hAnsi="仿宋" w:eastAsia="仿宋_GB2312" w:cs="仿宋"/>
          <w:bCs/>
          <w:color w:val="auto"/>
          <w:sz w:val="32"/>
          <w:szCs w:val="32"/>
          <w:highlight w:val="none"/>
          <w:lang w:eastAsia="zh-CN"/>
        </w:rPr>
        <w:t>）</w:t>
      </w:r>
      <w:r>
        <w:rPr>
          <w:rFonts w:hint="eastAsia" w:ascii="仿宋_GB2312" w:hAnsi="仿宋" w:eastAsia="仿宋_GB2312" w:cs="仿宋"/>
          <w:bCs/>
          <w:color w:val="auto"/>
          <w:sz w:val="32"/>
          <w:szCs w:val="32"/>
          <w:highlight w:val="none"/>
        </w:rPr>
        <w:t>等相关法律</w:t>
      </w:r>
      <w:r>
        <w:rPr>
          <w:rFonts w:hint="eastAsia" w:ascii="仿宋_GB2312" w:hAnsi="仿宋" w:eastAsia="仿宋_GB2312" w:cs="仿宋"/>
          <w:bCs/>
          <w:color w:val="auto"/>
          <w:sz w:val="32"/>
          <w:szCs w:val="32"/>
          <w:highlight w:val="none"/>
          <w:lang w:eastAsia="zh-CN"/>
        </w:rPr>
        <w:t>规章</w:t>
      </w:r>
      <w:r>
        <w:rPr>
          <w:rFonts w:hint="eastAsia" w:ascii="仿宋_GB2312" w:hAnsi="仿宋" w:eastAsia="仿宋_GB2312" w:cs="仿宋"/>
          <w:bCs/>
          <w:color w:val="auto"/>
          <w:sz w:val="32"/>
          <w:szCs w:val="32"/>
          <w:highlight w:val="none"/>
        </w:rPr>
        <w:t>的有关规定。</w:t>
      </w:r>
    </w:p>
    <w:p w14:paraId="3FCF6A56">
      <w:pPr>
        <w:spacing w:line="560" w:lineRule="exact"/>
        <w:ind w:firstLine="642"/>
        <w:rPr>
          <w:rFonts w:ascii="仿宋_GB2312" w:hAnsi="仿宋" w:eastAsia="仿宋_GB2312" w:cs="仿宋"/>
          <w:b w:val="0"/>
          <w:bCs/>
          <w:color w:val="auto"/>
          <w:sz w:val="32"/>
          <w:szCs w:val="32"/>
          <w:highlight w:val="none"/>
          <w:u w:val="none"/>
        </w:rPr>
      </w:pPr>
    </w:p>
    <w:p w14:paraId="327B0907">
      <w:pPr>
        <w:spacing w:line="560" w:lineRule="exact"/>
        <w:jc w:val="center"/>
        <w:rPr>
          <w:rFonts w:ascii="楷体_GB2312" w:hAnsi="仿宋" w:eastAsia="楷体_GB2312" w:cs="仿宋"/>
          <w:b w:val="0"/>
          <w:bCs/>
          <w:color w:val="auto"/>
          <w:sz w:val="32"/>
          <w:szCs w:val="32"/>
          <w:highlight w:val="none"/>
          <w:u w:val="none"/>
        </w:rPr>
      </w:pPr>
      <w:r>
        <w:rPr>
          <w:rFonts w:hint="eastAsia" w:ascii="楷体_GB2312" w:hAnsi="仿宋" w:eastAsia="楷体_GB2312" w:cs="仿宋"/>
          <w:b w:val="0"/>
          <w:bCs/>
          <w:color w:val="auto"/>
          <w:sz w:val="32"/>
          <w:szCs w:val="32"/>
          <w:highlight w:val="none"/>
          <w:u w:val="none"/>
        </w:rPr>
        <w:t>第四节  企业资产核销管理</w:t>
      </w:r>
    </w:p>
    <w:p w14:paraId="7FD0F25A">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资产损失指国有企业由于各种原因造成的财产、债权及其他经济权利的损失，包括坏</w:t>
      </w:r>
      <w:r>
        <w:rPr>
          <w:rFonts w:hint="eastAsia" w:ascii="仿宋_GB2312" w:hAnsi="仿宋" w:eastAsia="仿宋_GB2312" w:cs="仿宋"/>
          <w:b w:val="0"/>
          <w:bCs/>
          <w:color w:val="auto"/>
          <w:kern w:val="0"/>
          <w:sz w:val="32"/>
          <w:szCs w:val="32"/>
          <w:highlight w:val="none"/>
          <w:u w:val="none"/>
          <w:lang w:eastAsia="zh-CN"/>
        </w:rPr>
        <w:t>账</w:t>
      </w:r>
      <w:r>
        <w:rPr>
          <w:rFonts w:hint="eastAsia" w:ascii="仿宋_GB2312" w:hAnsi="仿宋" w:eastAsia="仿宋_GB2312" w:cs="仿宋"/>
          <w:b w:val="0"/>
          <w:bCs/>
          <w:color w:val="auto"/>
          <w:kern w:val="0"/>
          <w:sz w:val="32"/>
          <w:szCs w:val="32"/>
          <w:highlight w:val="none"/>
          <w:u w:val="none"/>
        </w:rPr>
        <w:t>损失、存货损失、投资损失、固定资产损失、在建工程和工程物资损失、其他资产损失等。</w:t>
      </w:r>
    </w:p>
    <w:p w14:paraId="3A39C89E">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直管企业及其所属企业的资产损失核销，应当按照下列审批权限办理：</w:t>
      </w:r>
    </w:p>
    <w:p w14:paraId="3A157F6C">
      <w:pPr>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（一）单笔净资产损失在</w:t>
      </w:r>
      <w:r>
        <w:rPr>
          <w:rFonts w:ascii="仿宋_GB2312" w:hAnsi="仿宋" w:eastAsia="仿宋_GB2312" w:cs="仿宋"/>
          <w:b w:val="0"/>
          <w:bCs/>
          <w:color w:val="auto"/>
          <w:sz w:val="32"/>
          <w:szCs w:val="32"/>
          <w:highlight w:val="none"/>
          <w:u w:val="none"/>
        </w:rPr>
        <w:t>500</w:t>
      </w:r>
      <w:r>
        <w:rPr>
          <w:rFonts w:hint="eastAsia" w:ascii="仿宋_GB2312" w:hAnsi="仿宋" w:eastAsia="仿宋_GB2312" w:cs="仿宋"/>
          <w:b w:val="0"/>
          <w:bCs/>
          <w:color w:val="auto"/>
          <w:kern w:val="0"/>
          <w:sz w:val="32"/>
          <w:szCs w:val="32"/>
          <w:highlight w:val="none"/>
          <w:u w:val="none"/>
        </w:rPr>
        <w:t>万元以下的，由企业申请，由直管企业自行审定，并报</w:t>
      </w:r>
      <w:r>
        <w:rPr>
          <w:rFonts w:hint="eastAsia" w:ascii="仿宋_GB2312" w:hAnsi="仿宋" w:eastAsia="仿宋_GB2312" w:cs="仿宋"/>
          <w:b w:val="0"/>
          <w:bCs/>
          <w:color w:val="auto"/>
          <w:sz w:val="32"/>
          <w:szCs w:val="32"/>
          <w:highlight w:val="none"/>
          <w:u w:val="none"/>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备案。</w:t>
      </w:r>
    </w:p>
    <w:p w14:paraId="631A3392">
      <w:pPr>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（二）单笔净资产损失在</w:t>
      </w:r>
      <w:r>
        <w:rPr>
          <w:rFonts w:ascii="仿宋_GB2312" w:hAnsi="仿宋" w:eastAsia="仿宋_GB2312" w:cs="仿宋"/>
          <w:b w:val="0"/>
          <w:bCs/>
          <w:color w:val="auto"/>
          <w:kern w:val="0"/>
          <w:sz w:val="32"/>
          <w:szCs w:val="32"/>
          <w:highlight w:val="none"/>
          <w:u w:val="none"/>
        </w:rPr>
        <w:t>500万元以上</w:t>
      </w:r>
      <w:r>
        <w:rPr>
          <w:rFonts w:hint="eastAsia" w:ascii="仿宋_GB2312" w:hAnsi="仿宋" w:eastAsia="仿宋_GB2312" w:cs="仿宋"/>
          <w:b w:val="0"/>
          <w:bCs/>
          <w:color w:val="auto"/>
          <w:kern w:val="0"/>
          <w:sz w:val="32"/>
          <w:szCs w:val="32"/>
          <w:highlight w:val="none"/>
          <w:u w:val="none"/>
        </w:rPr>
        <w:t>、</w:t>
      </w:r>
      <w:r>
        <w:rPr>
          <w:rFonts w:ascii="仿宋_GB2312" w:hAnsi="仿宋" w:eastAsia="仿宋_GB2312" w:cs="仿宋"/>
          <w:b w:val="0"/>
          <w:bCs/>
          <w:color w:val="auto"/>
          <w:sz w:val="32"/>
          <w:szCs w:val="32"/>
          <w:highlight w:val="none"/>
          <w:u w:val="none"/>
        </w:rPr>
        <w:t>1000</w:t>
      </w:r>
      <w:r>
        <w:rPr>
          <w:rFonts w:hint="eastAsia" w:ascii="仿宋_GB2312" w:hAnsi="仿宋" w:eastAsia="仿宋_GB2312" w:cs="仿宋"/>
          <w:b w:val="0"/>
          <w:bCs/>
          <w:color w:val="auto"/>
          <w:kern w:val="0"/>
          <w:sz w:val="32"/>
          <w:szCs w:val="32"/>
          <w:highlight w:val="none"/>
          <w:u w:val="none"/>
        </w:rPr>
        <w:t>万元以下的，由企业申请，直管企业审核，报区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审定。</w:t>
      </w:r>
    </w:p>
    <w:p w14:paraId="7CB8BBDC">
      <w:pPr>
        <w:spacing w:line="560" w:lineRule="exact"/>
        <w:ind w:firstLine="640" w:firstLineChars="200"/>
        <w:rPr>
          <w:b w:val="0"/>
          <w:bCs/>
          <w:color w:val="auto"/>
          <w:highlight w:val="none"/>
          <w:u w:val="none"/>
        </w:rPr>
      </w:pPr>
      <w:r>
        <w:rPr>
          <w:rFonts w:hint="eastAsia" w:ascii="仿宋_GB2312" w:hAnsi="仿宋" w:eastAsia="仿宋_GB2312" w:cs="仿宋"/>
          <w:b w:val="0"/>
          <w:bCs/>
          <w:color w:val="auto"/>
          <w:kern w:val="0"/>
          <w:sz w:val="32"/>
          <w:szCs w:val="32"/>
          <w:highlight w:val="none"/>
          <w:u w:val="none"/>
        </w:rPr>
        <w:t>（三）单笔净资产损失在</w:t>
      </w:r>
      <w:r>
        <w:rPr>
          <w:rFonts w:ascii="仿宋_GB2312" w:hAnsi="仿宋" w:eastAsia="仿宋_GB2312" w:cs="仿宋"/>
          <w:b w:val="0"/>
          <w:bCs/>
          <w:color w:val="auto"/>
          <w:kern w:val="0"/>
          <w:sz w:val="32"/>
          <w:szCs w:val="32"/>
          <w:highlight w:val="none"/>
          <w:u w:val="none"/>
        </w:rPr>
        <w:t>1000</w:t>
      </w:r>
      <w:r>
        <w:rPr>
          <w:rFonts w:hint="eastAsia" w:hAnsi="仿宋" w:cs="仿宋"/>
          <w:b w:val="0"/>
          <w:bCs/>
          <w:color w:val="auto"/>
          <w:kern w:val="0"/>
          <w:sz w:val="32"/>
          <w:szCs w:val="32"/>
          <w:highlight w:val="none"/>
          <w:u w:val="none"/>
          <w:lang w:eastAsia="zh-CN"/>
        </w:rPr>
        <w:t>万元</w:t>
      </w:r>
      <w:r>
        <w:rPr>
          <w:rFonts w:ascii="仿宋_GB2312" w:hAnsi="仿宋" w:eastAsia="仿宋_GB2312" w:cs="仿宋"/>
          <w:b w:val="0"/>
          <w:bCs/>
          <w:color w:val="auto"/>
          <w:kern w:val="0"/>
          <w:sz w:val="32"/>
          <w:szCs w:val="32"/>
          <w:highlight w:val="none"/>
          <w:u w:val="none"/>
        </w:rPr>
        <w:t>以上</w:t>
      </w:r>
      <w:r>
        <w:rPr>
          <w:rFonts w:hint="eastAsia" w:ascii="仿宋_GB2312" w:hAnsi="仿宋" w:eastAsia="仿宋_GB2312" w:cs="仿宋"/>
          <w:b w:val="0"/>
          <w:bCs/>
          <w:color w:val="auto"/>
          <w:kern w:val="0"/>
          <w:sz w:val="32"/>
          <w:szCs w:val="32"/>
          <w:highlight w:val="none"/>
          <w:u w:val="none"/>
        </w:rPr>
        <w:t>的，由直管企业申请，</w:t>
      </w:r>
      <w:r>
        <w:rPr>
          <w:rFonts w:hint="eastAsia" w:ascii="仿宋_GB2312" w:hAnsi="仿宋" w:eastAsia="仿宋_GB2312" w:cs="仿宋"/>
          <w:b w:val="0"/>
          <w:bCs/>
          <w:color w:val="auto"/>
          <w:kern w:val="0"/>
          <w:sz w:val="32"/>
          <w:szCs w:val="32"/>
          <w:highlight w:val="none"/>
          <w:u w:val="none"/>
          <w:lang w:val="en-US" w:eastAsia="zh-CN"/>
        </w:rPr>
        <w:t>经区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审核后，</w:t>
      </w:r>
      <w:r>
        <w:rPr>
          <w:rFonts w:hint="eastAsia" w:ascii="仿宋_GB2312" w:hAnsi="仿宋" w:eastAsia="仿宋_GB2312" w:cs="仿宋"/>
          <w:b w:val="0"/>
          <w:bCs/>
          <w:color w:val="auto"/>
          <w:sz w:val="32"/>
          <w:szCs w:val="32"/>
          <w:highlight w:val="none"/>
          <w:u w:val="none"/>
        </w:rPr>
        <w:t>按程序提请区政府常务会议审议</w:t>
      </w:r>
      <w:r>
        <w:rPr>
          <w:rFonts w:hint="eastAsia" w:ascii="仿宋_GB2312" w:hAnsi="仿宋" w:eastAsia="仿宋_GB2312" w:cs="仿宋"/>
          <w:b w:val="0"/>
          <w:bCs/>
          <w:color w:val="auto"/>
          <w:kern w:val="0"/>
          <w:sz w:val="32"/>
          <w:szCs w:val="32"/>
          <w:highlight w:val="none"/>
          <w:u w:val="none"/>
        </w:rPr>
        <w:t>。</w:t>
      </w:r>
    </w:p>
    <w:p w14:paraId="101776E1">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资产损失核销，直管企业应当聘请会计师事务所，对企业拟核销资产损失数据的准确性、资料的完整性、证据的合规性等进行审核，并提出资产损失核销专项报告。</w:t>
      </w:r>
    </w:p>
    <w:p w14:paraId="648B32D9">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shd w:val="clear" w:color="auto" w:fill="auto"/>
        </w:rPr>
        <w:t>企业在申请资产损失核销时，应当提交下列材料：</w:t>
      </w:r>
    </w:p>
    <w:p w14:paraId="5C5D882E">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（一）资产损失核销申请报告，并附资产损失汇总表及明细表</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773C1DBD">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（二）企业资产损失核销申报表，并经企业财务负责人、总经理和董事长审核签字，加盖企业公章</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0589123C">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（三）企业财务总监对企业拟核销的资产损失提出的独立审核意见</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482D8801">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（四）会计师事务所出具的资产损失核销专项审核报告</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1F006EBB">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（五）企业实施合并、分立或改制重组等依法改变企业组织形式行为的，应当提供有关立项报告或批准文件</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54489458">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（六）资产损失核销批准单位要求的其他必需资料。 </w:t>
      </w:r>
    </w:p>
    <w:p w14:paraId="2EE07C43">
      <w:pPr>
        <w:pStyle w:val="12"/>
        <w:numPr>
          <w:ilvl w:val="0"/>
          <w:numId w:val="1"/>
        </w:numPr>
        <w:spacing w:line="560" w:lineRule="exact"/>
        <w:ind w:left="0" w:leftChars="0" w:firstLine="640" w:firstLineChars="200"/>
        <w:rPr>
          <w:rFonts w:hint="eastAsia" w:ascii="仿宋_GB2312" w:hAnsi="仿宋" w:eastAsia="仿宋_GB2312" w:cs="仿宋"/>
          <w:bCs/>
          <w:i w:val="0"/>
          <w:caps w:val="0"/>
          <w:color w:val="auto"/>
          <w:spacing w:val="0"/>
          <w:sz w:val="32"/>
          <w:szCs w:val="32"/>
          <w:highlight w:val="none"/>
        </w:rPr>
      </w:pPr>
      <w:r>
        <w:rPr>
          <w:rFonts w:hint="eastAsia" w:ascii="仿宋_GB2312" w:hAnsi="仿宋" w:eastAsia="仿宋_GB2312" w:cs="仿宋"/>
          <w:bCs/>
          <w:i w:val="0"/>
          <w:caps w:val="0"/>
          <w:color w:val="auto"/>
          <w:spacing w:val="0"/>
          <w:kern w:val="0"/>
          <w:sz w:val="32"/>
          <w:szCs w:val="32"/>
          <w:highlight w:val="none"/>
          <w:shd w:val="clear" w:color="auto" w:fill="auto"/>
        </w:rPr>
        <w:t>企业资产损失核销申报表应当同时附上下列材料： </w:t>
      </w:r>
    </w:p>
    <w:p w14:paraId="6DD8DEB5">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（一）申请核销的资产损失情况说明，包括资产损失数额、形成过程和原因、责任认定、企业的处理意见及对企业资产状况和经营成果的影响等情况</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5596258B">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（二）与资产损失事项有关的财务会计资料，包括会计凭证、会计</w:t>
      </w:r>
      <w:r>
        <w:rPr>
          <w:rFonts w:hint="eastAsia" w:ascii="仿宋_GB2312" w:hAnsi="仿宋" w:eastAsia="仿宋_GB2312" w:cs="仿宋"/>
          <w:bCs/>
          <w:i w:val="0"/>
          <w:caps w:val="0"/>
          <w:color w:val="auto"/>
          <w:spacing w:val="0"/>
          <w:kern w:val="0"/>
          <w:sz w:val="32"/>
          <w:szCs w:val="32"/>
          <w:highlight w:val="none"/>
          <w:u w:val="none"/>
          <w:shd w:val="clear"/>
          <w:lang w:eastAsia="zh-CN"/>
        </w:rPr>
        <w:t>账</w:t>
      </w:r>
      <w:r>
        <w:rPr>
          <w:rFonts w:hint="eastAsia" w:ascii="仿宋_GB2312" w:hAnsi="仿宋" w:eastAsia="仿宋_GB2312" w:cs="仿宋"/>
          <w:bCs/>
          <w:i w:val="0"/>
          <w:caps w:val="0"/>
          <w:color w:val="auto"/>
          <w:spacing w:val="0"/>
          <w:kern w:val="0"/>
          <w:sz w:val="32"/>
          <w:szCs w:val="32"/>
          <w:highlight w:val="none"/>
          <w:u w:val="none"/>
          <w:shd w:val="clear"/>
        </w:rPr>
        <w:t>页和会计报表等复印件，并应当注明“与原件相符”字样和加盖企业公章</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2FE0A555">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（三）与资产损失事项有关的业务交易资料，包括经济合同、协议书、对账单、交割清单及其他往来函件等</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4403A578">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（四）企业出具的资产损失核准文件</w:t>
      </w:r>
      <w:r>
        <w:rPr>
          <w:rFonts w:hint="eastAsia" w:ascii="仿宋_GB2312" w:hAnsi="仿宋" w:eastAsia="仿宋_GB2312" w:cs="仿宋"/>
          <w:bCs/>
          <w:i w:val="0"/>
          <w:caps w:val="0"/>
          <w:color w:val="auto"/>
          <w:spacing w:val="0"/>
          <w:kern w:val="0"/>
          <w:sz w:val="32"/>
          <w:szCs w:val="32"/>
          <w:highlight w:val="none"/>
          <w:u w:val="none"/>
          <w:shd w:val="clear"/>
          <w:lang w:eastAsia="zh-CN"/>
        </w:rPr>
        <w:t>及</w:t>
      </w:r>
      <w:r>
        <w:rPr>
          <w:rFonts w:hint="eastAsia" w:ascii="仿宋_GB2312" w:hAnsi="仿宋" w:eastAsia="仿宋_GB2312" w:cs="仿宋"/>
          <w:bCs/>
          <w:i w:val="0"/>
          <w:caps w:val="0"/>
          <w:color w:val="auto"/>
          <w:spacing w:val="0"/>
          <w:kern w:val="0"/>
          <w:sz w:val="32"/>
          <w:szCs w:val="32"/>
          <w:highlight w:val="none"/>
          <w:u w:val="none"/>
          <w:shd w:val="clear"/>
        </w:rPr>
        <w:t>相关证明材料</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616F01EE">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（五）司法机关、公安机关、行政部门、专业技术鉴定部门等依法出具的具有法律效力的书面文件及社会中介机构的经济鉴证证明</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22C8C988">
      <w:pPr>
        <w:widowControl w:val="0"/>
        <w:spacing w:line="560" w:lineRule="exact"/>
        <w:ind w:firstLine="640" w:firstLineChars="200"/>
        <w:rPr>
          <w:rFonts w:hint="eastAsia" w:ascii="仿宋_GB2312" w:hAnsi="仿宋" w:eastAsia="仿宋_GB2312" w:cs="仿宋"/>
          <w:bCs/>
          <w:i w:val="0"/>
          <w:caps w:val="0"/>
          <w:color w:val="auto"/>
          <w:spacing w:val="0"/>
          <w:kern w:val="0"/>
          <w:sz w:val="32"/>
          <w:szCs w:val="32"/>
          <w:highlight w:val="none"/>
          <w:u w:val="none"/>
        </w:rPr>
      </w:pPr>
      <w:r>
        <w:rPr>
          <w:rFonts w:hint="eastAsia" w:ascii="仿宋_GB2312" w:hAnsi="仿宋" w:eastAsia="仿宋_GB2312" w:cs="仿宋"/>
          <w:bCs/>
          <w:i w:val="0"/>
          <w:caps w:val="0"/>
          <w:color w:val="auto"/>
          <w:spacing w:val="0"/>
          <w:kern w:val="0"/>
          <w:sz w:val="32"/>
          <w:szCs w:val="32"/>
          <w:highlight w:val="none"/>
          <w:u w:val="none"/>
          <w:shd w:val="clear"/>
        </w:rPr>
        <w:t>（六）企业清查出的各项资产损失，虽取得外部法律效力证明，但其损失金额无法根据证据确定，或者难以取得外部具有法律效力证明，应当由社会中介机构或有</w:t>
      </w:r>
      <w:bookmarkStart w:id="0" w:name="_GoBack"/>
      <w:bookmarkEnd w:id="0"/>
      <w:r>
        <w:rPr>
          <w:rFonts w:hint="eastAsia" w:ascii="仿宋_GB2312" w:hAnsi="仿宋" w:eastAsia="仿宋_GB2312" w:cs="仿宋"/>
          <w:bCs/>
          <w:i w:val="0"/>
          <w:caps w:val="0"/>
          <w:color w:val="auto"/>
          <w:spacing w:val="0"/>
          <w:kern w:val="0"/>
          <w:sz w:val="32"/>
          <w:szCs w:val="32"/>
          <w:highlight w:val="none"/>
          <w:u w:val="none"/>
          <w:shd w:val="clear"/>
        </w:rPr>
        <w:t>关专业技术部门进行鉴证（定）的，必须委托社会中介机构或有关专业技术部门，根据国家有关规定，出具鉴证（定）证明或鉴证（定）意见书</w:t>
      </w:r>
      <w:r>
        <w:rPr>
          <w:rFonts w:hint="eastAsia" w:ascii="仿宋_GB2312" w:hAnsi="仿宋" w:eastAsia="仿宋_GB2312" w:cs="仿宋"/>
          <w:bCs/>
          <w:i w:val="0"/>
          <w:caps w:val="0"/>
          <w:color w:val="auto"/>
          <w:spacing w:val="0"/>
          <w:kern w:val="0"/>
          <w:sz w:val="32"/>
          <w:szCs w:val="32"/>
          <w:highlight w:val="none"/>
          <w:u w:val="none"/>
          <w:shd w:val="clear"/>
          <w:lang w:eastAsia="zh-CN"/>
        </w:rPr>
        <w:t>。</w:t>
      </w:r>
      <w:r>
        <w:rPr>
          <w:rFonts w:hint="eastAsia" w:ascii="仿宋_GB2312" w:hAnsi="仿宋" w:eastAsia="仿宋_GB2312" w:cs="仿宋"/>
          <w:bCs/>
          <w:i w:val="0"/>
          <w:caps w:val="0"/>
          <w:color w:val="auto"/>
          <w:spacing w:val="0"/>
          <w:kern w:val="0"/>
          <w:sz w:val="32"/>
          <w:szCs w:val="32"/>
          <w:highlight w:val="none"/>
          <w:u w:val="none"/>
          <w:shd w:val="clear"/>
        </w:rPr>
        <w:t> </w:t>
      </w:r>
    </w:p>
    <w:p w14:paraId="2B9DBE5D">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经批准核销的资产（费用挂</w:t>
      </w:r>
      <w:r>
        <w:rPr>
          <w:rFonts w:hint="eastAsia" w:ascii="仿宋_GB2312" w:hAnsi="仿宋" w:eastAsia="仿宋_GB2312" w:cs="仿宋"/>
          <w:b w:val="0"/>
          <w:bCs/>
          <w:color w:val="auto"/>
          <w:kern w:val="0"/>
          <w:sz w:val="32"/>
          <w:szCs w:val="32"/>
          <w:highlight w:val="none"/>
          <w:u w:val="none"/>
          <w:lang w:eastAsia="zh-CN"/>
        </w:rPr>
        <w:t>账</w:t>
      </w:r>
      <w:r>
        <w:rPr>
          <w:rFonts w:hint="eastAsia" w:ascii="仿宋_GB2312" w:hAnsi="仿宋" w:eastAsia="仿宋_GB2312" w:cs="仿宋"/>
          <w:b w:val="0"/>
          <w:bCs/>
          <w:color w:val="auto"/>
          <w:kern w:val="0"/>
          <w:sz w:val="32"/>
          <w:szCs w:val="32"/>
          <w:highlight w:val="none"/>
          <w:u w:val="none"/>
        </w:rPr>
        <w:t>损失除外）应实行“</w:t>
      </w:r>
      <w:r>
        <w:rPr>
          <w:rFonts w:hint="eastAsia" w:ascii="仿宋_GB2312" w:hAnsi="仿宋" w:eastAsia="仿宋_GB2312" w:cs="仿宋"/>
          <w:b w:val="0"/>
          <w:bCs/>
          <w:color w:val="auto"/>
          <w:kern w:val="0"/>
          <w:sz w:val="32"/>
          <w:szCs w:val="32"/>
          <w:highlight w:val="none"/>
          <w:u w:val="none"/>
          <w:lang w:eastAsia="zh-CN"/>
        </w:rPr>
        <w:t>账</w:t>
      </w:r>
      <w:r>
        <w:rPr>
          <w:rFonts w:hint="eastAsia" w:ascii="仿宋_GB2312" w:hAnsi="仿宋" w:eastAsia="仿宋_GB2312" w:cs="仿宋"/>
          <w:b w:val="0"/>
          <w:bCs/>
          <w:color w:val="auto"/>
          <w:kern w:val="0"/>
          <w:sz w:val="32"/>
          <w:szCs w:val="32"/>
          <w:highlight w:val="none"/>
          <w:u w:val="none"/>
        </w:rPr>
        <w:t>销案存”管理制度，防止有关责任线索灭失。申请核销的企业关闭或注销的，应当将有关资料移交直管企业保管。</w:t>
      </w:r>
    </w:p>
    <w:p w14:paraId="6F262AB7">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企业资产核销后，被核销资产仍须继续追索的，直管企业应负责或督促申请核销的所属企业对已核销资产的追索工作。</w:t>
      </w:r>
    </w:p>
    <w:p w14:paraId="1120D0B4">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经批准，核销的资产损失已计提减值准备的，应当首先冲抵相应的减值准备，不足部分再计入当期损益，多计提部分必须恢复并增加当期损益；未计提减值准备的，应当直接计入当期损益。</w:t>
      </w:r>
    </w:p>
    <w:p w14:paraId="0CD468E0">
      <w:pPr>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区国有企业实施合并、分立或改制重组等依法改变企业组织形式行为的，经批准核销的资产损失，可以冲减企业净资产。</w:t>
      </w:r>
    </w:p>
    <w:p w14:paraId="1825AEDC">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直管企业每年应当对本企业及</w:t>
      </w:r>
      <w:r>
        <w:rPr>
          <w:rFonts w:hint="eastAsia" w:ascii="仿宋_GB2312" w:hAnsi="仿宋" w:eastAsia="仿宋_GB2312" w:cs="仿宋"/>
          <w:b w:val="0"/>
          <w:bCs/>
          <w:color w:val="auto"/>
          <w:kern w:val="0"/>
          <w:sz w:val="32"/>
          <w:szCs w:val="32"/>
          <w:highlight w:val="none"/>
          <w:u w:val="none"/>
          <w:lang w:eastAsia="zh-CN"/>
        </w:rPr>
        <w:t>所</w:t>
      </w:r>
      <w:r>
        <w:rPr>
          <w:rFonts w:hint="eastAsia" w:ascii="仿宋_GB2312" w:hAnsi="仿宋" w:eastAsia="仿宋_GB2312" w:cs="仿宋"/>
          <w:b w:val="0"/>
          <w:bCs/>
          <w:color w:val="auto"/>
          <w:kern w:val="0"/>
          <w:sz w:val="32"/>
          <w:szCs w:val="32"/>
          <w:highlight w:val="none"/>
          <w:u w:val="none"/>
        </w:rPr>
        <w:t>属企业本年度发生的资产损失核销处理情况进行汇总、分析，于年度结束后三个月内向区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提交专题报告。</w:t>
      </w:r>
    </w:p>
    <w:p w14:paraId="1FC1A5F3">
      <w:pPr>
        <w:widowControl/>
        <w:spacing w:line="560" w:lineRule="exact"/>
        <w:ind w:firstLine="640" w:firstLineChars="200"/>
        <w:jc w:val="left"/>
        <w:rPr>
          <w:rFonts w:ascii="仿宋_GB2312" w:hAnsi="仿宋" w:eastAsia="仿宋_GB2312" w:cs="仿宋"/>
          <w:b w:val="0"/>
          <w:bCs/>
          <w:color w:val="auto"/>
          <w:kern w:val="0"/>
          <w:sz w:val="32"/>
          <w:szCs w:val="32"/>
          <w:highlight w:val="none"/>
          <w:u w:val="none"/>
        </w:rPr>
      </w:pPr>
    </w:p>
    <w:p w14:paraId="0F7DD712">
      <w:pPr>
        <w:spacing w:line="560" w:lineRule="exact"/>
        <w:jc w:val="center"/>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rPr>
        <w:t>第五章  附则</w:t>
      </w:r>
    </w:p>
    <w:p w14:paraId="558EB2A8">
      <w:pPr>
        <w:pStyle w:val="12"/>
        <w:numPr>
          <w:ilvl w:val="0"/>
          <w:numId w:val="1"/>
        </w:numPr>
        <w:spacing w:line="560" w:lineRule="exact"/>
        <w:ind w:left="0" w:firstLine="643"/>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本规定所称“以上”含本数，“以下”不含本数；金额币别为人民币。</w:t>
      </w:r>
    </w:p>
    <w:p w14:paraId="5E7D154A">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本规定由光明区</w:t>
      </w:r>
      <w:r>
        <w:rPr>
          <w:rFonts w:hint="default" w:ascii="仿宋_GB2312" w:hAnsi="仿宋" w:eastAsia="仿宋_GB2312"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负责解释。</w:t>
      </w:r>
      <w:r>
        <w:rPr>
          <w:rFonts w:hint="eastAsia" w:ascii="仿宋_GB2312" w:hAnsi="仿宋" w:eastAsia="仿宋_GB2312" w:cs="仿宋"/>
          <w:bCs/>
          <w:color w:val="auto"/>
          <w:kern w:val="0"/>
          <w:sz w:val="32"/>
          <w:szCs w:val="32"/>
          <w:highlight w:val="none"/>
          <w:u w:val="none"/>
        </w:rPr>
        <w:t>本</w:t>
      </w:r>
      <w:r>
        <w:rPr>
          <w:rFonts w:hint="eastAsia" w:ascii="仿宋_GB2312" w:hAnsi="仿宋" w:eastAsia="仿宋_GB2312" w:cs="仿宋"/>
          <w:bCs/>
          <w:color w:val="auto"/>
          <w:kern w:val="0"/>
          <w:sz w:val="32"/>
          <w:szCs w:val="32"/>
          <w:highlight w:val="none"/>
          <w:u w:val="none"/>
          <w:lang w:val="en-US" w:eastAsia="zh-CN"/>
        </w:rPr>
        <w:t>规定</w:t>
      </w:r>
      <w:r>
        <w:rPr>
          <w:rFonts w:hint="eastAsia" w:ascii="仿宋_GB2312" w:hAnsi="仿宋" w:eastAsia="仿宋_GB2312" w:cs="仿宋"/>
          <w:bCs/>
          <w:color w:val="auto"/>
          <w:kern w:val="0"/>
          <w:sz w:val="32"/>
          <w:szCs w:val="32"/>
          <w:highlight w:val="none"/>
          <w:u w:val="none"/>
        </w:rPr>
        <w:t>未尽事宜，由区</w:t>
      </w:r>
      <w:r>
        <w:rPr>
          <w:rFonts w:hint="default" w:ascii="仿宋_GB2312" w:hAnsi="仿宋" w:eastAsia="仿宋_GB2312" w:cs="仿宋"/>
          <w:bCs/>
          <w:color w:val="auto"/>
          <w:kern w:val="0"/>
          <w:sz w:val="32"/>
          <w:szCs w:val="32"/>
          <w:highlight w:val="none"/>
          <w:u w:val="none"/>
          <w:lang w:val="en"/>
        </w:rPr>
        <w:t>国资监管部门</w:t>
      </w:r>
      <w:r>
        <w:rPr>
          <w:rFonts w:hint="eastAsia" w:ascii="仿宋_GB2312" w:hAnsi="仿宋" w:eastAsia="仿宋_GB2312" w:cs="仿宋"/>
          <w:bCs/>
          <w:color w:val="auto"/>
          <w:kern w:val="0"/>
          <w:sz w:val="32"/>
          <w:szCs w:val="32"/>
          <w:highlight w:val="none"/>
          <w:u w:val="none"/>
        </w:rPr>
        <w:t>另行制定相关制度规范。</w:t>
      </w:r>
    </w:p>
    <w:p w14:paraId="21991F10">
      <w:pPr>
        <w:pStyle w:val="12"/>
        <w:numPr>
          <w:ilvl w:val="0"/>
          <w:numId w:val="1"/>
        </w:numPr>
        <w:spacing w:line="560" w:lineRule="exact"/>
        <w:ind w:left="0" w:firstLine="64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color w:val="auto"/>
          <w:sz w:val="32"/>
          <w:szCs w:val="32"/>
          <w:highlight w:val="none"/>
          <w:u w:val="none"/>
        </w:rPr>
        <w:t>本</w:t>
      </w:r>
      <w:r>
        <w:rPr>
          <w:rFonts w:hint="eastAsia" w:ascii="仿宋_GB2312" w:hAnsi="仿宋" w:eastAsia="仿宋_GB2312" w:cs="仿宋"/>
          <w:color w:val="auto"/>
          <w:sz w:val="32"/>
          <w:szCs w:val="32"/>
          <w:highlight w:val="none"/>
          <w:u w:val="none"/>
          <w:lang w:val="en-US" w:eastAsia="zh-CN"/>
        </w:rPr>
        <w:t>规定</w:t>
      </w:r>
      <w:r>
        <w:rPr>
          <w:rFonts w:hint="eastAsia" w:ascii="仿宋_GB2312" w:hAnsi="仿宋" w:eastAsia="仿宋_GB2312" w:cs="仿宋"/>
          <w:color w:val="auto"/>
          <w:sz w:val="32"/>
          <w:szCs w:val="32"/>
          <w:highlight w:val="none"/>
          <w:u w:val="none"/>
        </w:rPr>
        <w:t>自</w:t>
      </w:r>
      <w:r>
        <w:rPr>
          <w:rFonts w:hint="eastAsia" w:ascii="仿宋_GB2312" w:hAnsi="仿宋" w:eastAsia="仿宋_GB2312" w:cs="仿宋"/>
          <w:color w:val="auto"/>
          <w:sz w:val="32"/>
          <w:szCs w:val="32"/>
          <w:highlight w:val="none"/>
          <w:u w:val="none"/>
          <w:lang w:val="en-US" w:eastAsia="zh-CN"/>
        </w:rPr>
        <w:t>202</w:t>
      </w:r>
      <w:r>
        <w:rPr>
          <w:rFonts w:hint="default" w:ascii="仿宋_GB2312" w:hAnsi="仿宋" w:eastAsia="仿宋_GB2312" w:cs="仿宋"/>
          <w:color w:val="auto"/>
          <w:sz w:val="32"/>
          <w:szCs w:val="32"/>
          <w:highlight w:val="none"/>
        </w:rPr>
        <w:t>6年</w:t>
      </w:r>
      <w:r>
        <w:rPr>
          <w:rFonts w:hint="eastAsia" w:ascii="仿宋_GB2312" w:hAnsi="仿宋_GB2312" w:eastAsia="仿宋_GB2312" w:cs="仿宋_GB2312"/>
          <w:color w:val="auto"/>
          <w:sz w:val="32"/>
          <w:szCs w:val="28"/>
          <w:highlight w:val="none"/>
          <w:u w:val="none"/>
          <w:lang w:val="en-US" w:eastAsia="zh-CN"/>
        </w:rPr>
        <w:t>3月1日</w:t>
      </w:r>
      <w:r>
        <w:rPr>
          <w:rFonts w:hint="eastAsia" w:ascii="仿宋_GB2312" w:hAnsi="仿宋" w:eastAsia="仿宋_GB2312" w:cs="仿宋"/>
          <w:color w:val="auto"/>
          <w:sz w:val="32"/>
          <w:szCs w:val="32"/>
          <w:highlight w:val="none"/>
          <w:u w:val="none"/>
        </w:rPr>
        <w:t>起施行</w:t>
      </w:r>
      <w:r>
        <w:rPr>
          <w:rFonts w:hint="eastAsia" w:ascii="仿宋_GB2312" w:hAnsi="仿宋" w:eastAsia="仿宋_GB2312" w:cs="仿宋"/>
          <w:b w:val="0"/>
          <w:bCs/>
          <w:color w:val="auto"/>
          <w:kern w:val="0"/>
          <w:sz w:val="32"/>
          <w:szCs w:val="32"/>
          <w:highlight w:val="none"/>
          <w:u w:val="none"/>
          <w:lang w:eastAsia="zh-CN"/>
        </w:rPr>
        <w:t>。</w:t>
      </w:r>
    </w:p>
    <w:p w14:paraId="0131BD05">
      <w:pPr>
        <w:shd w:val="clear"/>
        <w:tabs>
          <w:tab w:val="left" w:pos="2566"/>
        </w:tabs>
        <w:spacing w:line="240" w:lineRule="auto"/>
        <w:ind w:firstLine="0" w:firstLineChars="0"/>
        <w:jc w:val="left"/>
        <w:rPr>
          <w:highlight w:val="none"/>
          <w:u w:val="none"/>
        </w:rPr>
      </w:pPr>
    </w:p>
    <w:sectPr>
      <w:footerReference r:id="rId3" w:type="default"/>
      <w:pgSz w:w="11906" w:h="16838"/>
      <w:pgMar w:top="2098" w:right="1474" w:bottom="1984" w:left="1587" w:header="851" w:footer="141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B297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879FB">
                          <w:pPr>
                            <w:pStyle w:val="4"/>
                          </w:pPr>
                          <w:r>
                            <w:rPr>
                              <w:rFonts w:hint="eastAsia" w:ascii="仿宋_GB2312" w:hAnsi="仿宋_GB2312" w:cs="仿宋_GB2312"/>
                              <w:sz w:val="24"/>
                              <w:szCs w:val="24"/>
                            </w:rPr>
                            <w:fldChar w:fldCharType="begin"/>
                          </w:r>
                          <w:r>
                            <w:rPr>
                              <w:rFonts w:hint="eastAsia" w:ascii="仿宋_GB2312" w:hAnsi="仿宋_GB2312" w:cs="仿宋_GB2312"/>
                              <w:sz w:val="24"/>
                              <w:szCs w:val="24"/>
                            </w:rPr>
                            <w:instrText xml:space="preserve"> PAGE  \* MERGEFORMAT </w:instrText>
                          </w:r>
                          <w:r>
                            <w:rPr>
                              <w:rFonts w:hint="eastAsia" w:ascii="仿宋_GB2312" w:hAnsi="仿宋_GB2312" w:cs="仿宋_GB2312"/>
                              <w:sz w:val="24"/>
                              <w:szCs w:val="24"/>
                            </w:rPr>
                            <w:fldChar w:fldCharType="separate"/>
                          </w:r>
                          <w:r>
                            <w:rPr>
                              <w:rFonts w:hint="eastAsia" w:ascii="仿宋_GB2312" w:hAnsi="仿宋_GB2312" w:cs="仿宋_GB2312"/>
                              <w:sz w:val="24"/>
                              <w:szCs w:val="24"/>
                            </w:rPr>
                            <w:t>- 1 -</w:t>
                          </w:r>
                          <w:r>
                            <w:rPr>
                              <w:rFonts w:hint="eastAsia" w:ascii="仿宋_GB2312" w:hAnsi="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DC879FB">
                    <w:pPr>
                      <w:pStyle w:val="4"/>
                    </w:pPr>
                    <w:r>
                      <w:rPr>
                        <w:rFonts w:hint="eastAsia" w:ascii="仿宋_GB2312" w:hAnsi="仿宋_GB2312" w:cs="仿宋_GB2312"/>
                        <w:sz w:val="24"/>
                        <w:szCs w:val="24"/>
                      </w:rPr>
                      <w:fldChar w:fldCharType="begin"/>
                    </w:r>
                    <w:r>
                      <w:rPr>
                        <w:rFonts w:hint="eastAsia" w:ascii="仿宋_GB2312" w:hAnsi="仿宋_GB2312" w:cs="仿宋_GB2312"/>
                        <w:sz w:val="24"/>
                        <w:szCs w:val="24"/>
                      </w:rPr>
                      <w:instrText xml:space="preserve"> PAGE  \* MERGEFORMAT </w:instrText>
                    </w:r>
                    <w:r>
                      <w:rPr>
                        <w:rFonts w:hint="eastAsia" w:ascii="仿宋_GB2312" w:hAnsi="仿宋_GB2312" w:cs="仿宋_GB2312"/>
                        <w:sz w:val="24"/>
                        <w:szCs w:val="24"/>
                      </w:rPr>
                      <w:fldChar w:fldCharType="separate"/>
                    </w:r>
                    <w:r>
                      <w:rPr>
                        <w:rFonts w:hint="eastAsia" w:ascii="仿宋_GB2312" w:hAnsi="仿宋_GB2312" w:cs="仿宋_GB2312"/>
                        <w:sz w:val="24"/>
                        <w:szCs w:val="24"/>
                      </w:rPr>
                      <w:t>- 1 -</w:t>
                    </w:r>
                    <w:r>
                      <w:rPr>
                        <w:rFonts w:hint="eastAsia" w:ascii="仿宋_GB2312" w:hAnsi="仿宋_GB2312" w:cs="仿宋_GB2312"/>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46015"/>
    <w:multiLevelType w:val="multilevel"/>
    <w:tmpl w:val="02246015"/>
    <w:lvl w:ilvl="0" w:tentative="0">
      <w:start w:val="1"/>
      <w:numFmt w:val="chineseCountingThousand"/>
      <w:lvlText w:val="第%1条"/>
      <w:lvlJc w:val="left"/>
      <w:pPr>
        <w:ind w:left="1060" w:hanging="420"/>
      </w:pPr>
      <w:rPr>
        <w:rFonts w:hint="eastAsia" w:ascii="仿宋_GB2312" w:hAnsi="仿宋_GB2312" w:eastAsia="仿宋_GB2312" w:cs="仿宋_GB2312"/>
        <w:b/>
        <w:color w:val="auto"/>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7483F23"/>
    <w:multiLevelType w:val="singleLevel"/>
    <w:tmpl w:val="37483F23"/>
    <w:lvl w:ilvl="0" w:tentative="0">
      <w:start w:val="1"/>
      <w:numFmt w:val="chineseCounting"/>
      <w:suff w:val="nothing"/>
      <w:lvlText w:val="（%1）"/>
      <w:lvlJc w:val="left"/>
      <w:rPr>
        <w:rFonts w:hint="eastAsia"/>
      </w:rPr>
    </w:lvl>
  </w:abstractNum>
  <w:abstractNum w:abstractNumId="2">
    <w:nsid w:val="3ACEA7EE"/>
    <w:multiLevelType w:val="singleLevel"/>
    <w:tmpl w:val="3ACEA7EE"/>
    <w:lvl w:ilvl="0" w:tentative="0">
      <w:start w:val="1"/>
      <w:numFmt w:val="chineseCounting"/>
      <w:suff w:val="nothing"/>
      <w:lvlText w:val="（%1）"/>
      <w:lvlJc w:val="left"/>
      <w:rPr>
        <w:rFonts w:hint="eastAsia"/>
      </w:rPr>
    </w:lvl>
  </w:abstractNum>
  <w:abstractNum w:abstractNumId="3">
    <w:nsid w:val="41BEA31C"/>
    <w:multiLevelType w:val="singleLevel"/>
    <w:tmpl w:val="41BEA31C"/>
    <w:lvl w:ilvl="0" w:tentative="0">
      <w:start w:val="1"/>
      <w:numFmt w:val="chineseCounting"/>
      <w:suff w:val="nothing"/>
      <w:lvlText w:val="（%1）"/>
      <w:lvlJc w:val="left"/>
      <w:rPr>
        <w:rFonts w:hint="eastAsia"/>
      </w:rPr>
    </w:lvl>
  </w:abstractNum>
  <w:abstractNum w:abstractNumId="4">
    <w:nsid w:val="58E5F9A4"/>
    <w:multiLevelType w:val="singleLevel"/>
    <w:tmpl w:val="58E5F9A4"/>
    <w:lvl w:ilvl="0" w:tentative="0">
      <w:start w:val="1"/>
      <w:numFmt w:val="chineseCounting"/>
      <w:suff w:val="nothing"/>
      <w:lvlText w:val="（%1）"/>
      <w:lvlJc w:val="left"/>
      <w:rPr>
        <w:rFonts w:cs="Times New Roman"/>
      </w:rPr>
    </w:lvl>
  </w:abstractNum>
  <w:abstractNum w:abstractNumId="5">
    <w:nsid w:val="58E5FAFC"/>
    <w:multiLevelType w:val="singleLevel"/>
    <w:tmpl w:val="58E5FAFC"/>
    <w:lvl w:ilvl="0" w:tentative="0">
      <w:start w:val="1"/>
      <w:numFmt w:val="chineseCounting"/>
      <w:suff w:val="nothing"/>
      <w:lvlText w:val="（%1）"/>
      <w:lvlJc w:val="left"/>
      <w:rPr>
        <w:rFonts w:cs="Times New Roman"/>
      </w:rPr>
    </w:lvl>
  </w:abstractNum>
  <w:abstractNum w:abstractNumId="6">
    <w:nsid w:val="7C13F2AA"/>
    <w:multiLevelType w:val="singleLevel"/>
    <w:tmpl w:val="7C13F2AA"/>
    <w:lvl w:ilvl="0" w:tentative="0">
      <w:start w:val="1"/>
      <w:numFmt w:val="chineseCounting"/>
      <w:suff w:val="nothing"/>
      <w:lvlText w:val="（%1）"/>
      <w:lvlJc w:val="left"/>
      <w:rPr>
        <w:rFonts w:hint="eastAsia"/>
      </w:r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hNThiMmUwOGM0MDZlOWNmMDhmYThiYTllZTg0ZDkifQ=="/>
  </w:docVars>
  <w:rsids>
    <w:rsidRoot w:val="00000000"/>
    <w:rsid w:val="027A6905"/>
    <w:rsid w:val="04FF3D68"/>
    <w:rsid w:val="07BB1BEE"/>
    <w:rsid w:val="07D74439"/>
    <w:rsid w:val="07F7F415"/>
    <w:rsid w:val="09BB5873"/>
    <w:rsid w:val="0B0C1F3E"/>
    <w:rsid w:val="0BB68240"/>
    <w:rsid w:val="0FDDD668"/>
    <w:rsid w:val="101E46CB"/>
    <w:rsid w:val="135B5CA2"/>
    <w:rsid w:val="15B93F7C"/>
    <w:rsid w:val="165E1A4D"/>
    <w:rsid w:val="167C1BC6"/>
    <w:rsid w:val="174B51AA"/>
    <w:rsid w:val="177D6515"/>
    <w:rsid w:val="17FAB2B0"/>
    <w:rsid w:val="192A068F"/>
    <w:rsid w:val="197A737A"/>
    <w:rsid w:val="1E3CF1BF"/>
    <w:rsid w:val="1EF947E5"/>
    <w:rsid w:val="1EFFC6A1"/>
    <w:rsid w:val="1F779317"/>
    <w:rsid w:val="1FBE78A4"/>
    <w:rsid w:val="1FD707C9"/>
    <w:rsid w:val="1FF9705C"/>
    <w:rsid w:val="1FFCABD0"/>
    <w:rsid w:val="1FFE96A3"/>
    <w:rsid w:val="20E71F9A"/>
    <w:rsid w:val="217E83DF"/>
    <w:rsid w:val="21D00C81"/>
    <w:rsid w:val="22D21FE9"/>
    <w:rsid w:val="23ED161E"/>
    <w:rsid w:val="25F73812"/>
    <w:rsid w:val="27FC28F5"/>
    <w:rsid w:val="27FDF3E6"/>
    <w:rsid w:val="2A3873C3"/>
    <w:rsid w:val="2A9F2DF0"/>
    <w:rsid w:val="2B6E7D0A"/>
    <w:rsid w:val="2BE5D993"/>
    <w:rsid w:val="2BEEFC23"/>
    <w:rsid w:val="2C6F3E2C"/>
    <w:rsid w:val="2CF69D14"/>
    <w:rsid w:val="2D8804C4"/>
    <w:rsid w:val="2DD843AB"/>
    <w:rsid w:val="2DFF71D3"/>
    <w:rsid w:val="2EB7EA29"/>
    <w:rsid w:val="2EF7C117"/>
    <w:rsid w:val="2F4552CD"/>
    <w:rsid w:val="2F6AACEA"/>
    <w:rsid w:val="2F7F4922"/>
    <w:rsid w:val="2FD77E40"/>
    <w:rsid w:val="2FDA1360"/>
    <w:rsid w:val="2FFF28B9"/>
    <w:rsid w:val="30B70406"/>
    <w:rsid w:val="32EF8A74"/>
    <w:rsid w:val="333E188A"/>
    <w:rsid w:val="338411B5"/>
    <w:rsid w:val="33CE6621"/>
    <w:rsid w:val="33FF6073"/>
    <w:rsid w:val="362FB868"/>
    <w:rsid w:val="365FF976"/>
    <w:rsid w:val="36BE3D17"/>
    <w:rsid w:val="36FB68E0"/>
    <w:rsid w:val="376FC536"/>
    <w:rsid w:val="377FF6C2"/>
    <w:rsid w:val="37EF5B81"/>
    <w:rsid w:val="38763D00"/>
    <w:rsid w:val="39522F81"/>
    <w:rsid w:val="397D803C"/>
    <w:rsid w:val="39F7BE63"/>
    <w:rsid w:val="3A27446B"/>
    <w:rsid w:val="3B3FEFC6"/>
    <w:rsid w:val="3BB2D926"/>
    <w:rsid w:val="3BDF5DF1"/>
    <w:rsid w:val="3BEF5109"/>
    <w:rsid w:val="3BFBFC5B"/>
    <w:rsid w:val="3BFE550A"/>
    <w:rsid w:val="3BFF5DCB"/>
    <w:rsid w:val="3CBDD6D1"/>
    <w:rsid w:val="3CFB85E8"/>
    <w:rsid w:val="3CFFECC2"/>
    <w:rsid w:val="3DBA16E0"/>
    <w:rsid w:val="3DBC0929"/>
    <w:rsid w:val="3DCBFC8F"/>
    <w:rsid w:val="3DDDE9FA"/>
    <w:rsid w:val="3DF3D950"/>
    <w:rsid w:val="3DF789B6"/>
    <w:rsid w:val="3DFEC356"/>
    <w:rsid w:val="3E3FD107"/>
    <w:rsid w:val="3E77F767"/>
    <w:rsid w:val="3EBF771D"/>
    <w:rsid w:val="3ED75D75"/>
    <w:rsid w:val="3EDE6207"/>
    <w:rsid w:val="3EDFB90C"/>
    <w:rsid w:val="3EF13255"/>
    <w:rsid w:val="3F2DA9F5"/>
    <w:rsid w:val="3F2F2112"/>
    <w:rsid w:val="3F3BA958"/>
    <w:rsid w:val="3F3FAFF4"/>
    <w:rsid w:val="3F51ADC1"/>
    <w:rsid w:val="3F53CF37"/>
    <w:rsid w:val="3F5A9191"/>
    <w:rsid w:val="3F7F2256"/>
    <w:rsid w:val="3F7F6A22"/>
    <w:rsid w:val="3FAB4DAB"/>
    <w:rsid w:val="3FAF87EA"/>
    <w:rsid w:val="3FB9675B"/>
    <w:rsid w:val="3FBF7E73"/>
    <w:rsid w:val="3FDD9C71"/>
    <w:rsid w:val="3FDFF306"/>
    <w:rsid w:val="3FEE46F9"/>
    <w:rsid w:val="3FF7D110"/>
    <w:rsid w:val="3FF7E718"/>
    <w:rsid w:val="3FFA3DA3"/>
    <w:rsid w:val="3FFB924A"/>
    <w:rsid w:val="3FFE1762"/>
    <w:rsid w:val="3FFF7F04"/>
    <w:rsid w:val="40926D1C"/>
    <w:rsid w:val="435D4969"/>
    <w:rsid w:val="43DBFC5C"/>
    <w:rsid w:val="44385116"/>
    <w:rsid w:val="443BFC0E"/>
    <w:rsid w:val="44BF1B37"/>
    <w:rsid w:val="45CE2118"/>
    <w:rsid w:val="45DD824F"/>
    <w:rsid w:val="47BD1801"/>
    <w:rsid w:val="47D299F0"/>
    <w:rsid w:val="47E78A18"/>
    <w:rsid w:val="47F3283D"/>
    <w:rsid w:val="47FE30D9"/>
    <w:rsid w:val="49341933"/>
    <w:rsid w:val="4A3A57A8"/>
    <w:rsid w:val="4AB915D4"/>
    <w:rsid w:val="4BDF3BA5"/>
    <w:rsid w:val="4BEB0116"/>
    <w:rsid w:val="4BFF4947"/>
    <w:rsid w:val="4C3F04A5"/>
    <w:rsid w:val="4CB1D8DF"/>
    <w:rsid w:val="4CFB9B23"/>
    <w:rsid w:val="4CFF3EAF"/>
    <w:rsid w:val="4DF5E7D0"/>
    <w:rsid w:val="4EF6EB99"/>
    <w:rsid w:val="4EF74D19"/>
    <w:rsid w:val="4EF9B8D2"/>
    <w:rsid w:val="4F336113"/>
    <w:rsid w:val="4F361CD0"/>
    <w:rsid w:val="4F5F4614"/>
    <w:rsid w:val="4FBEB55D"/>
    <w:rsid w:val="4FED2DF6"/>
    <w:rsid w:val="511F58A1"/>
    <w:rsid w:val="517789D4"/>
    <w:rsid w:val="517EE4AE"/>
    <w:rsid w:val="53115D65"/>
    <w:rsid w:val="535B2F26"/>
    <w:rsid w:val="5455CEA6"/>
    <w:rsid w:val="54BB841E"/>
    <w:rsid w:val="54D78784"/>
    <w:rsid w:val="54DF1B0C"/>
    <w:rsid w:val="55C027DF"/>
    <w:rsid w:val="55CE40E4"/>
    <w:rsid w:val="55DF24D4"/>
    <w:rsid w:val="55FF3980"/>
    <w:rsid w:val="567D0B80"/>
    <w:rsid w:val="56DD6784"/>
    <w:rsid w:val="571E5B6E"/>
    <w:rsid w:val="576F29CF"/>
    <w:rsid w:val="578DD94E"/>
    <w:rsid w:val="57F45EB5"/>
    <w:rsid w:val="588FF164"/>
    <w:rsid w:val="59561609"/>
    <w:rsid w:val="59DD2BD5"/>
    <w:rsid w:val="59F30D3D"/>
    <w:rsid w:val="59FFEF3C"/>
    <w:rsid w:val="5A9F98F2"/>
    <w:rsid w:val="5B589142"/>
    <w:rsid w:val="5B694D7F"/>
    <w:rsid w:val="5B958986"/>
    <w:rsid w:val="5BA02E96"/>
    <w:rsid w:val="5BEA4111"/>
    <w:rsid w:val="5D6C883E"/>
    <w:rsid w:val="5DBB360A"/>
    <w:rsid w:val="5DBB8B8A"/>
    <w:rsid w:val="5DC9DDCE"/>
    <w:rsid w:val="5DDB73EF"/>
    <w:rsid w:val="5EC17021"/>
    <w:rsid w:val="5ECF8F19"/>
    <w:rsid w:val="5ED79646"/>
    <w:rsid w:val="5EDF9D3B"/>
    <w:rsid w:val="5EFA3C7E"/>
    <w:rsid w:val="5EFAB4FE"/>
    <w:rsid w:val="5EFF7672"/>
    <w:rsid w:val="5F2F4E71"/>
    <w:rsid w:val="5F6D11AA"/>
    <w:rsid w:val="5F7DF9A6"/>
    <w:rsid w:val="5F952D55"/>
    <w:rsid w:val="5F9CD6BE"/>
    <w:rsid w:val="5FAF2414"/>
    <w:rsid w:val="5FB5B4E1"/>
    <w:rsid w:val="5FBBA753"/>
    <w:rsid w:val="5FBD3B86"/>
    <w:rsid w:val="5FBF40EE"/>
    <w:rsid w:val="5FCF7AC5"/>
    <w:rsid w:val="5FD74FBF"/>
    <w:rsid w:val="5FEF35FB"/>
    <w:rsid w:val="5FF6414F"/>
    <w:rsid w:val="5FF7A3F7"/>
    <w:rsid w:val="5FFB2BAE"/>
    <w:rsid w:val="5FFBA933"/>
    <w:rsid w:val="5FFBC642"/>
    <w:rsid w:val="5FFDB9B7"/>
    <w:rsid w:val="5FFFC111"/>
    <w:rsid w:val="60185ACF"/>
    <w:rsid w:val="616D4A65"/>
    <w:rsid w:val="61777B89"/>
    <w:rsid w:val="626A60E7"/>
    <w:rsid w:val="645A5BAC"/>
    <w:rsid w:val="64D55726"/>
    <w:rsid w:val="64DB6F9A"/>
    <w:rsid w:val="65777272"/>
    <w:rsid w:val="662BCFD6"/>
    <w:rsid w:val="667F08E8"/>
    <w:rsid w:val="67396072"/>
    <w:rsid w:val="676FF7CB"/>
    <w:rsid w:val="67BF6B70"/>
    <w:rsid w:val="67E94FB4"/>
    <w:rsid w:val="67FF090E"/>
    <w:rsid w:val="68BE2BB4"/>
    <w:rsid w:val="69361230"/>
    <w:rsid w:val="69675EBB"/>
    <w:rsid w:val="69AF3C43"/>
    <w:rsid w:val="69EB5BFE"/>
    <w:rsid w:val="69EF83E2"/>
    <w:rsid w:val="69F406AD"/>
    <w:rsid w:val="6B7EFB95"/>
    <w:rsid w:val="6B92145E"/>
    <w:rsid w:val="6BEB0B59"/>
    <w:rsid w:val="6CFFB4F6"/>
    <w:rsid w:val="6DB740FF"/>
    <w:rsid w:val="6DB78920"/>
    <w:rsid w:val="6DC34E29"/>
    <w:rsid w:val="6DFF0DFC"/>
    <w:rsid w:val="6DFF263D"/>
    <w:rsid w:val="6DFFB3B0"/>
    <w:rsid w:val="6E7E9B3A"/>
    <w:rsid w:val="6EBF327A"/>
    <w:rsid w:val="6EDF1605"/>
    <w:rsid w:val="6EEDD3EF"/>
    <w:rsid w:val="6EF63FB7"/>
    <w:rsid w:val="6EFE75E2"/>
    <w:rsid w:val="6EFFBD3B"/>
    <w:rsid w:val="6EFFD1AF"/>
    <w:rsid w:val="6F0F0FFF"/>
    <w:rsid w:val="6F1EF796"/>
    <w:rsid w:val="6F4DA78B"/>
    <w:rsid w:val="6F5DC9F0"/>
    <w:rsid w:val="6F5E49BC"/>
    <w:rsid w:val="6F7E8087"/>
    <w:rsid w:val="6F9713D4"/>
    <w:rsid w:val="6FAE5D5D"/>
    <w:rsid w:val="6FB27000"/>
    <w:rsid w:val="6FDB47B3"/>
    <w:rsid w:val="6FDF2E5B"/>
    <w:rsid w:val="6FED4AD0"/>
    <w:rsid w:val="6FEFFEDF"/>
    <w:rsid w:val="6FF58F05"/>
    <w:rsid w:val="6FF5A77E"/>
    <w:rsid w:val="6FFABABA"/>
    <w:rsid w:val="6FFF41E5"/>
    <w:rsid w:val="70424A70"/>
    <w:rsid w:val="70DDEE4B"/>
    <w:rsid w:val="71DE09F3"/>
    <w:rsid w:val="72B7E403"/>
    <w:rsid w:val="72F7A50A"/>
    <w:rsid w:val="731FB429"/>
    <w:rsid w:val="737FA07C"/>
    <w:rsid w:val="737FFC53"/>
    <w:rsid w:val="73B51771"/>
    <w:rsid w:val="73BE5BFF"/>
    <w:rsid w:val="73DFE641"/>
    <w:rsid w:val="74270412"/>
    <w:rsid w:val="74F69932"/>
    <w:rsid w:val="74FD4FE8"/>
    <w:rsid w:val="7539933F"/>
    <w:rsid w:val="754E7A68"/>
    <w:rsid w:val="757D31DE"/>
    <w:rsid w:val="75AFE8D0"/>
    <w:rsid w:val="75B97D12"/>
    <w:rsid w:val="75E283BD"/>
    <w:rsid w:val="75FDDB11"/>
    <w:rsid w:val="762A3135"/>
    <w:rsid w:val="76FF487A"/>
    <w:rsid w:val="772587C1"/>
    <w:rsid w:val="773BCB5A"/>
    <w:rsid w:val="777B8B76"/>
    <w:rsid w:val="777E176F"/>
    <w:rsid w:val="777F7AE1"/>
    <w:rsid w:val="779C89D2"/>
    <w:rsid w:val="779E9705"/>
    <w:rsid w:val="77BC19B7"/>
    <w:rsid w:val="77BDA92F"/>
    <w:rsid w:val="77BE0CA1"/>
    <w:rsid w:val="77C2083E"/>
    <w:rsid w:val="77D96C14"/>
    <w:rsid w:val="77E538EA"/>
    <w:rsid w:val="77EB794E"/>
    <w:rsid w:val="77F5B78F"/>
    <w:rsid w:val="77FBE0FF"/>
    <w:rsid w:val="77FCFA98"/>
    <w:rsid w:val="783A1FD1"/>
    <w:rsid w:val="78E7A24B"/>
    <w:rsid w:val="797B2E99"/>
    <w:rsid w:val="79ABC19A"/>
    <w:rsid w:val="79AF6907"/>
    <w:rsid w:val="79BFF678"/>
    <w:rsid w:val="79D69EE4"/>
    <w:rsid w:val="79D9DAED"/>
    <w:rsid w:val="79DFB32B"/>
    <w:rsid w:val="79FE4653"/>
    <w:rsid w:val="79FF1D77"/>
    <w:rsid w:val="7A9AEB68"/>
    <w:rsid w:val="7AAE1A50"/>
    <w:rsid w:val="7ABF0F94"/>
    <w:rsid w:val="7ABF2B69"/>
    <w:rsid w:val="7ADFD7C1"/>
    <w:rsid w:val="7AF916FA"/>
    <w:rsid w:val="7AFBA20B"/>
    <w:rsid w:val="7AFD2091"/>
    <w:rsid w:val="7AFD4D02"/>
    <w:rsid w:val="7AFF58F5"/>
    <w:rsid w:val="7AFFB3D8"/>
    <w:rsid w:val="7AFFD81A"/>
    <w:rsid w:val="7B2C1B2B"/>
    <w:rsid w:val="7B3FF3B2"/>
    <w:rsid w:val="7B6F774D"/>
    <w:rsid w:val="7B96F5A5"/>
    <w:rsid w:val="7B9F04E3"/>
    <w:rsid w:val="7BBDC477"/>
    <w:rsid w:val="7BDB8CE3"/>
    <w:rsid w:val="7BDEA78B"/>
    <w:rsid w:val="7BF0EE26"/>
    <w:rsid w:val="7BF6CAFC"/>
    <w:rsid w:val="7BF76852"/>
    <w:rsid w:val="7BFF7838"/>
    <w:rsid w:val="7BFF7BB0"/>
    <w:rsid w:val="7BFFA4FE"/>
    <w:rsid w:val="7CAE5B1B"/>
    <w:rsid w:val="7CDECBAB"/>
    <w:rsid w:val="7CE1BFEB"/>
    <w:rsid w:val="7CEAF52E"/>
    <w:rsid w:val="7CF65519"/>
    <w:rsid w:val="7CFE15AD"/>
    <w:rsid w:val="7CFFB650"/>
    <w:rsid w:val="7D3897C6"/>
    <w:rsid w:val="7D3F12A1"/>
    <w:rsid w:val="7D57A4F5"/>
    <w:rsid w:val="7D6B542C"/>
    <w:rsid w:val="7D771E53"/>
    <w:rsid w:val="7D7B1206"/>
    <w:rsid w:val="7DA666D6"/>
    <w:rsid w:val="7DAC3ACA"/>
    <w:rsid w:val="7DB7186D"/>
    <w:rsid w:val="7DBFD2CF"/>
    <w:rsid w:val="7DDA61A8"/>
    <w:rsid w:val="7DDDB054"/>
    <w:rsid w:val="7DDE7950"/>
    <w:rsid w:val="7DEB7382"/>
    <w:rsid w:val="7DF57309"/>
    <w:rsid w:val="7DF7BB68"/>
    <w:rsid w:val="7DFBE93A"/>
    <w:rsid w:val="7DFF31EC"/>
    <w:rsid w:val="7E1E5CCA"/>
    <w:rsid w:val="7E3D0D6E"/>
    <w:rsid w:val="7E3F052E"/>
    <w:rsid w:val="7E77EAC3"/>
    <w:rsid w:val="7E7E0351"/>
    <w:rsid w:val="7EBFFE39"/>
    <w:rsid w:val="7ECD46F3"/>
    <w:rsid w:val="7ED743E8"/>
    <w:rsid w:val="7EDD5D82"/>
    <w:rsid w:val="7EE934C4"/>
    <w:rsid w:val="7EEB7A06"/>
    <w:rsid w:val="7EFAB833"/>
    <w:rsid w:val="7EFB4614"/>
    <w:rsid w:val="7EFD749B"/>
    <w:rsid w:val="7EFD766D"/>
    <w:rsid w:val="7EFE9981"/>
    <w:rsid w:val="7EFFED68"/>
    <w:rsid w:val="7F156270"/>
    <w:rsid w:val="7F4513E6"/>
    <w:rsid w:val="7F5F0661"/>
    <w:rsid w:val="7F5FFF2D"/>
    <w:rsid w:val="7F65DA52"/>
    <w:rsid w:val="7F6EC88A"/>
    <w:rsid w:val="7F6EF265"/>
    <w:rsid w:val="7F6F3E01"/>
    <w:rsid w:val="7F7359A3"/>
    <w:rsid w:val="7F74A4C1"/>
    <w:rsid w:val="7F76D35D"/>
    <w:rsid w:val="7F773308"/>
    <w:rsid w:val="7F7AB27F"/>
    <w:rsid w:val="7F7EE2AF"/>
    <w:rsid w:val="7F7F4338"/>
    <w:rsid w:val="7F7F6735"/>
    <w:rsid w:val="7F7F7D3F"/>
    <w:rsid w:val="7F9C3841"/>
    <w:rsid w:val="7F9F3338"/>
    <w:rsid w:val="7F9F9045"/>
    <w:rsid w:val="7FAD5621"/>
    <w:rsid w:val="7FAFDBED"/>
    <w:rsid w:val="7FB2E7D2"/>
    <w:rsid w:val="7FB59ABB"/>
    <w:rsid w:val="7FB7349F"/>
    <w:rsid w:val="7FB9CD2D"/>
    <w:rsid w:val="7FBA1DBA"/>
    <w:rsid w:val="7FBB977E"/>
    <w:rsid w:val="7FBE2778"/>
    <w:rsid w:val="7FBECC9B"/>
    <w:rsid w:val="7FBF10E2"/>
    <w:rsid w:val="7FBF3EEE"/>
    <w:rsid w:val="7FCD5260"/>
    <w:rsid w:val="7FD6521A"/>
    <w:rsid w:val="7FD71F84"/>
    <w:rsid w:val="7FDCDB3B"/>
    <w:rsid w:val="7FDD20F2"/>
    <w:rsid w:val="7FDF2EF7"/>
    <w:rsid w:val="7FDF7E94"/>
    <w:rsid w:val="7FE221C4"/>
    <w:rsid w:val="7FE3A67E"/>
    <w:rsid w:val="7FEF18A0"/>
    <w:rsid w:val="7FEF8E13"/>
    <w:rsid w:val="7FEF9C63"/>
    <w:rsid w:val="7FEFABFD"/>
    <w:rsid w:val="7FEFFD45"/>
    <w:rsid w:val="7FF3A5D8"/>
    <w:rsid w:val="7FF3C3CD"/>
    <w:rsid w:val="7FF3FC8F"/>
    <w:rsid w:val="7FF6B8AA"/>
    <w:rsid w:val="7FF6CED8"/>
    <w:rsid w:val="7FF75CB9"/>
    <w:rsid w:val="7FF7A590"/>
    <w:rsid w:val="7FF9C1EE"/>
    <w:rsid w:val="7FFAD525"/>
    <w:rsid w:val="7FFB9394"/>
    <w:rsid w:val="7FFCEEFD"/>
    <w:rsid w:val="7FFD671D"/>
    <w:rsid w:val="7FFF579D"/>
    <w:rsid w:val="7FFF9774"/>
    <w:rsid w:val="7FFFB26F"/>
    <w:rsid w:val="7FFFB27B"/>
    <w:rsid w:val="7FFFCBE5"/>
    <w:rsid w:val="7FFFD4B5"/>
    <w:rsid w:val="7FFFDE7E"/>
    <w:rsid w:val="7FFFFE48"/>
    <w:rsid w:val="869DDACA"/>
    <w:rsid w:val="86AFAD3D"/>
    <w:rsid w:val="8EE77E4F"/>
    <w:rsid w:val="8FDF128A"/>
    <w:rsid w:val="8FF36DB7"/>
    <w:rsid w:val="8FFE9E2E"/>
    <w:rsid w:val="94FDB7F9"/>
    <w:rsid w:val="94FF3607"/>
    <w:rsid w:val="95F77A6B"/>
    <w:rsid w:val="96FF24E8"/>
    <w:rsid w:val="97C6D604"/>
    <w:rsid w:val="97FB7CE6"/>
    <w:rsid w:val="97FF51CE"/>
    <w:rsid w:val="983F3F4B"/>
    <w:rsid w:val="99FB23B3"/>
    <w:rsid w:val="9BBF0E46"/>
    <w:rsid w:val="9BFB18DF"/>
    <w:rsid w:val="9BFD7E11"/>
    <w:rsid w:val="9CDEA31B"/>
    <w:rsid w:val="9D3F3A4C"/>
    <w:rsid w:val="9F3A8861"/>
    <w:rsid w:val="9F7BCE3B"/>
    <w:rsid w:val="9FA3490D"/>
    <w:rsid w:val="9FB4BD99"/>
    <w:rsid w:val="9FDA1372"/>
    <w:rsid w:val="9FDF31CC"/>
    <w:rsid w:val="9FF91159"/>
    <w:rsid w:val="9FFB1C94"/>
    <w:rsid w:val="A1DB92BA"/>
    <w:rsid w:val="A3BF7A6E"/>
    <w:rsid w:val="A4FFC953"/>
    <w:rsid w:val="A7A759BF"/>
    <w:rsid w:val="A7DBBB39"/>
    <w:rsid w:val="A7FF3554"/>
    <w:rsid w:val="AB77B036"/>
    <w:rsid w:val="AB7C060F"/>
    <w:rsid w:val="ABF7C4D1"/>
    <w:rsid w:val="ACBBBA0D"/>
    <w:rsid w:val="AD6C0C7D"/>
    <w:rsid w:val="ADFAC2E0"/>
    <w:rsid w:val="ADFF3058"/>
    <w:rsid w:val="AEBF0B41"/>
    <w:rsid w:val="AF1F0AFE"/>
    <w:rsid w:val="AF7FA2B4"/>
    <w:rsid w:val="AF8C3F21"/>
    <w:rsid w:val="AF8FFF3B"/>
    <w:rsid w:val="AFB723C9"/>
    <w:rsid w:val="AFFFF0EE"/>
    <w:rsid w:val="B53E8DB0"/>
    <w:rsid w:val="B5B2263E"/>
    <w:rsid w:val="B67ED74B"/>
    <w:rsid w:val="B6EFEBC8"/>
    <w:rsid w:val="B7683BFF"/>
    <w:rsid w:val="B7DFE060"/>
    <w:rsid w:val="B7F6B58A"/>
    <w:rsid w:val="B7FB09B9"/>
    <w:rsid w:val="B7FC9887"/>
    <w:rsid w:val="B7FD9431"/>
    <w:rsid w:val="B9FFB812"/>
    <w:rsid w:val="BB9CCD26"/>
    <w:rsid w:val="BBAE740E"/>
    <w:rsid w:val="BBAF8B5F"/>
    <w:rsid w:val="BBC8831B"/>
    <w:rsid w:val="BCFBDD9E"/>
    <w:rsid w:val="BD655EEA"/>
    <w:rsid w:val="BDAE5644"/>
    <w:rsid w:val="BDDE8383"/>
    <w:rsid w:val="BDFDDE43"/>
    <w:rsid w:val="BE37FC8F"/>
    <w:rsid w:val="BE4B00DC"/>
    <w:rsid w:val="BE571C8B"/>
    <w:rsid w:val="BE7C6463"/>
    <w:rsid w:val="BEAF3918"/>
    <w:rsid w:val="BEBFB2C6"/>
    <w:rsid w:val="BECD101F"/>
    <w:rsid w:val="BEEF9D35"/>
    <w:rsid w:val="BEF7C3A1"/>
    <w:rsid w:val="BF4BD5A7"/>
    <w:rsid w:val="BF672029"/>
    <w:rsid w:val="BFA0262D"/>
    <w:rsid w:val="BFB7CE2B"/>
    <w:rsid w:val="BFBAFAD5"/>
    <w:rsid w:val="BFD42DF6"/>
    <w:rsid w:val="BFDA1ED4"/>
    <w:rsid w:val="BFDFDFD9"/>
    <w:rsid w:val="BFEBBC6E"/>
    <w:rsid w:val="BFEF5FFF"/>
    <w:rsid w:val="BFF720CF"/>
    <w:rsid w:val="BFFC29C5"/>
    <w:rsid w:val="BFFF4E2B"/>
    <w:rsid w:val="BFFFC28D"/>
    <w:rsid w:val="C15FE2D7"/>
    <w:rsid w:val="C6FEC181"/>
    <w:rsid w:val="C7BF2ACF"/>
    <w:rsid w:val="C7F79D3B"/>
    <w:rsid w:val="C9EA5742"/>
    <w:rsid w:val="CB9F1240"/>
    <w:rsid w:val="CBB82702"/>
    <w:rsid w:val="CBDC6C85"/>
    <w:rsid w:val="CD27851D"/>
    <w:rsid w:val="CD7F835E"/>
    <w:rsid w:val="CDFB3ACB"/>
    <w:rsid w:val="CDFFE013"/>
    <w:rsid w:val="CE5FDF3C"/>
    <w:rsid w:val="CE7F3602"/>
    <w:rsid w:val="CF7F9057"/>
    <w:rsid w:val="CF97264A"/>
    <w:rsid w:val="CFCA0001"/>
    <w:rsid w:val="CFDBC38D"/>
    <w:rsid w:val="CFDF2AF4"/>
    <w:rsid w:val="CFFB5A73"/>
    <w:rsid w:val="CFFBE61C"/>
    <w:rsid w:val="CFFD56F7"/>
    <w:rsid w:val="CFFFE25E"/>
    <w:rsid w:val="D3CDD6D8"/>
    <w:rsid w:val="D56B49E7"/>
    <w:rsid w:val="D63C48EA"/>
    <w:rsid w:val="D6FD385E"/>
    <w:rsid w:val="D7B5398A"/>
    <w:rsid w:val="D7DA8F7B"/>
    <w:rsid w:val="D7DFEC15"/>
    <w:rsid w:val="D7E7EB5E"/>
    <w:rsid w:val="D7EBDEE1"/>
    <w:rsid w:val="D7FF4D17"/>
    <w:rsid w:val="D8EB152E"/>
    <w:rsid w:val="D9BDFA27"/>
    <w:rsid w:val="D9F7F492"/>
    <w:rsid w:val="D9FF4A30"/>
    <w:rsid w:val="DADF5E61"/>
    <w:rsid w:val="DB37AA42"/>
    <w:rsid w:val="DB7D4AA3"/>
    <w:rsid w:val="DBBE2281"/>
    <w:rsid w:val="DBBF6F2B"/>
    <w:rsid w:val="DBF421BD"/>
    <w:rsid w:val="DCECF78F"/>
    <w:rsid w:val="DD3D6A4E"/>
    <w:rsid w:val="DD6D1D66"/>
    <w:rsid w:val="DD9C11E8"/>
    <w:rsid w:val="DDD7C777"/>
    <w:rsid w:val="DDDF9A5B"/>
    <w:rsid w:val="DDEB209C"/>
    <w:rsid w:val="DDF7BEB9"/>
    <w:rsid w:val="DDFBE280"/>
    <w:rsid w:val="DDFF01CE"/>
    <w:rsid w:val="DE9970DB"/>
    <w:rsid w:val="DEBDA1B0"/>
    <w:rsid w:val="DECFCA45"/>
    <w:rsid w:val="DEF22306"/>
    <w:rsid w:val="DEF55A9C"/>
    <w:rsid w:val="DEF87B44"/>
    <w:rsid w:val="DEFFAE64"/>
    <w:rsid w:val="DF2EA739"/>
    <w:rsid w:val="DF3FCD8D"/>
    <w:rsid w:val="DF4D6803"/>
    <w:rsid w:val="DF6ECFE4"/>
    <w:rsid w:val="DF7FE58B"/>
    <w:rsid w:val="DFAFF021"/>
    <w:rsid w:val="DFBD66A7"/>
    <w:rsid w:val="DFBFB32C"/>
    <w:rsid w:val="DFDEA4E0"/>
    <w:rsid w:val="DFE72300"/>
    <w:rsid w:val="DFEF4734"/>
    <w:rsid w:val="DFF7ECD2"/>
    <w:rsid w:val="DFFC4B6D"/>
    <w:rsid w:val="DFFD0AF5"/>
    <w:rsid w:val="DFFD20DE"/>
    <w:rsid w:val="DFFE10B1"/>
    <w:rsid w:val="DFFEA0C9"/>
    <w:rsid w:val="DFFF1305"/>
    <w:rsid w:val="DFFFDF80"/>
    <w:rsid w:val="E1F965CF"/>
    <w:rsid w:val="E3FF0DCF"/>
    <w:rsid w:val="E4DF7F8F"/>
    <w:rsid w:val="E65FF0A3"/>
    <w:rsid w:val="E7566DAB"/>
    <w:rsid w:val="E779D38A"/>
    <w:rsid w:val="E77F000E"/>
    <w:rsid w:val="E77FD953"/>
    <w:rsid w:val="E7BF3E61"/>
    <w:rsid w:val="E7EB5DA9"/>
    <w:rsid w:val="E7FA17DC"/>
    <w:rsid w:val="E7FF3CDD"/>
    <w:rsid w:val="E8F6C72D"/>
    <w:rsid w:val="E8FF3E9C"/>
    <w:rsid w:val="E8FFB92E"/>
    <w:rsid w:val="E97FC7F3"/>
    <w:rsid w:val="E9DEAC92"/>
    <w:rsid w:val="EADA5092"/>
    <w:rsid w:val="EB9AE22B"/>
    <w:rsid w:val="EBED4AEB"/>
    <w:rsid w:val="EBFE014B"/>
    <w:rsid w:val="EBFF4EFE"/>
    <w:rsid w:val="EBFF8C58"/>
    <w:rsid w:val="EBFFC4A7"/>
    <w:rsid w:val="ECBEB972"/>
    <w:rsid w:val="ECBF47C7"/>
    <w:rsid w:val="ECBF81B1"/>
    <w:rsid w:val="ECDFD9E5"/>
    <w:rsid w:val="ED6DF23C"/>
    <w:rsid w:val="ED6F5C2F"/>
    <w:rsid w:val="ED6F8231"/>
    <w:rsid w:val="ED9DC764"/>
    <w:rsid w:val="EDAC993F"/>
    <w:rsid w:val="EDEB3623"/>
    <w:rsid w:val="EDFA8C59"/>
    <w:rsid w:val="EDFF2FA3"/>
    <w:rsid w:val="EDFFF7FE"/>
    <w:rsid w:val="EE6F0019"/>
    <w:rsid w:val="EEAE9E1D"/>
    <w:rsid w:val="EEAFEDF4"/>
    <w:rsid w:val="EEBD4B34"/>
    <w:rsid w:val="EEBF696A"/>
    <w:rsid w:val="EEEEABEB"/>
    <w:rsid w:val="EF4E2503"/>
    <w:rsid w:val="EF67BD34"/>
    <w:rsid w:val="EF744E76"/>
    <w:rsid w:val="EF7723C9"/>
    <w:rsid w:val="EF9D3F5D"/>
    <w:rsid w:val="EF9FF9D6"/>
    <w:rsid w:val="EFA72EE9"/>
    <w:rsid w:val="EFBB4774"/>
    <w:rsid w:val="EFBF7A35"/>
    <w:rsid w:val="EFBF8E55"/>
    <w:rsid w:val="EFDDD301"/>
    <w:rsid w:val="EFEB8DBE"/>
    <w:rsid w:val="EFEEDD5F"/>
    <w:rsid w:val="EFEF1247"/>
    <w:rsid w:val="EFF60730"/>
    <w:rsid w:val="EFFB61A4"/>
    <w:rsid w:val="EFFBD30A"/>
    <w:rsid w:val="EFFD6B1C"/>
    <w:rsid w:val="EFFE83F3"/>
    <w:rsid w:val="F0DF8D9D"/>
    <w:rsid w:val="F0FB2005"/>
    <w:rsid w:val="F0FFD219"/>
    <w:rsid w:val="F17DF9B6"/>
    <w:rsid w:val="F17EB1D2"/>
    <w:rsid w:val="F1CFE81F"/>
    <w:rsid w:val="F1D797B3"/>
    <w:rsid w:val="F23ED0DD"/>
    <w:rsid w:val="F2DE3EFE"/>
    <w:rsid w:val="F3BFEE0A"/>
    <w:rsid w:val="F3C76ADC"/>
    <w:rsid w:val="F3E258DD"/>
    <w:rsid w:val="F437F64B"/>
    <w:rsid w:val="F4BFBCDF"/>
    <w:rsid w:val="F52B829B"/>
    <w:rsid w:val="F5A7625E"/>
    <w:rsid w:val="F5BE4FE5"/>
    <w:rsid w:val="F5EEB797"/>
    <w:rsid w:val="F657DD69"/>
    <w:rsid w:val="F67F1D87"/>
    <w:rsid w:val="F67F7E7F"/>
    <w:rsid w:val="F6BF9F3B"/>
    <w:rsid w:val="F6FF47BB"/>
    <w:rsid w:val="F6FFAF89"/>
    <w:rsid w:val="F71F2573"/>
    <w:rsid w:val="F74EB729"/>
    <w:rsid w:val="F7773FB1"/>
    <w:rsid w:val="F77E9351"/>
    <w:rsid w:val="F77F9F1F"/>
    <w:rsid w:val="F7BA0131"/>
    <w:rsid w:val="F7BCE4B3"/>
    <w:rsid w:val="F7CFAA6D"/>
    <w:rsid w:val="F7D64ABC"/>
    <w:rsid w:val="F7DB95CA"/>
    <w:rsid w:val="F7F748BD"/>
    <w:rsid w:val="F7F95DF6"/>
    <w:rsid w:val="F7FA5434"/>
    <w:rsid w:val="F7FB1C27"/>
    <w:rsid w:val="F7FE31DB"/>
    <w:rsid w:val="F7FE8C75"/>
    <w:rsid w:val="F88F2F39"/>
    <w:rsid w:val="F8AF296D"/>
    <w:rsid w:val="F90F96F7"/>
    <w:rsid w:val="F9334AA8"/>
    <w:rsid w:val="F947EC72"/>
    <w:rsid w:val="F9772CED"/>
    <w:rsid w:val="F9D6BF95"/>
    <w:rsid w:val="F9D762E4"/>
    <w:rsid w:val="F9F3BC8E"/>
    <w:rsid w:val="FA3144ED"/>
    <w:rsid w:val="FA7AD007"/>
    <w:rsid w:val="FAF7613C"/>
    <w:rsid w:val="FAF9AEDD"/>
    <w:rsid w:val="FB17C95F"/>
    <w:rsid w:val="FB3679B7"/>
    <w:rsid w:val="FB37C0BA"/>
    <w:rsid w:val="FB3F4A47"/>
    <w:rsid w:val="FB7FB783"/>
    <w:rsid w:val="FB9DFAAB"/>
    <w:rsid w:val="FBBACC48"/>
    <w:rsid w:val="FBBED9D7"/>
    <w:rsid w:val="FBBFBB6F"/>
    <w:rsid w:val="FBC08DCD"/>
    <w:rsid w:val="FBD67B9A"/>
    <w:rsid w:val="FBD7FFA7"/>
    <w:rsid w:val="FBDAD2AE"/>
    <w:rsid w:val="FBDC28B9"/>
    <w:rsid w:val="FBDF823A"/>
    <w:rsid w:val="FBEDB77E"/>
    <w:rsid w:val="FBF59882"/>
    <w:rsid w:val="FBFBB5A0"/>
    <w:rsid w:val="FBFF5C7A"/>
    <w:rsid w:val="FBFFBCB5"/>
    <w:rsid w:val="FCCE718A"/>
    <w:rsid w:val="FCDA46A8"/>
    <w:rsid w:val="FCF3F7AE"/>
    <w:rsid w:val="FCFF1215"/>
    <w:rsid w:val="FCFF6FF0"/>
    <w:rsid w:val="FD3F6B6D"/>
    <w:rsid w:val="FD75ACA5"/>
    <w:rsid w:val="FD7B78C1"/>
    <w:rsid w:val="FDABCD02"/>
    <w:rsid w:val="FDAF1E02"/>
    <w:rsid w:val="FDB41AF9"/>
    <w:rsid w:val="FDB7B079"/>
    <w:rsid w:val="FDBD64A7"/>
    <w:rsid w:val="FDBF438A"/>
    <w:rsid w:val="FDCF1865"/>
    <w:rsid w:val="FDD32E04"/>
    <w:rsid w:val="FDDD67C0"/>
    <w:rsid w:val="FDDF157E"/>
    <w:rsid w:val="FDDF7F8E"/>
    <w:rsid w:val="FDEFDAE1"/>
    <w:rsid w:val="FDF16CCC"/>
    <w:rsid w:val="FDF1EF98"/>
    <w:rsid w:val="FDF72355"/>
    <w:rsid w:val="FDF9D880"/>
    <w:rsid w:val="FDFC78D4"/>
    <w:rsid w:val="FDFD28E8"/>
    <w:rsid w:val="FDFF4818"/>
    <w:rsid w:val="FDFF6A9E"/>
    <w:rsid w:val="FDFFB8E4"/>
    <w:rsid w:val="FDFFC391"/>
    <w:rsid w:val="FDFFC5BE"/>
    <w:rsid w:val="FE2F3EF0"/>
    <w:rsid w:val="FE3F8C64"/>
    <w:rsid w:val="FE5E626D"/>
    <w:rsid w:val="FE6F11CA"/>
    <w:rsid w:val="FE7EAC80"/>
    <w:rsid w:val="FE86D264"/>
    <w:rsid w:val="FE87D985"/>
    <w:rsid w:val="FEAFDF3B"/>
    <w:rsid w:val="FEBF6BCC"/>
    <w:rsid w:val="FEDEFA73"/>
    <w:rsid w:val="FEF752E6"/>
    <w:rsid w:val="FEF7E766"/>
    <w:rsid w:val="FEFB71D6"/>
    <w:rsid w:val="FEFB86BD"/>
    <w:rsid w:val="FEFE3D4D"/>
    <w:rsid w:val="FEFEF01C"/>
    <w:rsid w:val="FF1B7F5F"/>
    <w:rsid w:val="FF1F6B8C"/>
    <w:rsid w:val="FF3DDCC5"/>
    <w:rsid w:val="FF3F29D2"/>
    <w:rsid w:val="FF3FB06C"/>
    <w:rsid w:val="FF46ECEE"/>
    <w:rsid w:val="FF513FAA"/>
    <w:rsid w:val="FF5F9C96"/>
    <w:rsid w:val="FF6929A6"/>
    <w:rsid w:val="FF734CDE"/>
    <w:rsid w:val="FF73DAD7"/>
    <w:rsid w:val="FF7C3AB7"/>
    <w:rsid w:val="FF7D59F0"/>
    <w:rsid w:val="FF7ED0A6"/>
    <w:rsid w:val="FF7F6A55"/>
    <w:rsid w:val="FFADD265"/>
    <w:rsid w:val="FFAF3C6B"/>
    <w:rsid w:val="FFAF4A5C"/>
    <w:rsid w:val="FFBB8872"/>
    <w:rsid w:val="FFBBAA47"/>
    <w:rsid w:val="FFBF6D14"/>
    <w:rsid w:val="FFBFCF0C"/>
    <w:rsid w:val="FFC76103"/>
    <w:rsid w:val="FFD7FEC1"/>
    <w:rsid w:val="FFDA96D8"/>
    <w:rsid w:val="FFDDE0E3"/>
    <w:rsid w:val="FFDEC6CF"/>
    <w:rsid w:val="FFE3FA90"/>
    <w:rsid w:val="FFE55971"/>
    <w:rsid w:val="FFEE4F9F"/>
    <w:rsid w:val="FFEEA80D"/>
    <w:rsid w:val="FFF47665"/>
    <w:rsid w:val="FFF58084"/>
    <w:rsid w:val="FFF79986"/>
    <w:rsid w:val="FFF8AEA6"/>
    <w:rsid w:val="FFF908FD"/>
    <w:rsid w:val="FFFB1B05"/>
    <w:rsid w:val="FFFB3D03"/>
    <w:rsid w:val="FFFBDBBC"/>
    <w:rsid w:val="FFFBF126"/>
    <w:rsid w:val="FFFCF7FB"/>
    <w:rsid w:val="FFFD113A"/>
    <w:rsid w:val="FFFF3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宋体"/>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rPr>
      <w:rFonts w:ascii="Times New Roman" w:hAnsi="Times New Roman" w:eastAsia="宋体"/>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150" w:after="150" w:line="480" w:lineRule="auto"/>
      <w:jc w:val="left"/>
    </w:pPr>
    <w:rPr>
      <w:rFonts w:ascii="宋体" w:eastAsia="宋体"/>
      <w:color w:val="000000"/>
      <w:kern w:val="0"/>
      <w:sz w:val="21"/>
      <w:szCs w:val="21"/>
    </w:rPr>
  </w:style>
  <w:style w:type="paragraph" w:customStyle="1" w:styleId="10">
    <w:name w:val="WW-Default"/>
    <w:qFormat/>
    <w:uiPriority w:val="99"/>
    <w:pPr>
      <w:widowControl w:val="0"/>
      <w:suppressAutoHyphens/>
      <w:autoSpaceDE w:val="0"/>
    </w:pPr>
    <w:rPr>
      <w:rFonts w:ascii="Calibri" w:hAnsi="Calibri" w:eastAsia="宋体" w:cs="Times New Roman"/>
      <w:color w:val="000000"/>
      <w:sz w:val="24"/>
      <w:szCs w:val="24"/>
      <w:lang w:val="en-US" w:eastAsia="zh-CN" w:bidi="ar-SA"/>
    </w:rPr>
  </w:style>
  <w:style w:type="character" w:customStyle="1" w:styleId="11">
    <w:name w:val="artcontent"/>
    <w:qFormat/>
    <w:uiPriority w:val="0"/>
    <w:rPr>
      <w:sz w:val="30"/>
    </w:rPr>
  </w:style>
  <w:style w:type="paragraph" w:customStyle="1" w:styleId="12">
    <w:name w:val="List Paragraph"/>
    <w:basedOn w:val="1"/>
    <w:qFormat/>
    <w:uiPriority w:val="0"/>
    <w:pPr>
      <w:ind w:firstLine="420" w:firstLineChars="200"/>
    </w:pPr>
    <w:rPr>
      <w:rFonts w:ascii="Times New Roman" w:hAnsi="Times New Roman" w:eastAsia="宋体" w:cs="Times New Roman"/>
      <w:sz w:val="21"/>
      <w:szCs w:val="24"/>
    </w:rPr>
  </w:style>
  <w:style w:type="paragraph" w:customStyle="1" w:styleId="13">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0fda499a-486c-4a6c-b87e-c29334a49ffc</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56AA377C</paraID>
      <start xmlns="http://schemas.wps.cn/vas-ai-hub/contract-review">3</start>
      <end xmlns="http://schemas.wps.cn/vas-ai-hub/contract-review">12</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06fc254b-af9f-4558-bc64-1d96c1fc5b41</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63DE41E5</paraID>
      <start xmlns="http://schemas.wps.cn/vas-ai-hub/contract-review">3</start>
      <end xmlns="http://schemas.wps.cn/vas-ai-hub/contract-review">12</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a84b5225-d673-4da5-a91f-75105218002a</errorID>
      <errorWord xmlns="http://schemas.wps.cn/vas-ai-hub/contract-review">国有资产经营预算</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国有资本经营预算</item>
      </candidateList>
      <explain xmlns="http://schemas.wps.cn/vas-ai-hub/contract-review">词汇“国有资本经营预算”在特定场景下为固定表述形式，请确认此处的“国有资产经营预算”是否存在不当。</explain>
      <paraID xmlns="http://schemas.wps.cn/vas-ai-hub/contract-review">7E9060E3</paraID>
      <start xmlns="http://schemas.wps.cn/vas-ai-hub/contract-review">0</start>
      <end xmlns="http://schemas.wps.cn/vas-ai-hub/contract-review">16</end>
      <status xmlns="http://schemas.wps.cn/vas-ai-hub/contract-review">modified</status>
      <modifiedWord xmlns="http://schemas.wps.cn/vas-ai-hub/contract-review">国有资本经营预算</modifiedWord>
      <trackRevisions xmlns="http://schemas.wps.cn/vas-ai-hub/contract-review">true</trackRevisions>
    </reviewItem>
    <reviewItem xmlns="http://schemas.wps.cn/vas-ai-hub/contract-review">
      <errorID xmlns="http://schemas.wps.cn/vas-ai-hub/contract-review">eb63ff4f-5b2e-4ecd-8d57-bf5aeb5942fb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154B69C4</paraID>
      <start xmlns="http://schemas.wps.cn/vas-ai-hub/contract-review">23</start>
      <end xmlns="http://schemas.wps.cn/vas-ai-hub/contract-review">28</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8eccd85c-ccd0-437b-952b-e3fe87543ea2</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7CB8BBDC</paraID>
      <start xmlns="http://schemas.wps.cn/vas-ai-hub/contract-review">15</start>
      <end xmlns="http://schemas.wps.cn/vas-ai-hub/contract-review">18</end>
      <status xmlns="http://schemas.wps.cn/vas-ai-hub/contract-review">modified</status>
      <modifiedWord xmlns="http://schemas.wps.cn/vas-ai-hub/contract-review">万元</modifiedWord>
      <trackRevisions xmlns="http://schemas.wps.cn/vas-ai-hub/contract-review">true</trackRevisions>
    </reviewItem>
    <reviewItem xmlns="http://schemas.wps.cn/vas-ai-hub/contract-review">
      <errorID xmlns="http://schemas.wps.cn/vas-ai-hub/contract-review">c52a9580-d837-4826-834d-27648e2f0ffa</errorID>
      <errorWord xmlns="http://schemas.wps.cn/vas-ai-hub/contract-review">以及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及</item>
      </candidateList>
      <explain xmlns="http://schemas.wps.cn/vas-ai-hub/contract-review">〈连〉连接并列的名词或名词性词组：图书、仪器、标本～其他。注意用“及”连接的成分多在意义上有主次之分，主要的成分放在“及”的前面。</explain>
      <paraID xmlns="http://schemas.wps.cn/vas-ai-hub/contract-review">4403A578</paraID>
      <start xmlns="http://schemas.wps.cn/vas-ai-hub/contract-review">18</start>
      <end xmlns="http://schemas.wps.cn/vas-ai-hub/contract-review">19</end>
      <status xmlns="http://schemas.wps.cn/vas-ai-hub/contract-review">modified</status>
      <modifiedWord xmlns="http://schemas.wps.cn/vas-ai-hub/contract-review">及</modifiedWord>
      <trackRevisions xmlns="http://schemas.wps.cn/vas-ai-hub/contract-review">true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8fb2b6-258e-42ed-9052-20f2ef31ba6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8520</Words>
  <Characters>8565</Characters>
  <Lines>0</Lines>
  <Paragraphs>0</Paragraphs>
  <TotalTime>1</TotalTime>
  <ScaleCrop>false</ScaleCrop>
  <LinksUpToDate>false</LinksUpToDate>
  <CharactersWithSpaces>8622</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2023-10-25T01:01:00Z</dcterms:created>
  <dc:creator>user</dc:creator>
  <cp:lastModifiedBy>吴晓玲</cp:lastModifiedBy>
  <cp:lastPrinted>2025-09-28T05:13:00Z</cp:lastPrinted>
  <dcterms:modified xsi:type="dcterms:W3CDTF">2026-03-25T11:17:54Z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F4E89FC3AE8C45E4A24EF47720C15DDD_13</vt:lpwstr>
  </property>
  <property fmtid="{D5CDD505-2E9C-101B-9397-08002B2CF9AE}" pid="4" name="KSOTemplateDocerSaveRecord">
    <vt:lpwstr>eyJoZGlkIjoiMjc4ZmZlODQ1NmNiOTIwNjFmZTBjODFhZWEyYzU1YmYiLCJ1c2VySWQiOiIyMjU5ODY0MDEifQ==</vt:lpwstr>
  </property>
</Properties>
</file>