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2DE3C">
      <w:pPr>
        <w:spacing w:line="560" w:lineRule="exact"/>
        <w:jc w:val="center"/>
        <w:rPr>
          <w:rFonts w:hint="eastAsia" w:ascii="仿宋_GB2312" w:hAnsi="仿宋_GB2312" w:eastAsia="仿宋_GB2312" w:cs="仿宋_GB2312"/>
          <w:b w:val="0"/>
          <w:bCs w:val="0"/>
          <w:color w:val="auto"/>
          <w:sz w:val="32"/>
          <w:szCs w:val="32"/>
          <w:highlight w:val="none"/>
          <w:u w:val="none"/>
          <w:lang w:eastAsia="zh-CN"/>
        </w:rPr>
      </w:pPr>
      <w:r>
        <w:rPr>
          <w:rFonts w:hint="eastAsia" w:ascii="方正小标宋简体" w:hAnsi="方正小标宋简体" w:eastAsia="方正小标宋简体" w:cs="方正小标宋简体"/>
          <w:b w:val="0"/>
          <w:bCs w:val="0"/>
          <w:color w:val="auto"/>
          <w:sz w:val="44"/>
          <w:szCs w:val="44"/>
          <w:highlight w:val="none"/>
          <w:u w:val="none"/>
        </w:rPr>
        <w:t>深圳市光明区国有企业投融资和担保管理规定</w:t>
      </w:r>
    </w:p>
    <w:p w14:paraId="5DC281D8">
      <w:pPr>
        <w:spacing w:line="560" w:lineRule="exact"/>
        <w:jc w:val="center"/>
        <w:rPr>
          <w:rFonts w:hint="eastAsia" w:ascii="仿宋_GB2312" w:hAnsi="仿宋_GB2312" w:eastAsia="仿宋_GB2312" w:cs="仿宋_GB2312"/>
          <w:bCs/>
          <w:color w:val="auto"/>
          <w:kern w:val="0"/>
          <w:sz w:val="32"/>
          <w:szCs w:val="32"/>
          <w:highlight w:val="none"/>
          <w:u w:val="none"/>
          <w:lang w:eastAsia="zh-CN"/>
        </w:rPr>
      </w:pPr>
      <w:r>
        <w:rPr>
          <w:rFonts w:hint="eastAsia" w:hAnsi="仿宋_GB2312" w:cs="仿宋_GB2312"/>
          <w:bCs/>
          <w:color w:val="auto"/>
          <w:kern w:val="0"/>
          <w:sz w:val="32"/>
          <w:szCs w:val="32"/>
          <w:highlight w:val="none"/>
          <w:u w:val="none"/>
          <w:lang w:eastAsia="zh-CN"/>
        </w:rPr>
        <w:t>（</w:t>
      </w:r>
      <w:r>
        <w:rPr>
          <w:rFonts w:hint="eastAsia" w:hAnsi="仿宋_GB2312" w:cs="仿宋_GB2312"/>
          <w:bCs/>
          <w:color w:val="auto"/>
          <w:kern w:val="0"/>
          <w:sz w:val="32"/>
          <w:szCs w:val="32"/>
          <w:highlight w:val="none"/>
          <w:u w:val="none"/>
          <w:lang w:val="en-US" w:eastAsia="zh-CN"/>
        </w:rPr>
        <w:t>征求意见</w:t>
      </w:r>
      <w:r>
        <w:rPr>
          <w:rFonts w:hint="eastAsia" w:hAnsi="仿宋_GB2312" w:cs="仿宋_GB2312"/>
          <w:bCs/>
          <w:color w:val="auto"/>
          <w:kern w:val="0"/>
          <w:sz w:val="32"/>
          <w:szCs w:val="32"/>
          <w:highlight w:val="none"/>
          <w:u w:val="none"/>
          <w:lang w:eastAsia="zh-CN"/>
        </w:rPr>
        <w:t>稿）</w:t>
      </w:r>
    </w:p>
    <w:p w14:paraId="1A41F551">
      <w:pPr>
        <w:spacing w:line="560" w:lineRule="exact"/>
        <w:jc w:val="center"/>
        <w:rPr>
          <w:rFonts w:hint="eastAsia" w:ascii="黑体" w:hAnsi="黑体" w:eastAsia="黑体" w:cs="仿宋"/>
          <w:b w:val="0"/>
          <w:bCs w:val="0"/>
          <w:color w:val="auto"/>
          <w:sz w:val="32"/>
          <w:szCs w:val="32"/>
          <w:highlight w:val="none"/>
          <w:u w:val="none"/>
        </w:rPr>
      </w:pPr>
    </w:p>
    <w:p w14:paraId="36A1EBB0">
      <w:pPr>
        <w:spacing w:line="560" w:lineRule="exact"/>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第一章</w:t>
      </w:r>
      <w:r>
        <w:rPr>
          <w:rFonts w:ascii="黑体" w:hAnsi="黑体" w:eastAsia="黑体" w:cs="仿宋"/>
          <w:b w:val="0"/>
          <w:bCs w:val="0"/>
          <w:color w:val="auto"/>
          <w:sz w:val="32"/>
          <w:szCs w:val="32"/>
          <w:highlight w:val="none"/>
          <w:u w:val="none"/>
        </w:rPr>
        <w:t xml:space="preserve">  </w:t>
      </w:r>
      <w:r>
        <w:rPr>
          <w:rFonts w:hint="eastAsia" w:ascii="黑体" w:hAnsi="黑体" w:eastAsia="黑体" w:cs="仿宋"/>
          <w:b w:val="0"/>
          <w:bCs w:val="0"/>
          <w:color w:val="auto"/>
          <w:sz w:val="32"/>
          <w:szCs w:val="32"/>
          <w:highlight w:val="none"/>
          <w:u w:val="none"/>
        </w:rPr>
        <w:t>总则</w:t>
      </w:r>
    </w:p>
    <w:p w14:paraId="21AE73B4">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为切实履行国有资产出资人职责，</w:t>
      </w:r>
      <w:r>
        <w:rPr>
          <w:rFonts w:hint="eastAsia" w:hAnsi="仿宋" w:cs="仿宋"/>
          <w:color w:val="auto"/>
          <w:highlight w:val="none"/>
          <w:u w:val="none"/>
        </w:rPr>
        <w:t>落实企业经营自主权，</w:t>
      </w:r>
      <w:r>
        <w:rPr>
          <w:rFonts w:hint="eastAsia" w:ascii="仿宋_GB2312" w:hAnsi="仿宋" w:eastAsia="仿宋_GB2312" w:cs="仿宋"/>
          <w:b w:val="0"/>
          <w:bCs w:val="0"/>
          <w:color w:val="auto"/>
          <w:sz w:val="32"/>
          <w:szCs w:val="32"/>
          <w:highlight w:val="none"/>
          <w:u w:val="none"/>
        </w:rPr>
        <w:t>促进国有企业投资决策的科学化和规范化，确保国有资产安全和保值增值，根据《中华人民共和国公司法》《中华人民共和国企业国有资产法》《企业国有资产监督管理暂行条例》等规定，结合我区实际，制定本规定。</w:t>
      </w:r>
    </w:p>
    <w:p w14:paraId="67471677">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eastAsia="zh-CN"/>
        </w:rPr>
        <w:t>本规定适用于</w:t>
      </w:r>
      <w:r>
        <w:rPr>
          <w:rFonts w:hint="eastAsia" w:ascii="仿宋_GB2312" w:hAnsi="仿宋" w:eastAsia="仿宋_GB2312" w:cs="仿宋"/>
          <w:b w:val="0"/>
          <w:bCs w:val="0"/>
          <w:color w:val="auto"/>
          <w:sz w:val="32"/>
          <w:szCs w:val="32"/>
          <w:highlight w:val="none"/>
          <w:u w:val="none"/>
        </w:rPr>
        <w:t>直管企业和所属企业的投融资及担保事项</w:t>
      </w:r>
      <w:r>
        <w:rPr>
          <w:rFonts w:hint="eastAsia" w:hAnsi="仿宋" w:cs="仿宋"/>
          <w:b w:val="0"/>
          <w:bCs w:val="0"/>
          <w:color w:val="auto"/>
          <w:sz w:val="32"/>
          <w:szCs w:val="32"/>
          <w:highlight w:val="none"/>
          <w:u w:val="none"/>
          <w:lang w:eastAsia="zh-CN"/>
        </w:rPr>
        <w:t>。</w:t>
      </w:r>
    </w:p>
    <w:p w14:paraId="2560BD69">
      <w:pPr>
        <w:numPr>
          <w:ilvl w:val="-1"/>
          <w:numId w:val="0"/>
        </w:numPr>
        <w:spacing w:line="560" w:lineRule="exact"/>
        <w:ind w:left="0" w:leftChars="0" w:firstLine="640" w:firstLineChars="20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eastAsia="zh-CN"/>
        </w:rPr>
        <w:t>（一）</w:t>
      </w:r>
      <w:r>
        <w:rPr>
          <w:rFonts w:hint="eastAsia" w:ascii="仿宋_GB2312" w:hAnsi="仿宋" w:eastAsia="仿宋_GB2312" w:cs="仿宋"/>
          <w:b w:val="0"/>
          <w:bCs w:val="0"/>
          <w:color w:val="auto"/>
          <w:sz w:val="32"/>
          <w:szCs w:val="32"/>
          <w:highlight w:val="none"/>
          <w:u w:val="none"/>
        </w:rPr>
        <w:t>投资</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指以现金、实物、有价证券或无形资产等实施投资的行为，包括设立公司、收购兼并、合资合作、对所出资企业追加投入等股权投资，基本建设、技术改造等固定资产投资（对原有固定资产进行必要的基本维修、维护项目除外）</w:t>
      </w:r>
      <w:r>
        <w:rPr>
          <w:rFonts w:hint="eastAsia" w:hAnsi="仿宋" w:cs="仿宋"/>
          <w:b w:val="0"/>
          <w:bCs w:val="0"/>
          <w:color w:val="auto"/>
          <w:sz w:val="32"/>
          <w:szCs w:val="32"/>
          <w:highlight w:val="none"/>
          <w:u w:val="none"/>
          <w:lang w:eastAsia="zh-CN"/>
        </w:rPr>
        <w:t>，购买土地使用权、品牌、专利权等无形资产投资，及证券投资</w:t>
      </w: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期货投资、委托理财等金融投资</w:t>
      </w:r>
      <w:r>
        <w:rPr>
          <w:rFonts w:hint="eastAsia" w:ascii="仿宋_GB2312" w:hAnsi="仿宋" w:eastAsia="仿宋_GB2312" w:cs="仿宋"/>
          <w:b w:val="0"/>
          <w:bCs w:val="0"/>
          <w:color w:val="auto"/>
          <w:sz w:val="32"/>
          <w:szCs w:val="32"/>
          <w:highlight w:val="none"/>
          <w:u w:val="none"/>
        </w:rPr>
        <w:t>。</w:t>
      </w:r>
    </w:p>
    <w:p w14:paraId="49372D3E">
      <w:pPr>
        <w:numPr>
          <w:ilvl w:val="-1"/>
          <w:numId w:val="0"/>
        </w:numPr>
        <w:spacing w:line="560" w:lineRule="exact"/>
        <w:ind w:left="0" w:leftChars="0" w:firstLine="640" w:firstLineChars="20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eastAsia="zh-CN"/>
        </w:rPr>
        <w:t>（二）</w:t>
      </w:r>
      <w:r>
        <w:rPr>
          <w:rFonts w:hint="eastAsia" w:ascii="仿宋_GB2312" w:hAnsi="仿宋" w:eastAsia="仿宋_GB2312" w:cs="仿宋"/>
          <w:b w:val="0"/>
          <w:bCs w:val="0"/>
          <w:color w:val="auto"/>
          <w:sz w:val="32"/>
          <w:szCs w:val="32"/>
          <w:highlight w:val="none"/>
          <w:u w:val="none"/>
        </w:rPr>
        <w:t>融资</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指区国有企业因生产经营、项目建设或者对外投资需要而进行资金筹措的行为，包括发行债券、金融机构贷款、区国有企业之间资金借贷、发行REITs及ABS等资产证券化业务及其他符合规定的融资方式。</w:t>
      </w:r>
    </w:p>
    <w:p w14:paraId="2CB424AC">
      <w:pPr>
        <w:numPr>
          <w:ilvl w:val="-1"/>
          <w:numId w:val="0"/>
        </w:numPr>
        <w:spacing w:line="560" w:lineRule="exact"/>
        <w:ind w:left="0" w:leftChars="0" w:firstLine="640" w:firstLineChars="200"/>
        <w:rPr>
          <w:rFonts w:hint="eastAsia"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eastAsia="zh-CN"/>
        </w:rPr>
        <w:t>（三）</w:t>
      </w:r>
      <w:r>
        <w:rPr>
          <w:rFonts w:hint="eastAsia" w:ascii="仿宋_GB2312" w:hAnsi="仿宋" w:eastAsia="仿宋_GB2312" w:cs="仿宋"/>
          <w:b w:val="0"/>
          <w:bCs w:val="0"/>
          <w:color w:val="auto"/>
          <w:sz w:val="32"/>
          <w:szCs w:val="32"/>
          <w:highlight w:val="none"/>
          <w:u w:val="none"/>
        </w:rPr>
        <w:t>担保</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指区国有企业为相关企业</w:t>
      </w:r>
      <w:r>
        <w:rPr>
          <w:rFonts w:hint="eastAsia" w:ascii="仿宋_GB2312" w:hAnsi="仿宋" w:eastAsia="仿宋_GB2312" w:cs="仿宋"/>
          <w:b w:val="0"/>
          <w:bCs w:val="0"/>
          <w:color w:val="auto"/>
          <w:sz w:val="32"/>
          <w:szCs w:val="32"/>
          <w:highlight w:val="none"/>
          <w:u w:val="none"/>
          <w:lang w:val="en-US" w:eastAsia="zh-CN"/>
        </w:rPr>
        <w:t>投融资</w:t>
      </w:r>
      <w:r>
        <w:rPr>
          <w:rFonts w:hint="eastAsia" w:ascii="仿宋_GB2312" w:hAnsi="仿宋" w:eastAsia="仿宋_GB2312" w:cs="仿宋"/>
          <w:b w:val="0"/>
          <w:bCs w:val="0"/>
          <w:color w:val="auto"/>
          <w:sz w:val="32"/>
          <w:szCs w:val="32"/>
          <w:highlight w:val="none"/>
          <w:u w:val="none"/>
        </w:rPr>
        <w:t>而提供保证</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抵押、</w:t>
      </w:r>
      <w:r>
        <w:rPr>
          <w:rFonts w:hint="eastAsia" w:hAnsi="仿宋" w:cs="仿宋"/>
          <w:b w:val="0"/>
          <w:bCs w:val="0"/>
          <w:color w:val="auto"/>
          <w:sz w:val="32"/>
          <w:szCs w:val="32"/>
          <w:highlight w:val="none"/>
          <w:u w:val="none"/>
          <w:lang w:eastAsia="zh-CN"/>
        </w:rPr>
        <w:t>质押</w:t>
      </w:r>
      <w:r>
        <w:rPr>
          <w:rFonts w:hint="eastAsia" w:ascii="仿宋_GB2312" w:hAnsi="仿宋" w:eastAsia="仿宋_GB2312" w:cs="仿宋"/>
          <w:b w:val="0"/>
          <w:bCs w:val="0"/>
          <w:color w:val="auto"/>
          <w:sz w:val="32"/>
          <w:szCs w:val="32"/>
          <w:highlight w:val="none"/>
          <w:u w:val="none"/>
        </w:rPr>
        <w:t>等行为。</w:t>
      </w:r>
    </w:p>
    <w:p w14:paraId="6F803953">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hAnsi="仿宋" w:cs="仿宋"/>
          <w:color w:val="auto"/>
          <w:highlight w:val="none"/>
          <w:u w:val="none"/>
        </w:rPr>
        <w:t>区国资监管部门依法依规对区国有企业投融资及担保活动履行监督管理职责</w:t>
      </w:r>
      <w:r>
        <w:rPr>
          <w:rFonts w:hint="eastAsia" w:hAnsi="仿宋" w:cs="仿宋"/>
          <w:color w:val="auto"/>
          <w:highlight w:val="none"/>
          <w:u w:val="none"/>
          <w:lang w:eastAsia="zh-CN"/>
        </w:rPr>
        <w:t>，</w:t>
      </w:r>
      <w:r>
        <w:rPr>
          <w:rFonts w:hint="eastAsia" w:hAnsi="仿宋" w:cs="仿宋"/>
          <w:color w:val="auto"/>
          <w:highlight w:val="none"/>
          <w:u w:val="none"/>
        </w:rPr>
        <w:t>重点强化风险防控和事后评价。除法律法规及本规定明确禁止或须报批的事项外，投融资及担保决策权由企业依据其内部治理程序和授权体系自主行使。</w:t>
      </w:r>
    </w:p>
    <w:p w14:paraId="52D59509">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投融资及担保行为应以产业布局需要、规范资本运作、提高资本回报、维护资本安全、实现国有资产保值增值为原则；遵循合法、科学、民主的决策程序，企业内部应建立科学、民主、规范的投融资及担保的决策规程。</w:t>
      </w:r>
    </w:p>
    <w:p w14:paraId="386A4005">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区国有企业投融资及担保事项应当服务于区发展战略，体现出资人投资意愿，符合企业发展规划，严格遵守投资决策程序，提高投资回报水平，防止国有资产流失。</w:t>
      </w:r>
    </w:p>
    <w:p w14:paraId="170FB6F0">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区国有企业投融资及担保实行全面预算管理，直管企业须编制年度投融资及担保项目</w:t>
      </w:r>
      <w:r>
        <w:rPr>
          <w:rFonts w:hint="eastAsia" w:hAnsi="仿宋" w:cs="仿宋"/>
          <w:b w:val="0"/>
          <w:bCs w:val="0"/>
          <w:color w:val="auto"/>
          <w:sz w:val="32"/>
          <w:szCs w:val="32"/>
          <w:highlight w:val="none"/>
          <w:u w:val="none"/>
          <w:lang w:eastAsia="zh-CN"/>
        </w:rPr>
        <w:t>（含所属企业项目）</w:t>
      </w:r>
      <w:r>
        <w:rPr>
          <w:rFonts w:hint="eastAsia" w:ascii="仿宋_GB2312" w:hAnsi="仿宋" w:eastAsia="仿宋_GB2312" w:cs="仿宋"/>
          <w:b w:val="0"/>
          <w:bCs w:val="0"/>
          <w:color w:val="auto"/>
          <w:sz w:val="32"/>
          <w:szCs w:val="32"/>
          <w:highlight w:val="none"/>
          <w:u w:val="none"/>
        </w:rPr>
        <w:t>预算计划，纳入全面预算管理，按照年初计划、年终全面总结和汇总分析的要求定期向区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报告。</w:t>
      </w:r>
    </w:p>
    <w:p w14:paraId="07D3660F">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（一）每年年初编制投融资及担保项目计划，按全面预算管理制度报区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审核。</w:t>
      </w:r>
    </w:p>
    <w:p w14:paraId="257864B7">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二</w:t>
      </w:r>
      <w:r>
        <w:rPr>
          <w:rFonts w:hint="eastAsia" w:ascii="仿宋_GB2312" w:hAnsi="仿宋" w:eastAsia="仿宋_GB2312" w:cs="仿宋"/>
          <w:b w:val="0"/>
          <w:bCs w:val="0"/>
          <w:color w:val="auto"/>
          <w:sz w:val="32"/>
          <w:szCs w:val="32"/>
          <w:highlight w:val="none"/>
          <w:u w:val="none"/>
        </w:rPr>
        <w:t>）次年</w:t>
      </w:r>
      <w:r>
        <w:rPr>
          <w:rFonts w:ascii="仿宋_GB2312" w:hAnsi="仿宋" w:eastAsia="仿宋_GB2312" w:cs="仿宋"/>
          <w:b w:val="0"/>
          <w:bCs w:val="0"/>
          <w:color w:val="auto"/>
          <w:sz w:val="32"/>
          <w:szCs w:val="32"/>
          <w:highlight w:val="none"/>
          <w:u w:val="none"/>
        </w:rPr>
        <w:t>1</w:t>
      </w:r>
      <w:r>
        <w:rPr>
          <w:rFonts w:hint="eastAsia" w:ascii="仿宋_GB2312" w:hAnsi="仿宋" w:eastAsia="仿宋_GB2312" w:cs="仿宋"/>
          <w:b w:val="0"/>
          <w:bCs w:val="0"/>
          <w:color w:val="auto"/>
          <w:sz w:val="32"/>
          <w:szCs w:val="32"/>
          <w:highlight w:val="none"/>
          <w:u w:val="none"/>
        </w:rPr>
        <w:t>月</w:t>
      </w:r>
      <w:r>
        <w:rPr>
          <w:rFonts w:ascii="仿宋_GB2312" w:hAnsi="仿宋" w:eastAsia="仿宋_GB2312" w:cs="仿宋"/>
          <w:b w:val="0"/>
          <w:bCs w:val="0"/>
          <w:color w:val="auto"/>
          <w:sz w:val="32"/>
          <w:szCs w:val="32"/>
          <w:highlight w:val="none"/>
          <w:u w:val="none"/>
        </w:rPr>
        <w:t>15</w:t>
      </w:r>
      <w:r>
        <w:rPr>
          <w:rFonts w:hint="eastAsia" w:ascii="仿宋_GB2312" w:hAnsi="仿宋" w:eastAsia="仿宋_GB2312" w:cs="仿宋"/>
          <w:b w:val="0"/>
          <w:bCs w:val="0"/>
          <w:color w:val="auto"/>
          <w:sz w:val="32"/>
          <w:szCs w:val="32"/>
          <w:highlight w:val="none"/>
          <w:u w:val="none"/>
        </w:rPr>
        <w:t>日前，对上一年度的投融资及担保项目执行情况进行年终总结和分析，报送书面报告。</w:t>
      </w:r>
    </w:p>
    <w:p w14:paraId="6A0BCF6F">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对区</w:t>
      </w:r>
      <w:r>
        <w:rPr>
          <w:rFonts w:hint="eastAsia" w:hAnsi="仿宋" w:cs="仿宋"/>
          <w:b w:val="0"/>
          <w:bCs w:val="0"/>
          <w:color w:val="auto"/>
          <w:sz w:val="32"/>
          <w:szCs w:val="32"/>
          <w:highlight w:val="none"/>
          <w:u w:val="none"/>
          <w:lang w:eastAsia="zh-CN"/>
        </w:rPr>
        <w:t>国有企业</w:t>
      </w:r>
      <w:r>
        <w:rPr>
          <w:rFonts w:hint="eastAsia" w:ascii="仿宋_GB2312" w:hAnsi="仿宋" w:eastAsia="仿宋_GB2312" w:cs="仿宋"/>
          <w:b w:val="0"/>
          <w:bCs w:val="0"/>
          <w:color w:val="auto"/>
          <w:sz w:val="32"/>
          <w:szCs w:val="32"/>
          <w:highlight w:val="none"/>
          <w:u w:val="none"/>
        </w:rPr>
        <w:t>的投融资及担保事项进行监督和指导，主要职责包括：</w:t>
      </w:r>
    </w:p>
    <w:p w14:paraId="10473BFB">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（一）依据国家有关</w:t>
      </w:r>
      <w:r>
        <w:rPr>
          <w:rFonts w:hint="eastAsia" w:hAnsi="仿宋" w:cs="仿宋"/>
          <w:b w:val="0"/>
          <w:bCs w:val="0"/>
          <w:color w:val="auto"/>
          <w:sz w:val="32"/>
          <w:szCs w:val="32"/>
          <w:highlight w:val="none"/>
          <w:u w:val="none"/>
          <w:lang w:eastAsia="zh-CN"/>
        </w:rPr>
        <w:t>法律法规</w:t>
      </w:r>
      <w:r>
        <w:rPr>
          <w:rFonts w:hint="eastAsia" w:ascii="仿宋_GB2312" w:hAnsi="仿宋" w:eastAsia="仿宋_GB2312" w:cs="仿宋"/>
          <w:b w:val="0"/>
          <w:bCs w:val="0"/>
          <w:color w:val="auto"/>
          <w:sz w:val="32"/>
          <w:szCs w:val="32"/>
          <w:highlight w:val="none"/>
          <w:u w:val="none"/>
        </w:rPr>
        <w:t>、规章和政策的规定，制定国有企业投融资及担保管理的相关办法。</w:t>
      </w:r>
    </w:p>
    <w:p w14:paraId="56701382">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（二）指导和监督</w:t>
      </w:r>
      <w:r>
        <w:rPr>
          <w:rFonts w:hint="eastAsia" w:hAnsi="仿宋" w:cs="仿宋"/>
          <w:b w:val="0"/>
          <w:bCs w:val="0"/>
          <w:color w:val="auto"/>
          <w:sz w:val="32"/>
          <w:szCs w:val="32"/>
          <w:highlight w:val="none"/>
          <w:u w:val="none"/>
          <w:lang w:val="en-US" w:eastAsia="zh-CN"/>
        </w:rPr>
        <w:t>区</w:t>
      </w:r>
      <w:r>
        <w:rPr>
          <w:rFonts w:hint="eastAsia" w:hAnsi="仿宋" w:cs="仿宋"/>
          <w:b w:val="0"/>
          <w:bCs w:val="0"/>
          <w:color w:val="auto"/>
          <w:sz w:val="32"/>
          <w:szCs w:val="32"/>
          <w:highlight w:val="none"/>
          <w:u w:val="none"/>
          <w:lang w:eastAsia="zh-CN"/>
        </w:rPr>
        <w:t>国有</w:t>
      </w:r>
      <w:r>
        <w:rPr>
          <w:rFonts w:hint="eastAsia" w:ascii="仿宋_GB2312" w:hAnsi="仿宋" w:eastAsia="仿宋_GB2312" w:cs="仿宋"/>
          <w:b w:val="0"/>
          <w:bCs w:val="0"/>
          <w:color w:val="auto"/>
          <w:sz w:val="32"/>
          <w:szCs w:val="32"/>
          <w:highlight w:val="none"/>
          <w:u w:val="none"/>
        </w:rPr>
        <w:t>企业建立健全投融资及担保事项的决策管理制度及监督检查直管企业投融资及担保决策管理制度的执行情况。</w:t>
      </w:r>
    </w:p>
    <w:p w14:paraId="797B2505">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（三）监督检查</w:t>
      </w:r>
      <w:r>
        <w:rPr>
          <w:rFonts w:hint="eastAsia" w:hAnsi="仿宋" w:cs="仿宋"/>
          <w:b w:val="0"/>
          <w:bCs w:val="0"/>
          <w:color w:val="auto"/>
          <w:sz w:val="32"/>
          <w:szCs w:val="32"/>
          <w:highlight w:val="none"/>
          <w:u w:val="none"/>
          <w:lang w:val="en-US" w:eastAsia="zh-CN"/>
        </w:rPr>
        <w:t>区</w:t>
      </w:r>
      <w:r>
        <w:rPr>
          <w:rFonts w:hint="eastAsia" w:hAnsi="仿宋" w:cs="仿宋"/>
          <w:b w:val="0"/>
          <w:bCs w:val="0"/>
          <w:color w:val="auto"/>
          <w:sz w:val="32"/>
          <w:szCs w:val="32"/>
          <w:highlight w:val="none"/>
          <w:u w:val="none"/>
          <w:lang w:eastAsia="zh-CN"/>
        </w:rPr>
        <w:t>国有</w:t>
      </w:r>
      <w:r>
        <w:rPr>
          <w:rFonts w:hint="eastAsia" w:ascii="仿宋_GB2312" w:hAnsi="仿宋" w:eastAsia="仿宋_GB2312" w:cs="仿宋"/>
          <w:b w:val="0"/>
          <w:bCs w:val="0"/>
          <w:color w:val="auto"/>
          <w:sz w:val="32"/>
          <w:szCs w:val="32"/>
          <w:highlight w:val="none"/>
          <w:u w:val="none"/>
        </w:rPr>
        <w:t>企业年度投融资及担保计划和投融资及担保项目的执行落实情况。</w:t>
      </w:r>
    </w:p>
    <w:p w14:paraId="42302835">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（四）按照权限对违规投资造成国有资产损失以及其他严重不良后果的进行责任追究。</w:t>
      </w:r>
    </w:p>
    <w:p w14:paraId="63A71561">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（五）履行</w:t>
      </w:r>
      <w:r>
        <w:rPr>
          <w:rFonts w:hint="eastAsia" w:hAnsi="仿宋" w:cs="仿宋"/>
          <w:b w:val="0"/>
          <w:bCs w:val="0"/>
          <w:color w:val="auto"/>
          <w:sz w:val="32"/>
          <w:szCs w:val="32"/>
          <w:highlight w:val="none"/>
          <w:u w:val="none"/>
          <w:lang w:eastAsia="zh-CN"/>
        </w:rPr>
        <w:t>法律法规</w:t>
      </w:r>
      <w:r>
        <w:rPr>
          <w:rFonts w:hint="eastAsia" w:ascii="仿宋_GB2312" w:hAnsi="仿宋" w:eastAsia="仿宋_GB2312" w:cs="仿宋"/>
          <w:b w:val="0"/>
          <w:bCs w:val="0"/>
          <w:color w:val="auto"/>
          <w:sz w:val="32"/>
          <w:szCs w:val="32"/>
          <w:highlight w:val="none"/>
          <w:u w:val="none"/>
        </w:rPr>
        <w:t>、规章规定及区政府指定的其他职责。</w:t>
      </w:r>
    </w:p>
    <w:p w14:paraId="096BC71B">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直管企业为投融资及担保活动的决策主体和实施主体，是投融资及担保决策和项目的直接责任人，其主要职责包括：</w:t>
      </w:r>
    </w:p>
    <w:p w14:paraId="74F4F6E9">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（一）制定并执行企业投融资及担保决策和管理制度。</w:t>
      </w:r>
    </w:p>
    <w:p w14:paraId="2523FC60">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（二）制定企业年度投融资及担保计划。</w:t>
      </w:r>
    </w:p>
    <w:p w14:paraId="728A0849">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val="en-US" w:eastAsia="zh-CN"/>
        </w:rPr>
        <w:t>三</w:t>
      </w: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按照授权</w:t>
      </w:r>
      <w:r>
        <w:rPr>
          <w:rFonts w:hint="eastAsia" w:ascii="仿宋_GB2312" w:hAnsi="仿宋" w:eastAsia="仿宋_GB2312" w:cs="仿宋"/>
          <w:b w:val="0"/>
          <w:bCs w:val="0"/>
          <w:color w:val="auto"/>
          <w:sz w:val="32"/>
          <w:szCs w:val="32"/>
          <w:highlight w:val="none"/>
          <w:u w:val="none"/>
        </w:rPr>
        <w:t>审定企业的投融资及担保事项。</w:t>
      </w:r>
    </w:p>
    <w:p w14:paraId="4A54A208">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val="en-US" w:eastAsia="zh-CN"/>
        </w:rPr>
        <w:t>四</w:t>
      </w:r>
      <w:r>
        <w:rPr>
          <w:rFonts w:hint="eastAsia" w:ascii="仿宋_GB2312" w:hAnsi="仿宋" w:eastAsia="仿宋_GB2312" w:cs="仿宋"/>
          <w:b w:val="0"/>
          <w:bCs w:val="0"/>
          <w:color w:val="auto"/>
          <w:sz w:val="32"/>
          <w:szCs w:val="32"/>
          <w:highlight w:val="none"/>
          <w:u w:val="none"/>
        </w:rPr>
        <w:t>）组织实施投资项目的可行性研究、合法性审查及专家评审。</w:t>
      </w:r>
    </w:p>
    <w:p w14:paraId="25DDCAB2">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val="en-US" w:eastAsia="zh-CN"/>
        </w:rPr>
        <w:t>五</w:t>
      </w:r>
      <w:r>
        <w:rPr>
          <w:rFonts w:hint="eastAsia" w:ascii="仿宋_GB2312" w:hAnsi="仿宋" w:eastAsia="仿宋_GB2312" w:cs="仿宋"/>
          <w:b w:val="0"/>
          <w:bCs w:val="0"/>
          <w:color w:val="auto"/>
          <w:sz w:val="32"/>
          <w:szCs w:val="32"/>
          <w:highlight w:val="none"/>
          <w:u w:val="none"/>
        </w:rPr>
        <w:t>）组织落实企业投融资及担保项目，进行项目管理和风险管控。</w:t>
      </w:r>
    </w:p>
    <w:p w14:paraId="3CC68DC1">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（六）对其所属各级全资、控股、参股公司的投融资及担保活动进行监督管理。</w:t>
      </w:r>
    </w:p>
    <w:p w14:paraId="78CD3738">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（七）负责所属企业贷款担保信息的收集、汇总、分析工作，向区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报告本企业及所属企业的投融资及担保情况。</w:t>
      </w:r>
    </w:p>
    <w:p w14:paraId="5CA46D06">
      <w:pPr>
        <w:numPr>
          <w:ilvl w:val="-1"/>
          <w:numId w:val="0"/>
        </w:numPr>
        <w:spacing w:line="560" w:lineRule="exact"/>
        <w:ind w:left="0" w:leftChars="0" w:firstLine="640" w:firstLineChars="20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八）履行区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赋予的关于企业投融资及担保管理的其他职责。</w:t>
      </w:r>
    </w:p>
    <w:p w14:paraId="4EE4DD36">
      <w:pPr>
        <w:numPr>
          <w:ilvl w:val="0"/>
          <w:numId w:val="1"/>
        </w:numPr>
        <w:spacing w:line="560" w:lineRule="exact"/>
        <w:ind w:left="0" w:firstLine="640" w:firstLineChars="200"/>
        <w:rPr>
          <w:rFonts w:hint="eastAsia" w:hAnsi="仿宋" w:cs="仿宋"/>
          <w:color w:val="auto"/>
          <w:highlight w:val="none"/>
          <w:u w:val="none"/>
        </w:rPr>
      </w:pPr>
      <w:r>
        <w:rPr>
          <w:rFonts w:hint="eastAsia" w:hAnsi="仿宋" w:cs="仿宋"/>
          <w:color w:val="auto"/>
          <w:highlight w:val="none"/>
          <w:u w:val="none"/>
          <w:lang w:eastAsia="zh-CN"/>
        </w:rPr>
        <w:t>区国有</w:t>
      </w:r>
      <w:r>
        <w:rPr>
          <w:rFonts w:hint="eastAsia" w:hAnsi="仿宋" w:cs="仿宋"/>
          <w:color w:val="auto"/>
          <w:highlight w:val="none"/>
          <w:u w:val="none"/>
        </w:rPr>
        <w:t>企业投资管理制度应包括以下主要内容：</w:t>
      </w:r>
    </w:p>
    <w:p w14:paraId="599A0735">
      <w:pPr>
        <w:numPr>
          <w:ilvl w:val="-1"/>
          <w:numId w:val="0"/>
        </w:numPr>
        <w:spacing w:line="560" w:lineRule="exact"/>
        <w:ind w:left="0" w:leftChars="0" w:firstLine="640" w:firstLineChars="200"/>
        <w:rPr>
          <w:rFonts w:hint="eastAsia" w:hAnsi="仿宋" w:cs="仿宋"/>
          <w:color w:val="auto"/>
          <w:highlight w:val="none"/>
          <w:u w:val="none"/>
        </w:rPr>
      </w:pPr>
      <w:r>
        <w:rPr>
          <w:rFonts w:hint="eastAsia" w:hAnsi="仿宋" w:cs="仿宋"/>
          <w:color w:val="auto"/>
          <w:highlight w:val="none"/>
          <w:u w:val="none"/>
        </w:rPr>
        <w:t>（一）投资基本原则，管理流程、管理部门及相关职责，决策程序、决策机构及其职责；</w:t>
      </w:r>
    </w:p>
    <w:p w14:paraId="68D5D9D3">
      <w:pPr>
        <w:numPr>
          <w:ilvl w:val="-1"/>
          <w:numId w:val="0"/>
        </w:numPr>
        <w:spacing w:line="560" w:lineRule="exact"/>
        <w:ind w:left="0" w:leftChars="0" w:firstLine="640" w:firstLineChars="200"/>
        <w:rPr>
          <w:rFonts w:hint="eastAsia" w:hAnsi="仿宋" w:cs="仿宋"/>
          <w:color w:val="auto"/>
          <w:highlight w:val="none"/>
          <w:u w:val="none"/>
        </w:rPr>
      </w:pPr>
      <w:r>
        <w:rPr>
          <w:rFonts w:hint="eastAsia" w:hAnsi="仿宋" w:cs="仿宋"/>
          <w:color w:val="auto"/>
          <w:highlight w:val="none"/>
          <w:u w:val="none"/>
        </w:rPr>
        <w:t>（二）投资项目的完成、中止、终止或退出制度，投资项目审计及后评价制度；</w:t>
      </w:r>
    </w:p>
    <w:p w14:paraId="02CDA76E">
      <w:pPr>
        <w:numPr>
          <w:ilvl w:val="-1"/>
          <w:numId w:val="0"/>
        </w:numPr>
        <w:spacing w:line="560" w:lineRule="exact"/>
        <w:ind w:left="0" w:leftChars="0" w:firstLine="640" w:firstLineChars="200"/>
        <w:rPr>
          <w:rFonts w:ascii="仿宋_GB2312" w:hAnsi="仿宋" w:eastAsia="仿宋_GB2312" w:cs="仿宋"/>
          <w:b w:val="0"/>
          <w:bCs w:val="0"/>
          <w:color w:val="auto"/>
          <w:sz w:val="32"/>
          <w:szCs w:val="32"/>
          <w:highlight w:val="none"/>
          <w:u w:val="none"/>
        </w:rPr>
      </w:pPr>
      <w:r>
        <w:rPr>
          <w:rFonts w:hint="eastAsia" w:hAnsi="仿宋" w:cs="仿宋"/>
          <w:color w:val="auto"/>
          <w:highlight w:val="none"/>
          <w:u w:val="none"/>
        </w:rPr>
        <w:t>（三）风险管控制度，违规投资责任追究制度及对所属企业投资活动的监督与管理制度。</w:t>
      </w:r>
    </w:p>
    <w:p w14:paraId="53CFA36A">
      <w:pPr>
        <w:spacing w:line="560" w:lineRule="exact"/>
        <w:ind w:firstLine="640" w:firstLineChars="200"/>
        <w:rPr>
          <w:rFonts w:ascii="仿宋_GB2312" w:hAnsi="仿宋" w:eastAsia="仿宋_GB2312" w:cs="仿宋"/>
          <w:b w:val="0"/>
          <w:bCs w:val="0"/>
          <w:color w:val="auto"/>
          <w:sz w:val="32"/>
          <w:szCs w:val="32"/>
          <w:highlight w:val="none"/>
          <w:u w:val="none"/>
        </w:rPr>
      </w:pPr>
    </w:p>
    <w:p w14:paraId="14CA7E5B">
      <w:pPr>
        <w:spacing w:line="560" w:lineRule="exact"/>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w:t>
      </w:r>
      <w:r>
        <w:rPr>
          <w:rFonts w:hint="eastAsia" w:ascii="黑体" w:hAnsi="黑体" w:eastAsia="黑体" w:cs="仿宋"/>
          <w:b w:val="0"/>
          <w:bCs w:val="0"/>
          <w:color w:val="auto"/>
          <w:sz w:val="32"/>
          <w:szCs w:val="32"/>
          <w:highlight w:val="none"/>
          <w:u w:val="none"/>
          <w:lang w:eastAsia="zh-CN"/>
        </w:rPr>
        <w:t>二</w:t>
      </w:r>
      <w:r>
        <w:rPr>
          <w:rFonts w:hint="eastAsia" w:ascii="黑体" w:hAnsi="黑体" w:eastAsia="黑体" w:cs="仿宋"/>
          <w:b w:val="0"/>
          <w:bCs w:val="0"/>
          <w:color w:val="auto"/>
          <w:sz w:val="32"/>
          <w:szCs w:val="32"/>
          <w:highlight w:val="none"/>
          <w:u w:val="none"/>
        </w:rPr>
        <w:t>章</w:t>
      </w:r>
      <w:r>
        <w:rPr>
          <w:rFonts w:ascii="黑体" w:hAnsi="黑体" w:eastAsia="黑体" w:cs="仿宋"/>
          <w:b w:val="0"/>
          <w:bCs w:val="0"/>
          <w:color w:val="auto"/>
          <w:sz w:val="32"/>
          <w:szCs w:val="32"/>
          <w:highlight w:val="none"/>
          <w:u w:val="none"/>
        </w:rPr>
        <w:t xml:space="preserve">  </w:t>
      </w:r>
      <w:r>
        <w:rPr>
          <w:rFonts w:hint="eastAsia" w:ascii="黑体" w:hAnsi="黑体" w:eastAsia="黑体" w:cs="仿宋"/>
          <w:b w:val="0"/>
          <w:bCs w:val="0"/>
          <w:color w:val="auto"/>
          <w:sz w:val="32"/>
          <w:szCs w:val="32"/>
          <w:highlight w:val="none"/>
          <w:u w:val="none"/>
        </w:rPr>
        <w:t>国有企业投资管理</w:t>
      </w:r>
    </w:p>
    <w:p w14:paraId="182080D3">
      <w:pPr>
        <w:spacing w:line="560" w:lineRule="exact"/>
        <w:jc w:val="center"/>
        <w:rPr>
          <w:rFonts w:ascii="楷体_GB2312" w:hAnsi="仿宋" w:eastAsia="楷体_GB2312" w:cs="仿宋"/>
          <w:b w:val="0"/>
          <w:bCs w:val="0"/>
          <w:color w:val="auto"/>
          <w:sz w:val="32"/>
          <w:szCs w:val="32"/>
          <w:highlight w:val="none"/>
          <w:u w:val="none"/>
        </w:rPr>
      </w:pPr>
      <w:r>
        <w:rPr>
          <w:rFonts w:hint="eastAsia" w:ascii="楷体_GB2312" w:hAnsi="仿宋" w:eastAsia="楷体_GB2312" w:cs="仿宋"/>
          <w:b w:val="0"/>
          <w:bCs w:val="0"/>
          <w:color w:val="auto"/>
          <w:sz w:val="32"/>
          <w:szCs w:val="32"/>
          <w:highlight w:val="none"/>
          <w:u w:val="none"/>
        </w:rPr>
        <w:t>第一节</w:t>
      </w:r>
      <w:r>
        <w:rPr>
          <w:rFonts w:ascii="楷体_GB2312" w:hAnsi="仿宋" w:eastAsia="楷体_GB2312" w:cs="仿宋"/>
          <w:b w:val="0"/>
          <w:bCs w:val="0"/>
          <w:color w:val="auto"/>
          <w:sz w:val="32"/>
          <w:szCs w:val="32"/>
          <w:highlight w:val="none"/>
          <w:u w:val="none"/>
        </w:rPr>
        <w:t xml:space="preserve">  </w:t>
      </w:r>
      <w:r>
        <w:rPr>
          <w:rFonts w:hint="eastAsia" w:ascii="楷体_GB2312" w:hAnsi="仿宋" w:eastAsia="楷体_GB2312" w:cs="仿宋"/>
          <w:b w:val="0"/>
          <w:bCs w:val="0"/>
          <w:color w:val="auto"/>
          <w:sz w:val="32"/>
          <w:szCs w:val="32"/>
          <w:highlight w:val="none"/>
          <w:u w:val="none"/>
        </w:rPr>
        <w:t>国有企业投资的原则</w:t>
      </w:r>
    </w:p>
    <w:p w14:paraId="624FE62D">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区国有企业投资决策应当坚持审慎原则，充分预计投资风险，在可行性研究论证中对存在不确定性的因素应作否定判断，存在重大不确定性因素的项目原则上不得实施。</w:t>
      </w:r>
    </w:p>
    <w:p w14:paraId="701F9C89">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直管企业是本企业及其所属企业投资决策的直接责任主体，应当按照本规定和其他相关管理规定的要求，规范企业投资项目立项、可行性研究论证和投资效益评价工作。</w:t>
      </w:r>
    </w:p>
    <w:p w14:paraId="695722D4">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区国有企业选择投资项目应当符合下列原则要求：</w:t>
      </w:r>
    </w:p>
    <w:p w14:paraId="2A9475F0">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（一）符合国家</w:t>
      </w:r>
      <w:r>
        <w:rPr>
          <w:rFonts w:hint="eastAsia" w:hAnsi="仿宋" w:cs="仿宋"/>
          <w:b w:val="0"/>
          <w:bCs w:val="0"/>
          <w:color w:val="auto"/>
          <w:sz w:val="32"/>
          <w:szCs w:val="32"/>
          <w:highlight w:val="none"/>
          <w:u w:val="none"/>
          <w:lang w:eastAsia="zh-CN"/>
        </w:rPr>
        <w:t>、省、</w:t>
      </w:r>
      <w:r>
        <w:rPr>
          <w:rFonts w:hint="eastAsia" w:ascii="仿宋_GB2312" w:hAnsi="仿宋" w:eastAsia="仿宋_GB2312" w:cs="仿宋"/>
          <w:b w:val="0"/>
          <w:bCs w:val="0"/>
          <w:color w:val="auto"/>
          <w:sz w:val="32"/>
          <w:szCs w:val="32"/>
          <w:highlight w:val="none"/>
          <w:u w:val="none"/>
        </w:rPr>
        <w:t>市、区有关产业政策和发展规划。</w:t>
      </w:r>
    </w:p>
    <w:p w14:paraId="741079FB">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（二）符合区国有经济布局战略性调整和产业升级要求。</w:t>
      </w:r>
    </w:p>
    <w:p w14:paraId="559288DE">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（三）符合本企业主导产业和发展方向，原则上不得从事非主业投资。</w:t>
      </w:r>
    </w:p>
    <w:p w14:paraId="1A459077">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（四）投资规模应与企业资产经营规模、资产负债水平和实际筹资能力相适应。</w:t>
      </w:r>
    </w:p>
    <w:p w14:paraId="47693C95">
      <w:pPr>
        <w:widowControl/>
        <w:spacing w:line="560" w:lineRule="exact"/>
        <w:ind w:firstLine="640" w:firstLineChars="200"/>
        <w:jc w:val="left"/>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（五）未经</w:t>
      </w:r>
      <w:r>
        <w:rPr>
          <w:rFonts w:hint="eastAsia" w:hAnsi="仿宋" w:cs="仿宋"/>
          <w:b w:val="0"/>
          <w:bCs w:val="0"/>
          <w:color w:val="auto"/>
          <w:sz w:val="32"/>
          <w:szCs w:val="32"/>
          <w:highlight w:val="none"/>
          <w:u w:val="none"/>
          <w:lang w:eastAsia="zh-CN"/>
        </w:rPr>
        <w:t>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审批，原则上不得从事炒作股票、期货、期权等高风险的投机活动以及高风险的委托理财等活动</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企业可在本金安全、收益稳定、风险可控的前提下，自行</w:t>
      </w:r>
      <w:r>
        <w:rPr>
          <w:rFonts w:hint="eastAsia" w:hAnsi="仿宋" w:cs="仿宋"/>
          <w:b w:val="0"/>
          <w:bCs w:val="0"/>
          <w:color w:val="auto"/>
          <w:sz w:val="32"/>
          <w:szCs w:val="32"/>
          <w:highlight w:val="none"/>
          <w:u w:val="none"/>
          <w:lang w:eastAsia="zh-CN"/>
        </w:rPr>
        <w:t>开展</w:t>
      </w:r>
      <w:r>
        <w:rPr>
          <w:rFonts w:hint="eastAsia" w:ascii="仿宋_GB2312" w:hAnsi="仿宋" w:eastAsia="仿宋_GB2312" w:cs="仿宋"/>
          <w:i w:val="0"/>
          <w:caps w:val="0"/>
          <w:color w:val="auto"/>
          <w:spacing w:val="0"/>
          <w:kern w:val="2"/>
          <w:sz w:val="32"/>
          <w:szCs w:val="32"/>
          <w:highlight w:val="none"/>
          <w:shd w:val="clear" w:color="auto" w:fill="auto"/>
          <w:lang w:val="en-US" w:eastAsia="zh-CN" w:bidi="ar"/>
        </w:rPr>
        <w:t>货币基金、银行发行的理财产品、</w:t>
      </w:r>
      <w:r>
        <w:rPr>
          <w:rFonts w:hint="eastAsia" w:hAnsi="仿宋" w:cs="仿宋"/>
          <w:i w:val="0"/>
          <w:caps w:val="0"/>
          <w:color w:val="auto"/>
          <w:spacing w:val="0"/>
          <w:kern w:val="2"/>
          <w:sz w:val="32"/>
          <w:szCs w:val="32"/>
          <w:highlight w:val="none"/>
          <w:shd w:val="clear" w:color="auto" w:fill="auto"/>
          <w:lang w:val="en-US" w:eastAsia="zh-CN" w:bidi="ar"/>
        </w:rPr>
        <w:t>大</w:t>
      </w:r>
      <w:r>
        <w:rPr>
          <w:rFonts w:hint="eastAsia" w:ascii="仿宋_GB2312" w:hAnsi="仿宋" w:eastAsia="仿宋_GB2312" w:cs="仿宋"/>
          <w:b w:val="0"/>
          <w:bCs w:val="0"/>
          <w:color w:val="auto"/>
          <w:sz w:val="32"/>
          <w:szCs w:val="32"/>
          <w:highlight w:val="none"/>
          <w:u w:val="none"/>
        </w:rPr>
        <w:t>额定期存单</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结构性存款</w:t>
      </w:r>
      <w:r>
        <w:rPr>
          <w:rFonts w:hint="eastAsia" w:hAnsi="仿宋" w:cs="仿宋"/>
          <w:b w:val="0"/>
          <w:bCs w:val="0"/>
          <w:color w:val="auto"/>
          <w:sz w:val="32"/>
          <w:szCs w:val="32"/>
          <w:highlight w:val="none"/>
          <w:u w:val="none"/>
          <w:lang w:eastAsia="zh-CN"/>
        </w:rPr>
        <w:t>、国债逆回购、</w:t>
      </w:r>
      <w:r>
        <w:rPr>
          <w:rFonts w:hint="eastAsia" w:ascii="仿宋_GB2312" w:hAnsi="仿宋" w:eastAsia="仿宋_GB2312" w:cs="仿宋"/>
          <w:i w:val="0"/>
          <w:caps w:val="0"/>
          <w:color w:val="auto"/>
          <w:spacing w:val="0"/>
          <w:kern w:val="2"/>
          <w:sz w:val="32"/>
          <w:szCs w:val="32"/>
          <w:highlight w:val="none"/>
          <w:shd w:val="clear" w:color="auto" w:fill="auto"/>
          <w:lang w:val="en-US" w:eastAsia="zh-CN" w:bidi="ar"/>
        </w:rPr>
        <w:t>系统内控股企业发行的融资类金融产品等类型的理财投资</w:t>
      </w:r>
      <w:r>
        <w:rPr>
          <w:rFonts w:hint="eastAsia" w:ascii="仿宋_GB2312" w:hAnsi="仿宋" w:eastAsia="仿宋_GB2312" w:cs="仿宋"/>
          <w:b w:val="0"/>
          <w:bCs w:val="0"/>
          <w:color w:val="auto"/>
          <w:sz w:val="32"/>
          <w:szCs w:val="32"/>
          <w:highlight w:val="none"/>
          <w:u w:val="none"/>
        </w:rPr>
        <w:t>，提高闲置资金的收益水平</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企业资金存放期限原则上不得超过一年，可转让或可提前支取的除外。</w:t>
      </w:r>
    </w:p>
    <w:p w14:paraId="524AA0D4">
      <w:pPr>
        <w:widowControl/>
        <w:spacing w:line="560" w:lineRule="exact"/>
        <w:ind w:firstLine="640" w:firstLineChars="200"/>
        <w:jc w:val="left"/>
        <w:rPr>
          <w:rFonts w:hint="eastAsia" w:hAnsi="仿宋" w:cs="仿宋"/>
          <w:color w:val="auto"/>
          <w:highlight w:val="none"/>
          <w:u w:val="none"/>
          <w:lang w:eastAsia="zh-CN"/>
        </w:rPr>
      </w:pPr>
      <w:r>
        <w:rPr>
          <w:rFonts w:hint="eastAsia" w:hAnsi="仿宋" w:cs="仿宋"/>
          <w:b w:val="0"/>
          <w:bCs w:val="0"/>
          <w:color w:val="auto"/>
          <w:sz w:val="32"/>
          <w:szCs w:val="32"/>
          <w:highlight w:val="none"/>
          <w:u w:val="none"/>
          <w:lang w:eastAsia="zh-CN"/>
        </w:rPr>
        <w:t>（六）项目</w:t>
      </w:r>
      <w:r>
        <w:rPr>
          <w:rFonts w:hint="eastAsia" w:hAnsi="仿宋" w:cs="仿宋"/>
          <w:color w:val="auto"/>
          <w:highlight w:val="none"/>
          <w:u w:val="none"/>
        </w:rPr>
        <w:t>预期收益原则上不低于行业同期平均水平</w:t>
      </w:r>
      <w:r>
        <w:rPr>
          <w:rFonts w:hint="eastAsia" w:hAnsi="仿宋" w:cs="仿宋"/>
          <w:color w:val="auto"/>
          <w:highlight w:val="none"/>
          <w:u w:val="none"/>
          <w:lang w:eastAsia="zh-CN"/>
        </w:rPr>
        <w:t>。</w:t>
      </w:r>
    </w:p>
    <w:p w14:paraId="3B4B0AED">
      <w:pPr>
        <w:widowControl/>
        <w:spacing w:line="560" w:lineRule="exact"/>
        <w:ind w:firstLine="640" w:firstLineChars="200"/>
        <w:jc w:val="left"/>
        <w:rPr>
          <w:rFonts w:hint="eastAsia" w:ascii="仿宋_GB2312" w:hAnsi="仿宋" w:eastAsia="仿宋_GB2312" w:cs="仿宋"/>
          <w:b w:val="0"/>
          <w:bCs w:val="0"/>
          <w:color w:val="auto"/>
          <w:sz w:val="32"/>
          <w:szCs w:val="32"/>
          <w:highlight w:val="none"/>
          <w:u w:val="none"/>
          <w:lang w:val="en-US" w:eastAsia="zh-CN"/>
        </w:rPr>
      </w:pPr>
      <w:r>
        <w:rPr>
          <w:rFonts w:hint="eastAsia" w:hAnsi="仿宋" w:cs="仿宋"/>
          <w:color w:val="auto"/>
          <w:highlight w:val="none"/>
          <w:u w:val="none"/>
        </w:rPr>
        <w:t>（七）企业因投资而新设法人时应统筹各级法人新增数量，严格把控、充分论证法人设立的必要性、可行性，避免法人规模无序扩张。原则上企业管理层级（含直管企业自身）不得超过三级</w:t>
      </w:r>
      <w:r>
        <w:rPr>
          <w:rFonts w:hint="eastAsia" w:hAnsi="仿宋" w:cs="仿宋"/>
          <w:color w:val="auto"/>
          <w:highlight w:val="none"/>
          <w:u w:val="none"/>
          <w:lang w:eastAsia="zh-CN"/>
        </w:rPr>
        <w:t>。</w:t>
      </w:r>
    </w:p>
    <w:p w14:paraId="39F82EBE">
      <w:pPr>
        <w:spacing w:line="560" w:lineRule="exact"/>
        <w:jc w:val="center"/>
        <w:rPr>
          <w:rFonts w:hint="eastAsia" w:ascii="仿宋_GB2312" w:hAnsi="仿宋" w:eastAsia="仿宋_GB2312" w:cs="仿宋"/>
          <w:b w:val="0"/>
          <w:bCs w:val="0"/>
          <w:color w:val="auto"/>
          <w:sz w:val="32"/>
          <w:szCs w:val="32"/>
          <w:highlight w:val="none"/>
          <w:u w:val="none"/>
        </w:rPr>
      </w:pPr>
    </w:p>
    <w:p w14:paraId="7790780A">
      <w:pPr>
        <w:numPr>
          <w:ilvl w:val="-1"/>
          <w:numId w:val="0"/>
        </w:numPr>
        <w:spacing w:line="560" w:lineRule="exact"/>
        <w:ind w:left="0" w:firstLine="0" w:firstLineChars="0"/>
        <w:jc w:val="center"/>
        <w:rPr>
          <w:rFonts w:ascii="仿宋_GB2312" w:hAnsi="仿宋" w:eastAsia="仿宋_GB2312" w:cs="仿宋"/>
          <w:b w:val="0"/>
          <w:bCs w:val="0"/>
          <w:color w:val="auto"/>
          <w:sz w:val="32"/>
          <w:szCs w:val="32"/>
          <w:highlight w:val="none"/>
          <w:u w:val="none"/>
        </w:rPr>
      </w:pPr>
      <w:r>
        <w:rPr>
          <w:rFonts w:hint="eastAsia" w:ascii="楷体_GB2312" w:hAnsi="仿宋" w:eastAsia="楷体_GB2312" w:cs="仿宋"/>
          <w:b w:val="0"/>
          <w:bCs w:val="0"/>
          <w:color w:val="auto"/>
          <w:sz w:val="32"/>
          <w:szCs w:val="32"/>
          <w:highlight w:val="none"/>
          <w:u w:val="none"/>
        </w:rPr>
        <w:t>第二节</w:t>
      </w:r>
      <w:r>
        <w:rPr>
          <w:rFonts w:ascii="楷体_GB2312" w:hAnsi="仿宋" w:eastAsia="楷体_GB2312" w:cs="仿宋"/>
          <w:b w:val="0"/>
          <w:bCs w:val="0"/>
          <w:color w:val="auto"/>
          <w:sz w:val="32"/>
          <w:szCs w:val="32"/>
          <w:highlight w:val="none"/>
          <w:u w:val="none"/>
        </w:rPr>
        <w:t xml:space="preserve">  </w:t>
      </w:r>
      <w:r>
        <w:rPr>
          <w:rFonts w:hint="eastAsia" w:ascii="楷体_GB2312" w:hAnsi="仿宋" w:eastAsia="楷体_GB2312" w:cs="仿宋"/>
          <w:b w:val="0"/>
          <w:bCs w:val="0"/>
          <w:color w:val="auto"/>
          <w:sz w:val="32"/>
          <w:szCs w:val="32"/>
          <w:highlight w:val="none"/>
          <w:u w:val="none"/>
        </w:rPr>
        <w:t>投资项目</w:t>
      </w:r>
      <w:r>
        <w:rPr>
          <w:rFonts w:hint="eastAsia" w:ascii="楷体_GB2312" w:hAnsi="仿宋" w:eastAsia="楷体_GB2312" w:cs="仿宋"/>
          <w:b w:val="0"/>
          <w:bCs w:val="0"/>
          <w:color w:val="auto"/>
          <w:sz w:val="32"/>
          <w:szCs w:val="32"/>
          <w:highlight w:val="none"/>
          <w:u w:val="none"/>
          <w:lang w:val="en-US" w:eastAsia="zh-CN"/>
        </w:rPr>
        <w:t>审批</w:t>
      </w:r>
      <w:r>
        <w:rPr>
          <w:rFonts w:hint="eastAsia" w:ascii="楷体_GB2312" w:hAnsi="仿宋" w:eastAsia="楷体_GB2312" w:cs="仿宋"/>
          <w:b w:val="0"/>
          <w:bCs w:val="0"/>
          <w:color w:val="auto"/>
          <w:sz w:val="32"/>
          <w:szCs w:val="32"/>
          <w:highlight w:val="none"/>
          <w:u w:val="none"/>
          <w:lang w:eastAsia="zh-CN"/>
        </w:rPr>
        <w:t>管理</w:t>
      </w:r>
    </w:p>
    <w:p w14:paraId="23ACF463">
      <w:pPr>
        <w:numPr>
          <w:ilvl w:val="0"/>
          <w:numId w:val="1"/>
        </w:numPr>
        <w:spacing w:line="560" w:lineRule="exact"/>
        <w:ind w:left="0" w:firstLine="640" w:firstLineChars="200"/>
        <w:rPr>
          <w:rFonts w:hint="eastAsia" w:hAnsi="仿宋" w:cs="仿宋"/>
          <w:color w:val="auto"/>
          <w:highlight w:val="none"/>
        </w:rPr>
      </w:pPr>
      <w:r>
        <w:rPr>
          <w:rFonts w:hint="eastAsia" w:hAnsi="仿宋" w:cs="仿宋"/>
          <w:color w:val="auto"/>
          <w:highlight w:val="none"/>
          <w:lang w:eastAsia="zh-CN"/>
        </w:rPr>
        <w:t>区国有</w:t>
      </w:r>
      <w:r>
        <w:rPr>
          <w:rFonts w:hint="eastAsia" w:hAnsi="仿宋" w:cs="仿宋"/>
          <w:color w:val="auto"/>
          <w:highlight w:val="none"/>
        </w:rPr>
        <w:t>企</w:t>
      </w:r>
      <w:r>
        <w:rPr>
          <w:rFonts w:hint="eastAsia" w:hAnsi="仿宋" w:cs="仿宋"/>
          <w:color w:val="auto"/>
          <w:highlight w:val="none"/>
          <w:lang w:val="en-US" w:eastAsia="zh-CN"/>
        </w:rPr>
        <w:t>业</w:t>
      </w:r>
      <w:r>
        <w:rPr>
          <w:rFonts w:hint="eastAsia" w:hAnsi="仿宋" w:cs="仿宋"/>
          <w:color w:val="auto"/>
          <w:highlight w:val="none"/>
        </w:rPr>
        <w:t>对投资项目拥有自主决策权，但下列事项须按规定程序报批</w:t>
      </w:r>
      <w:r>
        <w:rPr>
          <w:rFonts w:hint="eastAsia" w:hAnsi="仿宋" w:cs="仿宋"/>
          <w:color w:val="auto"/>
          <w:highlight w:val="none"/>
          <w:lang w:val="en-US" w:eastAsia="zh-CN"/>
        </w:rPr>
        <w:t>。</w:t>
      </w:r>
    </w:p>
    <w:p w14:paraId="3425B247">
      <w:pPr>
        <w:numPr>
          <w:ilvl w:val="-1"/>
          <w:numId w:val="0"/>
        </w:numPr>
        <w:spacing w:line="560" w:lineRule="exact"/>
        <w:ind w:left="0" w:leftChars="0" w:firstLine="640" w:firstLineChars="200"/>
        <w:rPr>
          <w:rFonts w:hint="eastAsia" w:hAnsi="仿宋" w:cs="仿宋"/>
          <w:color w:val="auto"/>
          <w:highlight w:val="none"/>
          <w:lang w:val="en-US" w:eastAsia="zh-CN"/>
        </w:rPr>
      </w:pPr>
      <w:r>
        <w:rPr>
          <w:rFonts w:hint="eastAsia" w:hAnsi="仿宋" w:cs="仿宋"/>
          <w:color w:val="auto"/>
          <w:highlight w:val="none"/>
          <w:lang w:eastAsia="zh-CN"/>
        </w:rPr>
        <w:t>（</w:t>
      </w:r>
      <w:r>
        <w:rPr>
          <w:rFonts w:hint="eastAsia" w:hAnsi="仿宋" w:cs="仿宋"/>
          <w:color w:val="auto"/>
          <w:highlight w:val="none"/>
          <w:lang w:val="en-US" w:eastAsia="zh-CN"/>
        </w:rPr>
        <w:t>一）</w:t>
      </w:r>
      <w:r>
        <w:rPr>
          <w:rFonts w:hint="eastAsia" w:hAnsi="仿宋" w:cs="仿宋"/>
          <w:b w:val="0"/>
          <w:bCs w:val="0"/>
          <w:color w:val="auto"/>
          <w:sz w:val="32"/>
          <w:szCs w:val="32"/>
          <w:highlight w:val="none"/>
          <w:u w:val="none"/>
          <w:lang w:eastAsia="zh-CN"/>
        </w:rPr>
        <w:t>设立直管企业，</w:t>
      </w:r>
      <w:r>
        <w:rPr>
          <w:rFonts w:hint="eastAsia" w:hAnsi="仿宋" w:cs="仿宋"/>
          <w:color w:val="auto"/>
          <w:highlight w:val="none"/>
        </w:rPr>
        <w:t>由区国资监管部门</w:t>
      </w:r>
      <w:r>
        <w:rPr>
          <w:rFonts w:hint="eastAsia" w:hAnsi="仿宋" w:cs="仿宋"/>
          <w:color w:val="auto"/>
          <w:highlight w:val="none"/>
          <w:lang w:val="en-US" w:eastAsia="zh-CN"/>
        </w:rPr>
        <w:t>制定</w:t>
      </w:r>
      <w:r>
        <w:rPr>
          <w:rFonts w:hint="eastAsia" w:hAnsi="仿宋" w:cs="仿宋"/>
          <w:color w:val="auto"/>
          <w:highlight w:val="none"/>
          <w:lang w:eastAsia="zh-CN"/>
        </w:rPr>
        <w:t>方案</w:t>
      </w:r>
      <w:r>
        <w:rPr>
          <w:rFonts w:hint="eastAsia" w:hAnsi="仿宋" w:cs="仿宋"/>
          <w:color w:val="auto"/>
          <w:highlight w:val="none"/>
        </w:rPr>
        <w:t>，按程序提请区政府</w:t>
      </w:r>
      <w:r>
        <w:rPr>
          <w:rFonts w:hint="eastAsia" w:hAnsi="仿宋" w:cs="仿宋"/>
          <w:color w:val="auto"/>
          <w:highlight w:val="none"/>
          <w:lang w:eastAsia="zh-CN"/>
        </w:rPr>
        <w:t>常务会议审议。</w:t>
      </w:r>
    </w:p>
    <w:p w14:paraId="68260A60">
      <w:pPr>
        <w:numPr>
          <w:ilvl w:val="-1"/>
          <w:numId w:val="0"/>
        </w:numPr>
        <w:spacing w:line="560" w:lineRule="exact"/>
        <w:ind w:left="0" w:leftChars="0" w:firstLine="640" w:firstLineChars="200"/>
        <w:rPr>
          <w:rFonts w:hint="eastAsia" w:ascii="仿宋_GB2312" w:hAnsi="仿宋" w:eastAsia="仿宋_GB2312" w:cs="仿宋"/>
          <w:color w:val="auto"/>
          <w:highlight w:val="none"/>
          <w:lang w:eastAsia="zh-CN"/>
        </w:rPr>
      </w:pPr>
      <w:r>
        <w:rPr>
          <w:rFonts w:hint="eastAsia" w:ascii="仿宋_GB2312" w:hAnsi="仿宋_GB2312" w:eastAsia="仿宋_GB2312" w:cs="仿宋_GB2312"/>
          <w:color w:val="auto"/>
          <w:highlight w:val="none"/>
          <w:lang w:eastAsia="zh-CN"/>
        </w:rPr>
        <w:t>（</w:t>
      </w:r>
      <w:r>
        <w:rPr>
          <w:rFonts w:hint="eastAsia" w:hAnsi="仿宋_GB2312" w:cs="仿宋_GB2312"/>
          <w:color w:val="auto"/>
          <w:highlight w:val="none"/>
          <w:lang w:val="en-US" w:eastAsia="zh-CN"/>
        </w:rPr>
        <w:t>二</w:t>
      </w:r>
      <w:r>
        <w:rPr>
          <w:rFonts w:hint="eastAsia" w:ascii="仿宋_GB2312" w:hAnsi="仿宋" w:eastAsia="仿宋_GB2312" w:cs="仿宋"/>
          <w:color w:val="auto"/>
          <w:highlight w:val="none"/>
          <w:lang w:val="en-US" w:eastAsia="zh-CN"/>
        </w:rPr>
        <w:t>）设立所属企业、参股公司</w:t>
      </w:r>
      <w:r>
        <w:rPr>
          <w:rFonts w:hint="eastAsia" w:hAnsi="仿宋" w:cs="仿宋"/>
          <w:color w:val="auto"/>
          <w:highlight w:val="none"/>
          <w:lang w:val="en-US" w:eastAsia="zh-CN"/>
        </w:rPr>
        <w:t>，</w:t>
      </w:r>
      <w:r>
        <w:rPr>
          <w:rFonts w:hint="eastAsia" w:ascii="仿宋_GB2312" w:hAnsi="仿宋" w:eastAsia="仿宋_GB2312" w:cs="仿宋"/>
          <w:color w:val="auto"/>
          <w:highlight w:val="none"/>
        </w:rPr>
        <w:t>由直管企业</w:t>
      </w:r>
      <w:r>
        <w:rPr>
          <w:rFonts w:hint="eastAsia" w:ascii="仿宋_GB2312" w:hAnsi="仿宋" w:eastAsia="仿宋_GB2312" w:cs="仿宋"/>
          <w:color w:val="auto"/>
          <w:highlight w:val="none"/>
          <w:lang w:val="en-US" w:eastAsia="zh-CN"/>
        </w:rPr>
        <w:t>制定</w:t>
      </w:r>
      <w:r>
        <w:rPr>
          <w:rFonts w:hint="eastAsia" w:ascii="仿宋_GB2312" w:hAnsi="仿宋" w:eastAsia="仿宋_GB2312" w:cs="仿宋"/>
          <w:color w:val="auto"/>
          <w:highlight w:val="none"/>
        </w:rPr>
        <w:t>方案，</w:t>
      </w:r>
      <w:r>
        <w:rPr>
          <w:rFonts w:hint="eastAsia" w:ascii="仿宋_GB2312" w:hAnsi="仿宋" w:eastAsia="仿宋_GB2312" w:cs="仿宋"/>
          <w:color w:val="auto"/>
          <w:highlight w:val="none"/>
          <w:lang w:val="en-US" w:eastAsia="zh-CN"/>
        </w:rPr>
        <w:t>报</w:t>
      </w:r>
      <w:r>
        <w:rPr>
          <w:rFonts w:hint="eastAsia" w:ascii="仿宋_GB2312" w:hAnsi="仿宋" w:eastAsia="仿宋_GB2312" w:cs="仿宋"/>
          <w:color w:val="auto"/>
          <w:highlight w:val="none"/>
        </w:rPr>
        <w:t>区国资监管部门</w:t>
      </w:r>
      <w:r>
        <w:rPr>
          <w:rFonts w:hint="eastAsia" w:ascii="仿宋_GB2312" w:hAnsi="仿宋" w:eastAsia="仿宋_GB2312" w:cs="仿宋"/>
          <w:color w:val="auto"/>
          <w:highlight w:val="none"/>
          <w:lang w:val="en-US" w:eastAsia="zh-CN"/>
        </w:rPr>
        <w:t>审批</w:t>
      </w:r>
      <w:r>
        <w:rPr>
          <w:rFonts w:hint="eastAsia" w:ascii="仿宋_GB2312" w:hAnsi="仿宋" w:eastAsia="仿宋_GB2312" w:cs="仿宋"/>
          <w:color w:val="auto"/>
          <w:highlight w:val="none"/>
          <w:lang w:eastAsia="zh-CN"/>
        </w:rPr>
        <w:t>。</w:t>
      </w:r>
    </w:p>
    <w:p w14:paraId="31AA12D9">
      <w:pPr>
        <w:numPr>
          <w:ilvl w:val="-1"/>
          <w:numId w:val="0"/>
        </w:numPr>
        <w:spacing w:line="560" w:lineRule="exact"/>
        <w:ind w:left="0" w:leftChars="0" w:firstLine="640" w:firstLineChars="200"/>
        <w:rPr>
          <w:rFonts w:hint="eastAsia" w:hAnsi="仿宋" w:cs="仿宋"/>
          <w:color w:val="auto"/>
          <w:highlight w:val="none"/>
        </w:rPr>
      </w:pPr>
      <w:r>
        <w:rPr>
          <w:rFonts w:hint="eastAsia" w:hAnsi="仿宋" w:cs="仿宋"/>
          <w:color w:val="auto"/>
          <w:highlight w:val="none"/>
          <w:lang w:eastAsia="zh-CN"/>
        </w:rPr>
        <w:t>（</w:t>
      </w:r>
      <w:r>
        <w:rPr>
          <w:rFonts w:hint="eastAsia" w:hAnsi="仿宋" w:cs="仿宋"/>
          <w:color w:val="auto"/>
          <w:highlight w:val="none"/>
          <w:lang w:val="en-US" w:eastAsia="zh-CN"/>
        </w:rPr>
        <w:t>三）</w:t>
      </w:r>
      <w:r>
        <w:rPr>
          <w:rStyle w:val="8"/>
          <w:rFonts w:hint="eastAsia" w:ascii="仿宋_GB2312" w:hAnsi="仿宋" w:eastAsia="仿宋_GB2312" w:cs="仿宋"/>
          <w:b w:val="0"/>
          <w:bCs w:val="0"/>
          <w:i w:val="0"/>
          <w:iCs w:val="0"/>
          <w:caps w:val="0"/>
          <w:color w:val="auto"/>
          <w:spacing w:val="0"/>
          <w:kern w:val="2"/>
          <w:sz w:val="32"/>
          <w:szCs w:val="32"/>
          <w:highlight w:val="none"/>
          <w:lang w:val="en-US" w:eastAsia="zh-CN" w:bidi="ar"/>
        </w:rPr>
        <w:t>涉及下列项目的投资立项</w:t>
      </w:r>
      <w:r>
        <w:rPr>
          <w:rStyle w:val="8"/>
          <w:rFonts w:hint="eastAsia" w:hAnsi="仿宋" w:cs="仿宋"/>
          <w:b w:val="0"/>
          <w:bCs w:val="0"/>
          <w:i w:val="0"/>
          <w:iCs w:val="0"/>
          <w:caps w:val="0"/>
          <w:color w:val="auto"/>
          <w:spacing w:val="0"/>
          <w:kern w:val="2"/>
          <w:sz w:val="32"/>
          <w:szCs w:val="32"/>
          <w:highlight w:val="none"/>
          <w:lang w:val="en-US" w:eastAsia="zh-CN" w:bidi="ar"/>
        </w:rPr>
        <w:t>，</w:t>
      </w:r>
      <w:r>
        <w:rPr>
          <w:rFonts w:hint="eastAsia" w:hAnsi="仿宋" w:cs="仿宋"/>
          <w:color w:val="auto"/>
          <w:highlight w:val="none"/>
          <w:lang w:bidi="ar"/>
        </w:rPr>
        <w:t>由直管企业制定方案，</w:t>
      </w:r>
      <w:r>
        <w:rPr>
          <w:rFonts w:hint="eastAsia" w:hAnsi="仿宋" w:cs="仿宋"/>
          <w:color w:val="auto"/>
          <w:highlight w:val="none"/>
        </w:rPr>
        <w:t>经区国资监管部门审核后，按程序报请区政府常务会议审议</w:t>
      </w:r>
      <w:r>
        <w:rPr>
          <w:rFonts w:hint="eastAsia" w:hAnsi="仿宋" w:cs="仿宋"/>
          <w:color w:val="auto"/>
          <w:highlight w:val="none"/>
          <w:lang w:eastAsia="zh-CN"/>
        </w:rPr>
        <w:t>。</w:t>
      </w:r>
    </w:p>
    <w:p w14:paraId="69767E66">
      <w:pPr>
        <w:numPr>
          <w:ilvl w:val="-1"/>
          <w:numId w:val="0"/>
        </w:numPr>
        <w:spacing w:line="560" w:lineRule="exact"/>
        <w:ind w:left="0" w:leftChars="0" w:firstLine="640" w:firstLineChars="200"/>
        <w:rPr>
          <w:rFonts w:hint="eastAsia" w:hAnsi="仿宋" w:eastAsia="仿宋_GB2312" w:cs="仿宋"/>
          <w:color w:val="auto"/>
          <w:highlight w:val="none"/>
          <w:lang w:val="en-US" w:eastAsia="zh-CN"/>
        </w:rPr>
      </w:pPr>
      <w:r>
        <w:rPr>
          <w:rFonts w:hint="eastAsia" w:hAnsi="仿宋" w:cs="仿宋"/>
          <w:color w:val="auto"/>
          <w:highlight w:val="none"/>
          <w:lang w:val="en-US" w:eastAsia="zh-CN"/>
        </w:rPr>
        <w:t>1.</w:t>
      </w:r>
      <w:r>
        <w:rPr>
          <w:rFonts w:hint="eastAsia" w:hAnsi="仿宋" w:cs="仿宋"/>
          <w:color w:val="auto"/>
          <w:highlight w:val="none"/>
        </w:rPr>
        <w:t>投资额</w:t>
      </w:r>
      <w:r>
        <w:rPr>
          <w:rFonts w:hint="eastAsia" w:hAnsi="仿宋" w:cs="仿宋"/>
          <w:color w:val="auto"/>
          <w:highlight w:val="none"/>
          <w:lang w:val="en-US" w:eastAsia="zh-CN"/>
        </w:rPr>
        <w:t>超过</w:t>
      </w:r>
      <w:r>
        <w:rPr>
          <w:rFonts w:hint="eastAsia" w:hAnsi="仿宋" w:cs="仿宋"/>
          <w:color w:val="auto"/>
          <w:highlight w:val="none"/>
        </w:rPr>
        <w:t>直管企业净资产50%以上的项目</w:t>
      </w:r>
      <w:r>
        <w:rPr>
          <w:rFonts w:hint="eastAsia" w:hAnsi="仿宋" w:cs="仿宋"/>
          <w:color w:val="auto"/>
          <w:highlight w:val="none"/>
          <w:lang w:eastAsia="zh-CN"/>
        </w:rPr>
        <w:t>。</w:t>
      </w:r>
    </w:p>
    <w:p w14:paraId="658D4618">
      <w:pPr>
        <w:numPr>
          <w:ilvl w:val="-1"/>
          <w:numId w:val="0"/>
        </w:numPr>
        <w:spacing w:line="560" w:lineRule="exact"/>
        <w:ind w:left="0" w:leftChars="0" w:firstLine="640" w:firstLineChars="200"/>
        <w:rPr>
          <w:rFonts w:hint="eastAsia" w:hAnsi="仿宋" w:cs="仿宋"/>
          <w:color w:val="auto"/>
          <w:highlight w:val="none"/>
        </w:rPr>
      </w:pPr>
      <w:r>
        <w:rPr>
          <w:rFonts w:hint="eastAsia" w:hAnsi="仿宋" w:cs="仿宋"/>
          <w:color w:val="auto"/>
          <w:highlight w:val="none"/>
          <w:lang w:val="en-US" w:eastAsia="zh-CN"/>
        </w:rPr>
        <w:t>2.</w:t>
      </w:r>
      <w:r>
        <w:rPr>
          <w:rFonts w:hint="eastAsia" w:hAnsi="仿宋" w:cs="仿宋"/>
          <w:color w:val="auto"/>
          <w:highlight w:val="none"/>
        </w:rPr>
        <w:t>在境外及香港特别行政区、澳门特别行政区、</w:t>
      </w:r>
      <w:r>
        <w:rPr>
          <w:rFonts w:hint="eastAsia" w:hAnsi="仿宋" w:cs="仿宋"/>
          <w:color w:val="auto"/>
          <w:highlight w:val="none"/>
          <w:lang w:eastAsia="zh-CN"/>
        </w:rPr>
        <w:t>中国</w:t>
      </w:r>
      <w:r>
        <w:rPr>
          <w:rFonts w:hint="eastAsia" w:hAnsi="仿宋" w:cs="仿宋"/>
          <w:color w:val="auto"/>
          <w:highlight w:val="none"/>
        </w:rPr>
        <w:t>台湾地区投资的项目。</w:t>
      </w:r>
    </w:p>
    <w:p w14:paraId="14D70067">
      <w:pPr>
        <w:numPr>
          <w:ilvl w:val="-1"/>
          <w:numId w:val="0"/>
        </w:numPr>
        <w:spacing w:line="560" w:lineRule="exact"/>
        <w:ind w:left="0" w:leftChars="0" w:firstLine="640" w:firstLineChars="200"/>
        <w:rPr>
          <w:rFonts w:hint="eastAsia" w:hAnsi="仿宋_GB2312" w:cs="仿宋_GB2312"/>
          <w:color w:val="auto"/>
          <w:highlight w:val="none"/>
        </w:rPr>
      </w:pPr>
      <w:r>
        <w:rPr>
          <w:rFonts w:hint="eastAsia" w:hAnsi="仿宋" w:cs="仿宋"/>
          <w:color w:val="auto"/>
          <w:highlight w:val="none"/>
          <w:lang w:val="en-US" w:eastAsia="zh-CN"/>
        </w:rPr>
        <w:t>3.</w:t>
      </w:r>
      <w:r>
        <w:rPr>
          <w:rFonts w:hint="eastAsia" w:hAnsi="仿宋_GB2312" w:cs="仿宋_GB2312"/>
          <w:color w:val="auto"/>
          <w:highlight w:val="none"/>
          <w:lang w:val="en-US" w:eastAsia="zh-CN"/>
        </w:rPr>
        <w:t>连续两年</w:t>
      </w:r>
      <w:r>
        <w:rPr>
          <w:rFonts w:hint="eastAsia" w:hAnsi="仿宋_GB2312" w:cs="仿宋_GB2312"/>
          <w:color w:val="auto"/>
          <w:highlight w:val="none"/>
        </w:rPr>
        <w:t xml:space="preserve">资产负债率超过70%以上的直管企业进行的投资项目。 </w:t>
      </w:r>
    </w:p>
    <w:p w14:paraId="1071C8A8">
      <w:pPr>
        <w:widowControl/>
        <w:numPr>
          <w:ilvl w:val="0"/>
          <w:numId w:val="0"/>
        </w:numPr>
        <w:spacing w:line="560" w:lineRule="exact"/>
        <w:ind w:firstLine="640" w:firstLineChars="200"/>
        <w:jc w:val="left"/>
        <w:rPr>
          <w:rFonts w:hint="eastAsia" w:ascii="仿宋_GB2312" w:hAnsi="仿宋_GB2312" w:eastAsia="仿宋_GB2312" w:cs="仿宋_GB2312"/>
          <w:color w:val="auto"/>
          <w:highlight w:val="none"/>
          <w:lang w:eastAsia="zh-CN"/>
        </w:rPr>
      </w:pPr>
      <w:r>
        <w:rPr>
          <w:rStyle w:val="8"/>
          <w:rFonts w:hint="eastAsia" w:hAnsi="仿宋_GB2312" w:cs="仿宋_GB2312"/>
          <w:b w:val="0"/>
          <w:bCs w:val="0"/>
          <w:i w:val="0"/>
          <w:iCs w:val="0"/>
          <w:caps w:val="0"/>
          <w:color w:val="auto"/>
          <w:spacing w:val="0"/>
          <w:kern w:val="2"/>
          <w:sz w:val="32"/>
          <w:szCs w:val="32"/>
          <w:highlight w:val="none"/>
          <w:lang w:val="en-US" w:eastAsia="zh-CN" w:bidi="ar"/>
        </w:rPr>
        <w:t>4.</w:t>
      </w:r>
      <w:r>
        <w:rPr>
          <w:rStyle w:val="8"/>
          <w:rFonts w:hAnsi="仿宋_GB2312" w:cs="仿宋_GB2312"/>
          <w:color w:val="auto"/>
          <w:highlight w:val="none"/>
          <w:lang w:bidi="ar"/>
        </w:rPr>
        <w:t>与非国有经济主体进行合资、合作，且国有经济主体（央企、市属国企、区属国企及其他</w:t>
      </w:r>
      <w:r>
        <w:rPr>
          <w:rStyle w:val="8"/>
          <w:rFonts w:hint="eastAsia" w:hAnsi="仿宋_GB2312" w:cs="仿宋_GB2312"/>
          <w:color w:val="auto"/>
          <w:highlight w:val="none"/>
          <w:lang w:eastAsia="zh-CN" w:bidi="ar"/>
        </w:rPr>
        <w:t>国有资本</w:t>
      </w:r>
      <w:r>
        <w:rPr>
          <w:rStyle w:val="8"/>
          <w:rFonts w:hAnsi="仿宋_GB2312" w:cs="仿宋_GB2312"/>
          <w:color w:val="auto"/>
          <w:highlight w:val="none"/>
          <w:lang w:bidi="ar"/>
        </w:rPr>
        <w:t>）没有实际控制权的项目，但财务性股权投资、合作设立私募股权投资基金的除外</w:t>
      </w:r>
      <w:r>
        <w:rPr>
          <w:rFonts w:hint="eastAsia" w:ascii="仿宋_GB2312" w:hAnsi="仿宋_GB2312" w:eastAsia="仿宋_GB2312" w:cs="仿宋_GB2312"/>
          <w:color w:val="auto"/>
          <w:highlight w:val="none"/>
          <w:lang w:eastAsia="zh-CN"/>
        </w:rPr>
        <w:t>。</w:t>
      </w:r>
    </w:p>
    <w:p w14:paraId="34A60EC9">
      <w:pPr>
        <w:pStyle w:val="10"/>
        <w:spacing w:line="560" w:lineRule="exact"/>
        <w:rPr>
          <w:rFonts w:hint="eastAsia" w:ascii="仿宋_GB2312" w:hAnsi="仿宋_GB2312" w:eastAsia="仿宋_GB2312" w:cs="仿宋_GB2312"/>
          <w:color w:val="auto"/>
          <w:highlight w:val="none"/>
        </w:rPr>
      </w:pPr>
      <w:r>
        <w:rPr>
          <w:rFonts w:hint="eastAsia" w:ascii="仿宋_GB2312" w:hAnsi="仿宋" w:eastAsia="仿宋_GB2312" w:cs="仿宋"/>
          <w:color w:val="auto"/>
          <w:highlight w:val="none"/>
          <w:lang w:eastAsia="zh-CN"/>
        </w:rPr>
        <w:t>（</w:t>
      </w:r>
      <w:r>
        <w:rPr>
          <w:rFonts w:hint="eastAsia" w:ascii="仿宋_GB2312" w:hAnsi="仿宋" w:eastAsia="仿宋_GB2312" w:cs="仿宋"/>
          <w:color w:val="auto"/>
          <w:highlight w:val="none"/>
          <w:lang w:val="en-US" w:eastAsia="zh-CN"/>
        </w:rPr>
        <w:t>四）</w:t>
      </w:r>
      <w:r>
        <w:rPr>
          <w:rFonts w:hint="eastAsia" w:ascii="仿宋_GB2312" w:hAnsi="仿宋" w:eastAsia="仿宋_GB2312" w:cs="仿宋"/>
          <w:color w:val="auto"/>
          <w:highlight w:val="none"/>
        </w:rPr>
        <w:t>投资额超过直管企业净资产30%以上但不足50% 的项目，由直管企业</w:t>
      </w:r>
      <w:r>
        <w:rPr>
          <w:rFonts w:hint="eastAsia" w:ascii="仿宋_GB2312" w:hAnsi="仿宋" w:eastAsia="仿宋_GB2312" w:cs="仿宋"/>
          <w:color w:val="auto"/>
          <w:highlight w:val="none"/>
          <w:lang w:val="en-US" w:eastAsia="zh-CN"/>
        </w:rPr>
        <w:t>制定</w:t>
      </w:r>
      <w:r>
        <w:rPr>
          <w:rFonts w:hint="eastAsia" w:ascii="仿宋_GB2312" w:hAnsi="仿宋" w:eastAsia="仿宋_GB2312" w:cs="仿宋"/>
          <w:color w:val="auto"/>
          <w:highlight w:val="none"/>
        </w:rPr>
        <w:t>方案，</w:t>
      </w:r>
      <w:r>
        <w:rPr>
          <w:rFonts w:hint="eastAsia" w:ascii="仿宋_GB2312" w:hAnsi="仿宋" w:eastAsia="仿宋_GB2312" w:cs="仿宋"/>
          <w:color w:val="auto"/>
          <w:highlight w:val="none"/>
          <w:lang w:val="en-US" w:eastAsia="zh-CN"/>
        </w:rPr>
        <w:t>报</w:t>
      </w:r>
      <w:r>
        <w:rPr>
          <w:rFonts w:hint="eastAsia" w:ascii="仿宋_GB2312" w:hAnsi="仿宋" w:eastAsia="仿宋_GB2312" w:cs="仿宋"/>
          <w:color w:val="auto"/>
          <w:highlight w:val="none"/>
        </w:rPr>
        <w:t>区国资监管部门</w:t>
      </w:r>
      <w:r>
        <w:rPr>
          <w:rFonts w:hint="eastAsia" w:ascii="仿宋_GB2312" w:hAnsi="仿宋" w:eastAsia="仿宋_GB2312" w:cs="仿宋"/>
          <w:color w:val="auto"/>
          <w:highlight w:val="none"/>
          <w:lang w:val="en-US" w:eastAsia="zh-CN"/>
        </w:rPr>
        <w:t>审批</w:t>
      </w:r>
      <w:r>
        <w:rPr>
          <w:rFonts w:hint="eastAsia" w:ascii="仿宋_GB2312" w:hAnsi="仿宋" w:eastAsia="仿宋_GB2312" w:cs="仿宋"/>
          <w:color w:val="auto"/>
          <w:highlight w:val="none"/>
        </w:rPr>
        <w:t>。</w:t>
      </w:r>
    </w:p>
    <w:p w14:paraId="2D481526">
      <w:pPr>
        <w:numPr>
          <w:ilvl w:val="0"/>
          <w:numId w:val="1"/>
        </w:numPr>
        <w:spacing w:line="560" w:lineRule="exact"/>
        <w:ind w:left="0" w:leftChars="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已立项</w:t>
      </w:r>
      <w:r>
        <w:rPr>
          <w:rFonts w:hint="eastAsia" w:hAnsi="仿宋" w:cs="仿宋"/>
          <w:b w:val="0"/>
          <w:bCs w:val="0"/>
          <w:color w:val="auto"/>
          <w:sz w:val="32"/>
          <w:szCs w:val="32"/>
          <w:highlight w:val="none"/>
          <w:u w:val="none"/>
          <w:lang w:eastAsia="zh-CN"/>
        </w:rPr>
        <w:t>投资</w:t>
      </w:r>
      <w:r>
        <w:rPr>
          <w:rFonts w:hint="eastAsia" w:ascii="仿宋_GB2312" w:hAnsi="仿宋" w:eastAsia="仿宋_GB2312" w:cs="仿宋"/>
          <w:b w:val="0"/>
          <w:bCs w:val="0"/>
          <w:color w:val="auto"/>
          <w:sz w:val="32"/>
          <w:szCs w:val="32"/>
          <w:highlight w:val="none"/>
          <w:u w:val="none"/>
        </w:rPr>
        <w:t>项目</w:t>
      </w:r>
      <w:r>
        <w:rPr>
          <w:rFonts w:hint="eastAsia" w:hAnsi="仿宋" w:cs="仿宋"/>
          <w:b w:val="0"/>
          <w:bCs w:val="0"/>
          <w:color w:val="auto"/>
          <w:sz w:val="32"/>
          <w:szCs w:val="32"/>
          <w:highlight w:val="none"/>
          <w:u w:val="none"/>
          <w:lang w:eastAsia="zh-CN"/>
        </w:rPr>
        <w:t>在实施过程中出现重大变化，投资金额超过立项金额的，</w:t>
      </w:r>
      <w:r>
        <w:rPr>
          <w:rFonts w:hint="eastAsia" w:hAnsi="仿宋" w:cs="仿宋"/>
          <w:color w:val="auto"/>
          <w:highlight w:val="none"/>
        </w:rPr>
        <w:t>重新按</w:t>
      </w:r>
      <w:r>
        <w:rPr>
          <w:rFonts w:hint="eastAsia" w:hAnsi="仿宋" w:cs="仿宋"/>
          <w:color w:val="auto"/>
          <w:highlight w:val="none"/>
          <w:lang w:eastAsia="zh-CN"/>
        </w:rPr>
        <w:t>本</w:t>
      </w:r>
      <w:r>
        <w:rPr>
          <w:rFonts w:hint="eastAsia" w:hAnsi="仿宋" w:cs="仿宋"/>
          <w:color w:val="auto"/>
          <w:highlight w:val="none"/>
        </w:rPr>
        <w:t>规定履行决策程序</w:t>
      </w:r>
      <w:r>
        <w:rPr>
          <w:rFonts w:hint="eastAsia" w:ascii="仿宋_GB2312" w:hAnsi="仿宋" w:eastAsia="仿宋_GB2312" w:cs="仿宋"/>
          <w:b w:val="0"/>
          <w:bCs w:val="0"/>
          <w:color w:val="auto"/>
          <w:sz w:val="32"/>
          <w:szCs w:val="32"/>
          <w:highlight w:val="none"/>
          <w:u w:val="none"/>
        </w:rPr>
        <w:t>。</w:t>
      </w:r>
    </w:p>
    <w:p w14:paraId="2402FB3D">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eastAsia="zh-CN"/>
        </w:rPr>
        <w:t>投资项目</w:t>
      </w:r>
      <w:r>
        <w:rPr>
          <w:rFonts w:hint="eastAsia" w:hAnsi="仿宋" w:cs="仿宋"/>
          <w:color w:val="auto"/>
          <w:highlight w:val="none"/>
        </w:rPr>
        <w:t>自</w:t>
      </w:r>
      <w:r>
        <w:rPr>
          <w:rFonts w:hint="eastAsia" w:hAnsi="仿宋" w:cs="仿宋"/>
          <w:color w:val="auto"/>
          <w:highlight w:val="none"/>
          <w:lang w:eastAsia="zh-CN"/>
        </w:rPr>
        <w:t>立项</w:t>
      </w:r>
      <w:r>
        <w:rPr>
          <w:rFonts w:hint="eastAsia" w:hAnsi="仿宋" w:cs="仿宋"/>
          <w:color w:val="auto"/>
          <w:highlight w:val="none"/>
        </w:rPr>
        <w:t>审批意见出具之日起两年内未能实施但拟继续实施的</w:t>
      </w:r>
      <w:r>
        <w:rPr>
          <w:rFonts w:hint="eastAsia" w:hAnsi="仿宋" w:cs="仿宋"/>
          <w:b w:val="0"/>
          <w:bCs w:val="0"/>
          <w:color w:val="auto"/>
          <w:sz w:val="32"/>
          <w:szCs w:val="32"/>
          <w:highlight w:val="none"/>
          <w:u w:val="none"/>
          <w:lang w:eastAsia="zh-CN"/>
        </w:rPr>
        <w:t>，</w:t>
      </w:r>
      <w:r>
        <w:rPr>
          <w:rFonts w:hint="eastAsia" w:hAnsi="仿宋" w:cs="仿宋"/>
          <w:color w:val="auto"/>
          <w:highlight w:val="none"/>
        </w:rPr>
        <w:t>重新按</w:t>
      </w:r>
      <w:r>
        <w:rPr>
          <w:rFonts w:hint="eastAsia" w:hAnsi="仿宋" w:cs="仿宋"/>
          <w:color w:val="auto"/>
          <w:highlight w:val="none"/>
          <w:lang w:eastAsia="zh-CN"/>
        </w:rPr>
        <w:t>本</w:t>
      </w:r>
      <w:r>
        <w:rPr>
          <w:rFonts w:hint="eastAsia" w:hAnsi="仿宋" w:cs="仿宋"/>
          <w:color w:val="auto"/>
          <w:highlight w:val="none"/>
        </w:rPr>
        <w:t>规定履行决策程序</w:t>
      </w:r>
      <w:r>
        <w:rPr>
          <w:rFonts w:hint="eastAsia" w:ascii="仿宋_GB2312" w:hAnsi="仿宋" w:eastAsia="仿宋_GB2312" w:cs="仿宋"/>
          <w:b w:val="0"/>
          <w:bCs w:val="0"/>
          <w:color w:val="auto"/>
          <w:sz w:val="32"/>
          <w:szCs w:val="32"/>
          <w:highlight w:val="none"/>
          <w:u w:val="none"/>
        </w:rPr>
        <w:t>。</w:t>
      </w:r>
    </w:p>
    <w:p w14:paraId="75637264">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lang w:eastAsia="zh-CN"/>
        </w:rPr>
      </w:pPr>
      <w:r>
        <w:rPr>
          <w:rFonts w:hint="eastAsia" w:ascii="仿宋_GB2312" w:hAnsi="仿宋" w:eastAsia="仿宋_GB2312" w:cs="仿宋"/>
          <w:b w:val="0"/>
          <w:bCs w:val="0"/>
          <w:color w:val="auto"/>
          <w:sz w:val="32"/>
          <w:szCs w:val="32"/>
          <w:highlight w:val="none"/>
          <w:u w:val="none"/>
        </w:rPr>
        <w:t>区政府指定由直管企业</w:t>
      </w:r>
      <w:r>
        <w:rPr>
          <w:rFonts w:hint="eastAsia" w:hAnsi="仿宋" w:cs="仿宋"/>
          <w:b w:val="0"/>
          <w:bCs w:val="0"/>
          <w:color w:val="auto"/>
          <w:sz w:val="32"/>
          <w:szCs w:val="32"/>
          <w:highlight w:val="none"/>
          <w:u w:val="none"/>
          <w:lang w:eastAsia="zh-CN"/>
        </w:rPr>
        <w:t>及所属企业</w:t>
      </w:r>
      <w:r>
        <w:rPr>
          <w:rFonts w:hint="eastAsia" w:ascii="仿宋_GB2312" w:hAnsi="仿宋" w:eastAsia="仿宋_GB2312" w:cs="仿宋"/>
          <w:b w:val="0"/>
          <w:bCs w:val="0"/>
          <w:color w:val="auto"/>
          <w:sz w:val="32"/>
          <w:szCs w:val="32"/>
          <w:highlight w:val="none"/>
          <w:u w:val="none"/>
        </w:rPr>
        <w:t>承担的投资项目，按照区政府的相关文件执行</w:t>
      </w:r>
      <w:r>
        <w:rPr>
          <w:rFonts w:hint="eastAsia" w:hAnsi="仿宋" w:cs="仿宋"/>
          <w:color w:val="auto"/>
          <w:highlight w:val="none"/>
          <w:lang w:eastAsia="zh-CN"/>
        </w:rPr>
        <w:t>。</w:t>
      </w:r>
    </w:p>
    <w:p w14:paraId="35D67B68">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根据企业功能定位、法人治理结构和业务发展的具体情况，可适当调整区国有企业投资决策权限，并通过公司章程或</w:t>
      </w:r>
      <w:r>
        <w:rPr>
          <w:rFonts w:hint="eastAsia" w:hAnsi="仿宋" w:cs="仿宋"/>
          <w:b w:val="0"/>
          <w:bCs w:val="0"/>
          <w:color w:val="auto"/>
          <w:sz w:val="32"/>
          <w:szCs w:val="32"/>
          <w:highlight w:val="none"/>
          <w:u w:val="none"/>
          <w:lang w:eastAsia="zh-CN"/>
        </w:rPr>
        <w:t>其他</w:t>
      </w:r>
      <w:r>
        <w:rPr>
          <w:rFonts w:hint="eastAsia" w:ascii="仿宋_GB2312" w:hAnsi="仿宋" w:eastAsia="仿宋_GB2312" w:cs="仿宋"/>
          <w:b w:val="0"/>
          <w:bCs w:val="0"/>
          <w:color w:val="auto"/>
          <w:sz w:val="32"/>
          <w:szCs w:val="32"/>
          <w:highlight w:val="none"/>
          <w:u w:val="none"/>
        </w:rPr>
        <w:t>形式予以确认。</w:t>
      </w:r>
    </w:p>
    <w:p w14:paraId="13C6C796">
      <w:pPr>
        <w:spacing w:line="560" w:lineRule="exact"/>
        <w:jc w:val="both"/>
        <w:rPr>
          <w:rFonts w:hint="eastAsia" w:ascii="仿宋_GB2312" w:hAnsi="仿宋" w:eastAsia="仿宋_GB2312" w:cs="仿宋"/>
          <w:b w:val="0"/>
          <w:bCs w:val="0"/>
          <w:color w:val="auto"/>
          <w:sz w:val="32"/>
          <w:szCs w:val="32"/>
          <w:highlight w:val="none"/>
          <w:u w:val="none"/>
        </w:rPr>
      </w:pPr>
    </w:p>
    <w:p w14:paraId="5D97F248">
      <w:pPr>
        <w:spacing w:line="560" w:lineRule="exact"/>
        <w:jc w:val="center"/>
        <w:rPr>
          <w:rFonts w:ascii="楷体_GB2312" w:hAnsi="仿宋" w:eastAsia="楷体_GB2312" w:cs="仿宋"/>
          <w:b w:val="0"/>
          <w:bCs w:val="0"/>
          <w:color w:val="auto"/>
          <w:sz w:val="32"/>
          <w:szCs w:val="32"/>
          <w:highlight w:val="none"/>
          <w:u w:val="none"/>
        </w:rPr>
      </w:pPr>
      <w:r>
        <w:rPr>
          <w:rFonts w:hint="eastAsia" w:ascii="楷体_GB2312" w:hAnsi="仿宋" w:eastAsia="楷体_GB2312" w:cs="仿宋"/>
          <w:b w:val="0"/>
          <w:bCs w:val="0"/>
          <w:color w:val="auto"/>
          <w:sz w:val="32"/>
          <w:szCs w:val="32"/>
          <w:highlight w:val="none"/>
          <w:u w:val="none"/>
        </w:rPr>
        <w:t>第</w:t>
      </w:r>
      <w:r>
        <w:rPr>
          <w:rFonts w:hint="eastAsia" w:ascii="楷体_GB2312" w:hAnsi="仿宋" w:eastAsia="楷体_GB2312" w:cs="仿宋"/>
          <w:b w:val="0"/>
          <w:bCs w:val="0"/>
          <w:color w:val="auto"/>
          <w:sz w:val="32"/>
          <w:szCs w:val="32"/>
          <w:highlight w:val="none"/>
          <w:u w:val="none"/>
          <w:lang w:val="en-US" w:eastAsia="zh-CN"/>
        </w:rPr>
        <w:t>三</w:t>
      </w:r>
      <w:r>
        <w:rPr>
          <w:rFonts w:hint="eastAsia" w:ascii="楷体_GB2312" w:hAnsi="仿宋" w:eastAsia="楷体_GB2312" w:cs="仿宋"/>
          <w:b w:val="0"/>
          <w:bCs w:val="0"/>
          <w:color w:val="auto"/>
          <w:sz w:val="32"/>
          <w:szCs w:val="32"/>
          <w:highlight w:val="none"/>
          <w:u w:val="none"/>
        </w:rPr>
        <w:t>节</w:t>
      </w:r>
      <w:r>
        <w:rPr>
          <w:rFonts w:ascii="楷体_GB2312" w:hAnsi="仿宋" w:eastAsia="楷体_GB2312" w:cs="仿宋"/>
          <w:b w:val="0"/>
          <w:bCs w:val="0"/>
          <w:color w:val="auto"/>
          <w:sz w:val="32"/>
          <w:szCs w:val="32"/>
          <w:highlight w:val="none"/>
          <w:u w:val="none"/>
        </w:rPr>
        <w:t xml:space="preserve">  </w:t>
      </w:r>
      <w:r>
        <w:rPr>
          <w:rFonts w:hint="eastAsia" w:ascii="楷体_GB2312" w:hAnsi="仿宋" w:eastAsia="楷体_GB2312" w:cs="仿宋"/>
          <w:b w:val="0"/>
          <w:bCs w:val="0"/>
          <w:color w:val="auto"/>
          <w:sz w:val="32"/>
          <w:szCs w:val="32"/>
          <w:highlight w:val="none"/>
          <w:u w:val="none"/>
        </w:rPr>
        <w:t>投资项目研究论证</w:t>
      </w:r>
    </w:p>
    <w:p w14:paraId="7C1EE7C1">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区国有企业的投资项目决策必须经过全面、充分、严密的前期可行性研究论证工作</w:t>
      </w:r>
      <w:r>
        <w:rPr>
          <w:rFonts w:hint="eastAsia" w:hAnsi="仿宋" w:cs="仿宋"/>
          <w:b w:val="0"/>
          <w:bCs w:val="0"/>
          <w:color w:val="auto"/>
          <w:sz w:val="32"/>
          <w:szCs w:val="32"/>
          <w:highlight w:val="none"/>
          <w:u w:val="none"/>
          <w:lang w:eastAsia="zh-CN"/>
        </w:rPr>
        <w:t>，按照规范要求编制投资项目可行性研究报告</w:t>
      </w:r>
      <w:r>
        <w:rPr>
          <w:rFonts w:hint="eastAsia" w:ascii="仿宋_GB2312" w:hAnsi="仿宋" w:eastAsia="仿宋_GB2312" w:cs="仿宋"/>
          <w:b w:val="0"/>
          <w:bCs w:val="0"/>
          <w:color w:val="auto"/>
          <w:sz w:val="32"/>
          <w:szCs w:val="32"/>
          <w:highlight w:val="none"/>
          <w:u w:val="none"/>
        </w:rPr>
        <w:t>。</w:t>
      </w:r>
    </w:p>
    <w:p w14:paraId="3B361764">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可行性研究报告应当以投资项目实施的必要性、技术与经济可行性</w:t>
      </w:r>
      <w:r>
        <w:rPr>
          <w:rFonts w:hint="eastAsia" w:hAnsi="仿宋" w:cs="仿宋"/>
          <w:b w:val="0"/>
          <w:bCs w:val="0"/>
          <w:color w:val="auto"/>
          <w:sz w:val="32"/>
          <w:szCs w:val="32"/>
          <w:highlight w:val="none"/>
          <w:u w:val="none"/>
          <w:lang w:eastAsia="zh-CN"/>
        </w:rPr>
        <w:t>、</w:t>
      </w:r>
      <w:r>
        <w:rPr>
          <w:rFonts w:hint="eastAsia" w:hAnsi="仿宋" w:cs="仿宋"/>
          <w:color w:val="auto"/>
          <w:highlight w:val="none"/>
          <w:u w:val="none"/>
        </w:rPr>
        <w:t>经济效益初步预测、初步风险评估与对策、投资方案</w:t>
      </w:r>
      <w:r>
        <w:rPr>
          <w:rFonts w:hint="eastAsia" w:ascii="仿宋_GB2312" w:hAnsi="仿宋" w:eastAsia="仿宋_GB2312" w:cs="仿宋"/>
          <w:b w:val="0"/>
          <w:bCs w:val="0"/>
          <w:color w:val="auto"/>
          <w:sz w:val="32"/>
          <w:szCs w:val="32"/>
          <w:highlight w:val="none"/>
          <w:u w:val="none"/>
        </w:rPr>
        <w:t>为主要内容</w:t>
      </w:r>
      <w:r>
        <w:rPr>
          <w:rFonts w:hint="eastAsia" w:hAnsi="仿宋" w:cs="仿宋"/>
          <w:b w:val="0"/>
          <w:bCs w:val="0"/>
          <w:color w:val="auto"/>
          <w:sz w:val="32"/>
          <w:szCs w:val="32"/>
          <w:highlight w:val="none"/>
          <w:u w:val="none"/>
          <w:lang w:eastAsia="zh-CN"/>
        </w:rPr>
        <w:t>。可行性研究报告</w:t>
      </w:r>
      <w:r>
        <w:rPr>
          <w:rFonts w:hint="eastAsia" w:ascii="仿宋_GB2312" w:hAnsi="仿宋" w:eastAsia="仿宋_GB2312" w:cs="仿宋"/>
          <w:b w:val="0"/>
          <w:bCs w:val="0"/>
          <w:color w:val="auto"/>
          <w:sz w:val="32"/>
          <w:szCs w:val="32"/>
          <w:highlight w:val="none"/>
          <w:u w:val="none"/>
        </w:rPr>
        <w:t>是投资项目</w:t>
      </w:r>
      <w:r>
        <w:rPr>
          <w:rFonts w:hint="eastAsia" w:hAnsi="仿宋" w:cs="仿宋"/>
          <w:b w:val="0"/>
          <w:bCs w:val="0"/>
          <w:color w:val="auto"/>
          <w:sz w:val="32"/>
          <w:szCs w:val="32"/>
          <w:highlight w:val="none"/>
          <w:u w:val="none"/>
          <w:lang w:eastAsia="zh-CN"/>
        </w:rPr>
        <w:t>立项</w:t>
      </w:r>
      <w:r>
        <w:rPr>
          <w:rFonts w:hint="eastAsia" w:ascii="仿宋_GB2312" w:hAnsi="仿宋" w:eastAsia="仿宋_GB2312" w:cs="仿宋"/>
          <w:b w:val="0"/>
          <w:bCs w:val="0"/>
          <w:color w:val="auto"/>
          <w:sz w:val="32"/>
          <w:szCs w:val="32"/>
          <w:highlight w:val="none"/>
          <w:u w:val="none"/>
        </w:rPr>
        <w:t>决策最基本和最主要的依据。</w:t>
      </w:r>
    </w:p>
    <w:p w14:paraId="692E8C17">
      <w:pPr>
        <w:spacing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企业可自行编制或委托具有相应资质的专业中介机构编制投资项目可行性研究报告。</w:t>
      </w:r>
    </w:p>
    <w:p w14:paraId="3E0841DC">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投资项目涉及收购股权、资产或以非货币资产对外投资的，应当聘请具有相应资质的评估机构进行资产评估</w:t>
      </w:r>
      <w:r>
        <w:rPr>
          <w:rFonts w:hint="eastAsia" w:hAnsi="仿宋" w:cs="仿宋"/>
          <w:b w:val="0"/>
          <w:bCs w:val="0"/>
          <w:color w:val="auto"/>
          <w:sz w:val="32"/>
          <w:szCs w:val="32"/>
          <w:highlight w:val="none"/>
          <w:u w:val="none"/>
          <w:lang w:eastAsia="zh-CN"/>
        </w:rPr>
        <w:t>（估值）</w:t>
      </w:r>
      <w:r>
        <w:rPr>
          <w:rFonts w:hint="eastAsia" w:ascii="仿宋_GB2312" w:hAnsi="仿宋" w:eastAsia="仿宋_GB2312" w:cs="仿宋"/>
          <w:b w:val="0"/>
          <w:bCs w:val="0"/>
          <w:color w:val="auto"/>
          <w:sz w:val="32"/>
          <w:szCs w:val="32"/>
          <w:highlight w:val="none"/>
          <w:u w:val="none"/>
        </w:rPr>
        <w:t>，涉及企业股权的，还应聘请具有相应资质的</w:t>
      </w:r>
      <w:r>
        <w:rPr>
          <w:rFonts w:hint="eastAsia" w:hAnsi="仿宋" w:cs="仿宋"/>
          <w:b w:val="0"/>
          <w:bCs w:val="0"/>
          <w:color w:val="auto"/>
          <w:sz w:val="32"/>
          <w:szCs w:val="32"/>
          <w:highlight w:val="none"/>
          <w:u w:val="none"/>
          <w:lang w:eastAsia="zh-CN"/>
        </w:rPr>
        <w:t>中介机构开展必要的尽职调查。</w:t>
      </w:r>
      <w:r>
        <w:rPr>
          <w:rFonts w:hint="eastAsia" w:ascii="仿宋_GB2312" w:hAnsi="仿宋" w:eastAsia="仿宋_GB2312" w:cs="仿宋"/>
          <w:b w:val="0"/>
          <w:bCs w:val="0"/>
          <w:color w:val="auto"/>
          <w:sz w:val="32"/>
          <w:szCs w:val="32"/>
          <w:highlight w:val="none"/>
          <w:u w:val="none"/>
        </w:rPr>
        <w:t>资产评估</w:t>
      </w:r>
      <w:r>
        <w:rPr>
          <w:rFonts w:hint="eastAsia" w:hAnsi="仿宋" w:cs="仿宋"/>
          <w:b w:val="0"/>
          <w:bCs w:val="0"/>
          <w:color w:val="auto"/>
          <w:sz w:val="32"/>
          <w:szCs w:val="32"/>
          <w:highlight w:val="none"/>
          <w:u w:val="none"/>
          <w:lang w:eastAsia="zh-CN"/>
        </w:rPr>
        <w:t>（估值）</w:t>
      </w:r>
      <w:r>
        <w:rPr>
          <w:rFonts w:hint="eastAsia" w:ascii="仿宋_GB2312" w:hAnsi="仿宋" w:eastAsia="仿宋_GB2312" w:cs="仿宋"/>
          <w:b w:val="0"/>
          <w:bCs w:val="0"/>
          <w:color w:val="auto"/>
          <w:sz w:val="32"/>
          <w:szCs w:val="32"/>
          <w:highlight w:val="none"/>
          <w:u w:val="none"/>
        </w:rPr>
        <w:t>报告应当按照有关规定履行核准或备案程序，经核准或备案后的评估</w:t>
      </w:r>
      <w:r>
        <w:rPr>
          <w:rFonts w:hint="eastAsia" w:hAnsi="仿宋" w:cs="仿宋"/>
          <w:b w:val="0"/>
          <w:bCs w:val="0"/>
          <w:color w:val="auto"/>
          <w:sz w:val="32"/>
          <w:szCs w:val="32"/>
          <w:highlight w:val="none"/>
          <w:u w:val="none"/>
          <w:lang w:eastAsia="zh-CN"/>
        </w:rPr>
        <w:t>（估值）</w:t>
      </w:r>
      <w:r>
        <w:rPr>
          <w:rFonts w:hint="eastAsia" w:ascii="仿宋_GB2312" w:hAnsi="仿宋" w:eastAsia="仿宋_GB2312" w:cs="仿宋"/>
          <w:b w:val="0"/>
          <w:bCs w:val="0"/>
          <w:color w:val="auto"/>
          <w:sz w:val="32"/>
          <w:szCs w:val="32"/>
          <w:highlight w:val="none"/>
          <w:u w:val="none"/>
        </w:rPr>
        <w:t>结果作为对外投资的价值参考。</w:t>
      </w:r>
    </w:p>
    <w:p w14:paraId="24902F9B">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承担投资项目可行性研究</w:t>
      </w:r>
      <w:r>
        <w:rPr>
          <w:rFonts w:hint="eastAsia" w:hAnsi="仿宋" w:cs="仿宋"/>
          <w:b w:val="0"/>
          <w:bCs w:val="0"/>
          <w:color w:val="auto"/>
          <w:sz w:val="32"/>
          <w:szCs w:val="32"/>
          <w:highlight w:val="none"/>
          <w:u w:val="none"/>
          <w:lang w:eastAsia="zh-CN"/>
        </w:rPr>
        <w:t>论证（包括编制可行性研究报告、审计和资产评估等）以及法律咨询等前期工作的中介机构</w:t>
      </w:r>
      <w:r>
        <w:rPr>
          <w:rFonts w:hint="eastAsia" w:ascii="仿宋_GB2312" w:hAnsi="仿宋" w:eastAsia="仿宋_GB2312" w:cs="仿宋"/>
          <w:b w:val="0"/>
          <w:bCs w:val="0"/>
          <w:color w:val="auto"/>
          <w:sz w:val="32"/>
          <w:szCs w:val="32"/>
          <w:highlight w:val="none"/>
          <w:u w:val="none"/>
        </w:rPr>
        <w:t>应具备相应执业资质</w:t>
      </w:r>
      <w:r>
        <w:rPr>
          <w:rFonts w:hint="eastAsia" w:hAnsi="仿宋" w:cs="仿宋"/>
          <w:b w:val="0"/>
          <w:bCs w:val="0"/>
          <w:color w:val="auto"/>
          <w:sz w:val="32"/>
          <w:szCs w:val="32"/>
          <w:highlight w:val="none"/>
          <w:u w:val="none"/>
          <w:lang w:eastAsia="zh-CN"/>
        </w:rPr>
        <w:t>，具</w:t>
      </w:r>
      <w:r>
        <w:rPr>
          <w:rFonts w:hint="eastAsia" w:ascii="仿宋_GB2312" w:hAnsi="仿宋" w:eastAsia="仿宋_GB2312" w:cs="仿宋"/>
          <w:b w:val="0"/>
          <w:bCs w:val="0"/>
          <w:color w:val="auto"/>
          <w:sz w:val="32"/>
          <w:szCs w:val="32"/>
          <w:highlight w:val="none"/>
          <w:u w:val="none"/>
        </w:rPr>
        <w:t>有良好的执业记录。有关选聘工作应当按照公开、公平、公正的原则进行。</w:t>
      </w:r>
    </w:p>
    <w:p w14:paraId="49293E82">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企业</w:t>
      </w:r>
      <w:r>
        <w:rPr>
          <w:rFonts w:hint="eastAsia" w:hAnsi="仿宋" w:cs="仿宋"/>
          <w:b w:val="0"/>
          <w:bCs w:val="0"/>
          <w:color w:val="auto"/>
          <w:sz w:val="32"/>
          <w:szCs w:val="32"/>
          <w:highlight w:val="none"/>
          <w:u w:val="none"/>
          <w:lang w:eastAsia="zh-CN"/>
        </w:rPr>
        <w:t>报区</w:t>
      </w:r>
      <w:r>
        <w:rPr>
          <w:rFonts w:hint="default" w:hAnsi="仿宋" w:cs="仿宋"/>
          <w:b w:val="0"/>
          <w:bCs w:val="0"/>
          <w:color w:val="auto"/>
          <w:sz w:val="32"/>
          <w:szCs w:val="32"/>
          <w:highlight w:val="none"/>
          <w:u w:val="none"/>
          <w:lang w:val="en" w:eastAsia="zh-CN"/>
        </w:rPr>
        <w:t>国资监管部门</w:t>
      </w:r>
      <w:r>
        <w:rPr>
          <w:rFonts w:hint="eastAsia" w:hAnsi="仿宋" w:cs="仿宋"/>
          <w:b w:val="0"/>
          <w:bCs w:val="0"/>
          <w:color w:val="auto"/>
          <w:sz w:val="32"/>
          <w:szCs w:val="32"/>
          <w:highlight w:val="none"/>
          <w:u w:val="none"/>
          <w:lang w:eastAsia="zh-CN"/>
        </w:rPr>
        <w:t>审批立项的项目，</w:t>
      </w:r>
      <w:r>
        <w:rPr>
          <w:rFonts w:hint="eastAsia" w:ascii="仿宋_GB2312" w:hAnsi="仿宋" w:eastAsia="仿宋_GB2312" w:cs="仿宋"/>
          <w:b w:val="0"/>
          <w:bCs w:val="0"/>
          <w:color w:val="auto"/>
          <w:sz w:val="32"/>
          <w:szCs w:val="32"/>
          <w:highlight w:val="none"/>
          <w:u w:val="none"/>
        </w:rPr>
        <w:t>应当附送完备资料，主要包括：</w:t>
      </w:r>
    </w:p>
    <w:p w14:paraId="7B764718">
      <w:pPr>
        <w:spacing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（一）申请项目立项的请示。</w:t>
      </w:r>
    </w:p>
    <w:p w14:paraId="7D43A977">
      <w:pPr>
        <w:spacing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（二）项目投资方案。</w:t>
      </w:r>
    </w:p>
    <w:p w14:paraId="06F10F43">
      <w:pPr>
        <w:spacing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（三）企业履行投资立项决策的文件。</w:t>
      </w:r>
    </w:p>
    <w:p w14:paraId="745CB035">
      <w:pPr>
        <w:spacing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（四）可行性研究报告或其他决策咨询类报告。</w:t>
      </w:r>
    </w:p>
    <w:p w14:paraId="49C359EA">
      <w:pPr>
        <w:spacing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（五）专家评审意见。</w:t>
      </w:r>
    </w:p>
    <w:p w14:paraId="0DCA6464">
      <w:pPr>
        <w:spacing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（六）投资项目合法性审查意见。</w:t>
      </w:r>
    </w:p>
    <w:p w14:paraId="32B4CB91">
      <w:pPr>
        <w:spacing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（七）财务总监独立审核意见。</w:t>
      </w:r>
    </w:p>
    <w:p w14:paraId="191BC6F1">
      <w:pPr>
        <w:spacing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（八）合资、合作方情况介绍及资信证明。</w:t>
      </w:r>
    </w:p>
    <w:p w14:paraId="29622C8B">
      <w:pPr>
        <w:spacing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（九）有关政府部门批复、专业技术鉴定文件。</w:t>
      </w:r>
    </w:p>
    <w:p w14:paraId="0D3A81B4">
      <w:pPr>
        <w:numPr>
          <w:ilvl w:val="0"/>
          <w:numId w:val="0"/>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（十）区国资监管部门要求提供的其他资料。</w:t>
      </w:r>
    </w:p>
    <w:p w14:paraId="6C19D178">
      <w:pPr>
        <w:numPr>
          <w:ilvl w:val="0"/>
          <w:numId w:val="1"/>
        </w:numPr>
        <w:spacing w:line="560" w:lineRule="exact"/>
        <w:ind w:left="0" w:firstLine="640" w:firstLineChars="200"/>
        <w:rPr>
          <w:rFonts w:hint="eastAsia" w:hAnsi="仿宋" w:cs="仿宋"/>
          <w:color w:val="auto"/>
          <w:highlight w:val="none"/>
        </w:rPr>
      </w:pPr>
      <w:r>
        <w:rPr>
          <w:rFonts w:hint="eastAsia" w:hAnsi="仿宋" w:cs="仿宋"/>
          <w:color w:val="auto"/>
          <w:highlight w:val="none"/>
        </w:rPr>
        <w:t>投资项目应组织专家评审，评审的内容包括但不限于可行性研究报告及相关资产评估</w:t>
      </w:r>
      <w:r>
        <w:rPr>
          <w:rFonts w:hint="eastAsia" w:hAnsi="仿宋" w:cs="仿宋"/>
          <w:color w:val="auto"/>
          <w:highlight w:val="none"/>
          <w:lang w:eastAsia="zh-CN"/>
        </w:rPr>
        <w:t>（</w:t>
      </w:r>
      <w:r>
        <w:rPr>
          <w:rFonts w:hint="eastAsia" w:hAnsi="仿宋" w:cs="仿宋"/>
          <w:color w:val="auto"/>
          <w:highlight w:val="none"/>
          <w:lang w:val="en-US" w:eastAsia="zh-CN"/>
        </w:rPr>
        <w:t>估值）</w:t>
      </w:r>
      <w:r>
        <w:rPr>
          <w:rFonts w:hint="eastAsia" w:hAnsi="仿宋" w:cs="仿宋"/>
          <w:color w:val="auto"/>
          <w:highlight w:val="none"/>
        </w:rPr>
        <w:t>报告、法律意见书、合资合同、章程、协议等，专家评审未通过或存在重大争议的项目不得进入决策程序。专家评审工作一般由企业组织，视项目具体情况，</w:t>
      </w:r>
      <w:r>
        <w:rPr>
          <w:rFonts w:hint="eastAsia" w:hAnsi="仿宋" w:cs="仿宋"/>
          <w:color w:val="auto"/>
          <w:highlight w:val="none"/>
          <w:lang w:val="en-US" w:eastAsia="zh-CN"/>
        </w:rPr>
        <w:t>区国资监管部门</w:t>
      </w:r>
      <w:r>
        <w:rPr>
          <w:rFonts w:hint="eastAsia" w:hAnsi="仿宋" w:cs="仿宋"/>
          <w:color w:val="auto"/>
          <w:highlight w:val="none"/>
        </w:rPr>
        <w:t>可派人参与监督或直接组织。</w:t>
      </w:r>
    </w:p>
    <w:p w14:paraId="1658BC23">
      <w:pPr>
        <w:numPr>
          <w:ilvl w:val="-1"/>
          <w:numId w:val="0"/>
        </w:numPr>
        <w:spacing w:line="560" w:lineRule="exact"/>
        <w:ind w:left="0" w:leftChars="0" w:firstLine="640" w:firstLineChars="200"/>
        <w:rPr>
          <w:rFonts w:hint="eastAsia" w:hAnsi="仿宋" w:cs="仿宋"/>
          <w:color w:val="auto"/>
          <w:highlight w:val="none"/>
        </w:rPr>
      </w:pPr>
      <w:r>
        <w:rPr>
          <w:rFonts w:hint="eastAsia" w:hAnsi="仿宋" w:cs="仿宋"/>
          <w:color w:val="auto"/>
          <w:highlight w:val="none"/>
        </w:rPr>
        <w:t>专家评审按照以下要求进行：</w:t>
      </w:r>
    </w:p>
    <w:p w14:paraId="6DEA45FF">
      <w:pPr>
        <w:numPr>
          <w:ilvl w:val="-1"/>
          <w:numId w:val="0"/>
        </w:numPr>
        <w:spacing w:line="560" w:lineRule="exact"/>
        <w:ind w:left="0" w:leftChars="0" w:firstLine="640" w:firstLineChars="200"/>
        <w:rPr>
          <w:rFonts w:hint="eastAsia" w:hAnsi="仿宋" w:cs="仿宋"/>
          <w:color w:val="auto"/>
          <w:highlight w:val="none"/>
        </w:rPr>
      </w:pPr>
      <w:r>
        <w:rPr>
          <w:rFonts w:hint="eastAsia" w:hAnsi="仿宋" w:cs="仿宋"/>
          <w:color w:val="auto"/>
          <w:highlight w:val="none"/>
        </w:rPr>
        <w:t>（一）专家评审组原则上由5人以上奇数（含5人）的专家组成，包括行业技术、管理</w:t>
      </w:r>
      <w:r>
        <w:rPr>
          <w:rFonts w:hint="eastAsia" w:hAnsi="仿宋" w:cs="仿宋"/>
          <w:color w:val="auto"/>
          <w:highlight w:val="none"/>
          <w:lang w:eastAsia="zh-CN"/>
        </w:rPr>
        <w:t>、</w:t>
      </w:r>
      <w:r>
        <w:rPr>
          <w:rFonts w:hint="eastAsia" w:hAnsi="仿宋" w:cs="仿宋"/>
          <w:color w:val="auto"/>
          <w:highlight w:val="none"/>
        </w:rPr>
        <w:t>经济、财务、法律、资产评估等方面的专家；</w:t>
      </w:r>
    </w:p>
    <w:p w14:paraId="7335748B">
      <w:pPr>
        <w:numPr>
          <w:ilvl w:val="-1"/>
          <w:numId w:val="0"/>
        </w:numPr>
        <w:spacing w:line="560" w:lineRule="exact"/>
        <w:ind w:left="0" w:leftChars="0" w:firstLine="640" w:firstLineChars="200"/>
        <w:rPr>
          <w:rFonts w:hint="eastAsia" w:hAnsi="仿宋" w:cs="仿宋"/>
          <w:color w:val="auto"/>
          <w:highlight w:val="none"/>
        </w:rPr>
      </w:pPr>
      <w:r>
        <w:rPr>
          <w:rFonts w:hint="eastAsia" w:hAnsi="仿宋" w:cs="仿宋"/>
          <w:color w:val="auto"/>
          <w:highlight w:val="none"/>
        </w:rPr>
        <w:t>（二）专家评审组成员应当在有关专业领域具有较高声誉和专业素质</w:t>
      </w:r>
      <w:r>
        <w:rPr>
          <w:rFonts w:hint="eastAsia" w:hAnsi="仿宋" w:cs="仿宋"/>
          <w:color w:val="auto"/>
          <w:highlight w:val="none"/>
          <w:lang w:eastAsia="zh-CN"/>
        </w:rPr>
        <w:t>，具</w:t>
      </w:r>
      <w:r>
        <w:rPr>
          <w:rFonts w:hint="eastAsia" w:hAnsi="仿宋" w:cs="仿宋"/>
          <w:color w:val="auto"/>
          <w:highlight w:val="none"/>
        </w:rPr>
        <w:t>有长期从业资历，无不良记录。有关选聘工作按照公开、公平、公正和有利于专家独立、客观发表意见的原则进行；</w:t>
      </w:r>
    </w:p>
    <w:p w14:paraId="7D935557">
      <w:pPr>
        <w:numPr>
          <w:ilvl w:val="-1"/>
          <w:numId w:val="0"/>
        </w:numPr>
        <w:spacing w:line="560" w:lineRule="exact"/>
        <w:ind w:left="0" w:leftChars="0" w:firstLine="640" w:firstLineChars="200"/>
        <w:rPr>
          <w:rFonts w:hint="eastAsia" w:hAnsi="仿宋" w:cs="仿宋"/>
          <w:color w:val="auto"/>
          <w:highlight w:val="none"/>
        </w:rPr>
      </w:pPr>
      <w:r>
        <w:rPr>
          <w:rFonts w:hint="eastAsia" w:hAnsi="仿宋" w:cs="仿宋"/>
          <w:color w:val="auto"/>
          <w:highlight w:val="none"/>
        </w:rPr>
        <w:t>（三）参加评审的专家应当按照诚信、客观、负责的原则，对可行性研究论证涉及的本专业领域内容进行审核，书面提出具体、明确的评审意见，评审结束后由专家评审组提出综合评审意见；</w:t>
      </w:r>
    </w:p>
    <w:p w14:paraId="155B789B">
      <w:pPr>
        <w:spacing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hAnsi="仿宋" w:cs="仿宋"/>
          <w:color w:val="auto"/>
          <w:highlight w:val="none"/>
        </w:rPr>
        <w:t>（四）专家评审组以表决方式对项目进行审议，原则上三分之二以上成员同意为评审通过。对影响项目决策的技术、财务、法律、资产评估等关键性因素，相关专家提出保留意见的，应视为评审未通过。</w:t>
      </w:r>
      <w:r>
        <w:rPr>
          <w:rFonts w:hint="eastAsia" w:ascii="仿宋_GB2312" w:hAnsi="仿宋" w:eastAsia="仿宋_GB2312" w:cs="仿宋"/>
          <w:b w:val="0"/>
          <w:bCs w:val="0"/>
          <w:color w:val="auto"/>
          <w:sz w:val="32"/>
          <w:szCs w:val="32"/>
          <w:highlight w:val="none"/>
          <w:u w:val="none"/>
        </w:rPr>
        <w:t xml:space="preserve"> </w:t>
      </w:r>
    </w:p>
    <w:p w14:paraId="607877C4">
      <w:pPr>
        <w:spacing w:line="560" w:lineRule="exact"/>
        <w:ind w:firstLine="640" w:firstLineChars="200"/>
        <w:rPr>
          <w:rFonts w:hint="eastAsia" w:ascii="仿宋_GB2312" w:hAnsi="仿宋" w:eastAsia="仿宋_GB2312" w:cs="仿宋"/>
          <w:b w:val="0"/>
          <w:bCs w:val="0"/>
          <w:color w:val="auto"/>
          <w:sz w:val="32"/>
          <w:szCs w:val="32"/>
          <w:highlight w:val="none"/>
          <w:u w:val="none"/>
        </w:rPr>
      </w:pPr>
    </w:p>
    <w:p w14:paraId="5F00B3DB">
      <w:pPr>
        <w:spacing w:line="560" w:lineRule="exact"/>
        <w:jc w:val="center"/>
        <w:rPr>
          <w:rFonts w:hint="default" w:ascii="楷体_GB2312" w:hAnsi="仿宋" w:eastAsia="楷体_GB2312" w:cs="仿宋"/>
          <w:b w:val="0"/>
          <w:bCs w:val="0"/>
          <w:color w:val="auto"/>
          <w:sz w:val="32"/>
          <w:szCs w:val="32"/>
          <w:highlight w:val="none"/>
          <w:u w:val="none"/>
          <w:lang w:val="en-US" w:eastAsia="zh-CN"/>
        </w:rPr>
      </w:pPr>
      <w:r>
        <w:rPr>
          <w:rFonts w:hint="eastAsia" w:ascii="楷体_GB2312" w:hAnsi="仿宋" w:eastAsia="楷体_GB2312" w:cs="仿宋"/>
          <w:b w:val="0"/>
          <w:bCs w:val="0"/>
          <w:color w:val="auto"/>
          <w:sz w:val="32"/>
          <w:szCs w:val="32"/>
          <w:highlight w:val="none"/>
          <w:u w:val="none"/>
        </w:rPr>
        <w:t>第</w:t>
      </w:r>
      <w:r>
        <w:rPr>
          <w:rFonts w:hint="eastAsia" w:ascii="楷体_GB2312" w:hAnsi="仿宋" w:eastAsia="楷体_GB2312" w:cs="仿宋"/>
          <w:b w:val="0"/>
          <w:bCs w:val="0"/>
          <w:color w:val="auto"/>
          <w:sz w:val="32"/>
          <w:szCs w:val="32"/>
          <w:highlight w:val="none"/>
          <w:u w:val="none"/>
          <w:lang w:val="en-US" w:eastAsia="zh-CN"/>
        </w:rPr>
        <w:t>四</w:t>
      </w:r>
      <w:r>
        <w:rPr>
          <w:rFonts w:hint="eastAsia" w:ascii="楷体_GB2312" w:hAnsi="仿宋" w:eastAsia="楷体_GB2312" w:cs="仿宋"/>
          <w:b w:val="0"/>
          <w:bCs w:val="0"/>
          <w:color w:val="auto"/>
          <w:sz w:val="32"/>
          <w:szCs w:val="32"/>
          <w:highlight w:val="none"/>
          <w:u w:val="none"/>
        </w:rPr>
        <w:t>节</w:t>
      </w:r>
      <w:r>
        <w:rPr>
          <w:rFonts w:ascii="楷体_GB2312" w:hAnsi="仿宋" w:eastAsia="楷体_GB2312" w:cs="仿宋"/>
          <w:b w:val="0"/>
          <w:bCs w:val="0"/>
          <w:color w:val="auto"/>
          <w:sz w:val="32"/>
          <w:szCs w:val="32"/>
          <w:highlight w:val="none"/>
          <w:u w:val="none"/>
        </w:rPr>
        <w:t xml:space="preserve">  </w:t>
      </w:r>
      <w:r>
        <w:rPr>
          <w:rFonts w:hint="eastAsia" w:ascii="楷体_GB2312" w:hAnsi="仿宋" w:eastAsia="楷体_GB2312" w:cs="仿宋"/>
          <w:b w:val="0"/>
          <w:bCs w:val="0"/>
          <w:color w:val="auto"/>
          <w:sz w:val="32"/>
          <w:szCs w:val="32"/>
          <w:highlight w:val="none"/>
          <w:u w:val="none"/>
          <w:lang w:val="en-US" w:eastAsia="zh-CN"/>
        </w:rPr>
        <w:t>基金投资尽职免责</w:t>
      </w:r>
    </w:p>
    <w:p w14:paraId="7254B9C6">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hAnsi="仿宋" w:cs="仿宋"/>
          <w:color w:val="auto"/>
          <w:highlight w:val="none"/>
          <w:u w:val="none"/>
        </w:rPr>
        <w:t>当涉及</w:t>
      </w:r>
      <w:r>
        <w:rPr>
          <w:rFonts w:hint="eastAsia" w:hAnsi="仿宋" w:cs="仿宋"/>
          <w:color w:val="auto"/>
          <w:highlight w:val="none"/>
          <w:u w:val="none"/>
          <w:lang w:val="en-US" w:eastAsia="zh-CN"/>
        </w:rPr>
        <w:t>基金投资</w:t>
      </w:r>
      <w:r>
        <w:rPr>
          <w:rFonts w:hint="eastAsia" w:hAnsi="仿宋" w:cs="仿宋"/>
          <w:color w:val="auto"/>
          <w:highlight w:val="none"/>
          <w:u w:val="none"/>
        </w:rPr>
        <w:t>问责程序或者问责调查时，存在尽职免责情形的，可启动尽职免责认定程序或运用尽职免责认定结果并复核。</w:t>
      </w:r>
    </w:p>
    <w:p w14:paraId="6A85689B">
      <w:pPr>
        <w:numPr>
          <w:ilvl w:val="0"/>
          <w:numId w:val="1"/>
        </w:numPr>
        <w:spacing w:line="560" w:lineRule="exact"/>
        <w:ind w:left="0" w:firstLine="640" w:firstLineChars="200"/>
        <w:rPr>
          <w:rFonts w:hint="eastAsia" w:hAnsi="仿宋" w:cs="仿宋"/>
          <w:color w:val="auto"/>
          <w:highlight w:val="none"/>
          <w:u w:val="none"/>
        </w:rPr>
      </w:pPr>
      <w:r>
        <w:rPr>
          <w:rFonts w:hint="eastAsia" w:hAnsi="仿宋" w:cs="仿宋"/>
          <w:color w:val="auto"/>
          <w:highlight w:val="none"/>
          <w:u w:val="none"/>
        </w:rPr>
        <w:t>基金投资尽职免责应同时符合以下条件：</w:t>
      </w:r>
    </w:p>
    <w:p w14:paraId="76921902">
      <w:pPr>
        <w:numPr>
          <w:ilvl w:val="-1"/>
          <w:numId w:val="0"/>
        </w:numPr>
        <w:spacing w:line="560" w:lineRule="exact"/>
        <w:ind w:left="640" w:leftChars="200" w:firstLine="0" w:firstLineChars="0"/>
        <w:rPr>
          <w:rFonts w:hint="eastAsia" w:hAnsi="仿宋" w:cs="仿宋"/>
          <w:color w:val="auto"/>
          <w:highlight w:val="none"/>
          <w:u w:val="none"/>
        </w:rPr>
      </w:pPr>
      <w:r>
        <w:rPr>
          <w:rFonts w:hint="eastAsia" w:hAnsi="仿宋" w:cs="仿宋"/>
          <w:color w:val="auto"/>
          <w:highlight w:val="none"/>
          <w:u w:val="none"/>
        </w:rPr>
        <w:t>（一）投向符合基金功能定位、投资策略和章程约定。</w:t>
      </w:r>
    </w:p>
    <w:p w14:paraId="4827F1E9">
      <w:pPr>
        <w:numPr>
          <w:ilvl w:val="-1"/>
          <w:numId w:val="0"/>
        </w:numPr>
        <w:spacing w:line="560" w:lineRule="exact"/>
        <w:ind w:left="640" w:leftChars="200" w:firstLine="0" w:firstLineChars="0"/>
        <w:rPr>
          <w:rFonts w:hint="eastAsia" w:hAnsi="仿宋" w:cs="仿宋"/>
          <w:color w:val="auto"/>
          <w:highlight w:val="none"/>
          <w:u w:val="none"/>
        </w:rPr>
      </w:pPr>
      <w:r>
        <w:rPr>
          <w:rFonts w:hint="eastAsia" w:hAnsi="仿宋" w:cs="仿宋"/>
          <w:color w:val="auto"/>
          <w:highlight w:val="none"/>
          <w:u w:val="none"/>
        </w:rPr>
        <w:t>（二）已建立包括考核评价等激励约束机制。</w:t>
      </w:r>
    </w:p>
    <w:p w14:paraId="1E81A325">
      <w:pPr>
        <w:numPr>
          <w:ilvl w:val="-1"/>
          <w:numId w:val="0"/>
        </w:numPr>
        <w:spacing w:line="560" w:lineRule="exact"/>
        <w:ind w:left="0" w:leftChars="0" w:firstLine="640" w:firstLineChars="200"/>
        <w:rPr>
          <w:rFonts w:hint="eastAsia" w:hAnsi="仿宋" w:cs="仿宋"/>
          <w:color w:val="auto"/>
          <w:highlight w:val="none"/>
          <w:u w:val="none"/>
        </w:rPr>
      </w:pPr>
      <w:r>
        <w:rPr>
          <w:rFonts w:hint="eastAsia" w:hAnsi="仿宋" w:cs="仿宋"/>
          <w:color w:val="auto"/>
          <w:highlight w:val="none"/>
          <w:u w:val="none"/>
        </w:rPr>
        <w:t>（三）开展基金业务过程中勤勉尽职；尽职调查、投资决策、投后管理等符合相关规定；出现损失或风险，按相关制度规定采取必要的风险应对措施，主动止损减损。</w:t>
      </w:r>
    </w:p>
    <w:p w14:paraId="24C49B96">
      <w:pPr>
        <w:numPr>
          <w:ilvl w:val="-1"/>
          <w:numId w:val="0"/>
        </w:numPr>
        <w:spacing w:line="560" w:lineRule="exact"/>
        <w:ind w:left="0" w:leftChars="0" w:firstLine="640" w:firstLineChars="200"/>
        <w:rPr>
          <w:rFonts w:hint="eastAsia" w:ascii="仿宋_GB2312" w:hAnsi="仿宋" w:eastAsia="仿宋_GB2312" w:cs="仿宋"/>
          <w:b w:val="0"/>
          <w:bCs w:val="0"/>
          <w:color w:val="auto"/>
          <w:sz w:val="32"/>
          <w:szCs w:val="32"/>
          <w:highlight w:val="none"/>
          <w:u w:val="none"/>
          <w:lang w:eastAsia="zh-CN"/>
        </w:rPr>
      </w:pPr>
      <w:r>
        <w:rPr>
          <w:rFonts w:hint="eastAsia" w:hAnsi="仿宋" w:cs="仿宋"/>
          <w:color w:val="auto"/>
          <w:highlight w:val="none"/>
          <w:u w:val="none"/>
        </w:rPr>
        <w:t>（四）未违反法律法规以及国家和</w:t>
      </w:r>
      <w:r>
        <w:rPr>
          <w:rFonts w:hint="eastAsia" w:hAnsi="仿宋" w:cs="仿宋"/>
          <w:color w:val="auto"/>
          <w:highlight w:val="none"/>
          <w:u w:val="none"/>
          <w:lang w:val="en-US" w:eastAsia="zh-CN"/>
        </w:rPr>
        <w:t>本</w:t>
      </w:r>
      <w:r>
        <w:rPr>
          <w:rFonts w:hint="eastAsia" w:hAnsi="仿宋" w:cs="仿宋"/>
          <w:color w:val="auto"/>
          <w:highlight w:val="none"/>
          <w:u w:val="none"/>
          <w:lang w:eastAsia="zh-CN"/>
        </w:rPr>
        <w:t>省、</w:t>
      </w:r>
      <w:r>
        <w:rPr>
          <w:rFonts w:hint="eastAsia" w:hAnsi="仿宋" w:cs="仿宋"/>
          <w:color w:val="auto"/>
          <w:highlight w:val="none"/>
          <w:u w:val="none"/>
        </w:rPr>
        <w:t>市</w:t>
      </w:r>
      <w:r>
        <w:rPr>
          <w:rFonts w:hint="eastAsia" w:hAnsi="仿宋" w:cs="仿宋"/>
          <w:color w:val="auto"/>
          <w:highlight w:val="none"/>
          <w:u w:val="none"/>
          <w:lang w:eastAsia="zh-CN"/>
        </w:rPr>
        <w:t>、区</w:t>
      </w:r>
      <w:r>
        <w:rPr>
          <w:rFonts w:hint="eastAsia" w:hAnsi="仿宋" w:cs="仿宋"/>
          <w:color w:val="auto"/>
          <w:highlight w:val="none"/>
          <w:u w:val="none"/>
        </w:rPr>
        <w:t>相关制度，且在开展基金业务过程中未谋私利，不存在弄虚作假、徇私舞弊、滥用职权、利益输送</w:t>
      </w:r>
      <w:r>
        <w:rPr>
          <w:rFonts w:hint="eastAsia" w:hAnsi="仿宋" w:cs="仿宋"/>
          <w:color w:val="auto"/>
          <w:highlight w:val="none"/>
          <w:u w:val="none"/>
          <w:lang w:eastAsia="zh-CN"/>
        </w:rPr>
        <w:t>。</w:t>
      </w:r>
    </w:p>
    <w:p w14:paraId="0B5B3A57">
      <w:pPr>
        <w:numPr>
          <w:ilvl w:val="0"/>
          <w:numId w:val="1"/>
        </w:numPr>
        <w:spacing w:line="560" w:lineRule="exact"/>
        <w:ind w:left="0" w:firstLine="640" w:firstLineChars="200"/>
        <w:rPr>
          <w:rFonts w:hint="eastAsia" w:hAnsi="仿宋" w:cs="仿宋"/>
          <w:color w:val="auto"/>
          <w:highlight w:val="none"/>
          <w:u w:val="none"/>
        </w:rPr>
      </w:pPr>
      <w:r>
        <w:rPr>
          <w:rFonts w:hint="eastAsia" w:hAnsi="仿宋" w:cs="仿宋"/>
          <w:color w:val="auto"/>
          <w:highlight w:val="none"/>
          <w:u w:val="none"/>
        </w:rPr>
        <w:t>对于满足第</w:t>
      </w:r>
      <w:r>
        <w:rPr>
          <w:rFonts w:hint="eastAsia" w:hAnsi="仿宋" w:cs="仿宋"/>
          <w:color w:val="auto"/>
          <w:highlight w:val="none"/>
          <w:u w:val="none"/>
          <w:lang w:val="en-US" w:eastAsia="zh-CN"/>
        </w:rPr>
        <w:t>二十五</w:t>
      </w:r>
      <w:r>
        <w:rPr>
          <w:rFonts w:hint="eastAsia" w:hAnsi="仿宋" w:cs="仿宋"/>
          <w:color w:val="auto"/>
          <w:highlight w:val="none"/>
          <w:u w:val="none"/>
        </w:rPr>
        <w:t>条所列条件，出现以下情形的，原则上可适用尽职免责：</w:t>
      </w:r>
    </w:p>
    <w:p w14:paraId="0209E71E">
      <w:pPr>
        <w:numPr>
          <w:ilvl w:val="-1"/>
          <w:numId w:val="0"/>
        </w:numPr>
        <w:spacing w:line="560" w:lineRule="exact"/>
        <w:ind w:left="0" w:leftChars="0" w:firstLine="640" w:firstLineChars="200"/>
        <w:rPr>
          <w:rFonts w:hint="eastAsia" w:hAnsi="仿宋" w:cs="仿宋"/>
          <w:color w:val="auto"/>
          <w:highlight w:val="none"/>
          <w:u w:val="none"/>
        </w:rPr>
      </w:pPr>
      <w:r>
        <w:rPr>
          <w:rFonts w:hint="eastAsia" w:hAnsi="仿宋" w:cs="仿宋"/>
          <w:color w:val="auto"/>
          <w:highlight w:val="none"/>
          <w:u w:val="none"/>
        </w:rPr>
        <w:t>（一）基金效益良好或完成整体目标，没有造成重大损失和严重不良影响，但少数项目出现风险或损失。</w:t>
      </w:r>
    </w:p>
    <w:p w14:paraId="6E2B322E">
      <w:pPr>
        <w:numPr>
          <w:ilvl w:val="-1"/>
          <w:numId w:val="0"/>
        </w:numPr>
        <w:spacing w:line="560" w:lineRule="exact"/>
        <w:ind w:left="0" w:leftChars="0" w:firstLine="640" w:firstLineChars="200"/>
        <w:rPr>
          <w:rFonts w:hint="eastAsia" w:hAnsi="仿宋" w:cs="仿宋"/>
          <w:color w:val="auto"/>
          <w:highlight w:val="none"/>
          <w:u w:val="none"/>
        </w:rPr>
      </w:pPr>
      <w:r>
        <w:rPr>
          <w:rFonts w:hint="eastAsia" w:hAnsi="仿宋" w:cs="仿宋"/>
          <w:color w:val="auto"/>
          <w:highlight w:val="none"/>
          <w:u w:val="none"/>
        </w:rPr>
        <w:t>（二）落实</w:t>
      </w:r>
      <w:r>
        <w:rPr>
          <w:rFonts w:hint="eastAsia" w:hAnsi="仿宋" w:cs="仿宋"/>
          <w:color w:val="auto"/>
          <w:highlight w:val="none"/>
          <w:u w:val="none"/>
          <w:lang w:val="en-US" w:eastAsia="zh-CN"/>
        </w:rPr>
        <w:t>市或区</w:t>
      </w:r>
      <w:r>
        <w:rPr>
          <w:rFonts w:hint="eastAsia" w:hAnsi="仿宋" w:cs="仿宋"/>
          <w:color w:val="auto"/>
          <w:highlight w:val="none"/>
          <w:u w:val="none"/>
        </w:rPr>
        <w:t>重大战略项目，按照相关要求推进，完成功能作用和战略任务，出现风险或损失。</w:t>
      </w:r>
    </w:p>
    <w:p w14:paraId="3136ADCA">
      <w:pPr>
        <w:numPr>
          <w:ilvl w:val="-1"/>
          <w:numId w:val="0"/>
        </w:numPr>
        <w:spacing w:line="560" w:lineRule="exact"/>
        <w:ind w:left="0" w:leftChars="0" w:firstLine="640" w:firstLineChars="200"/>
        <w:rPr>
          <w:rFonts w:hint="eastAsia" w:hAnsi="仿宋" w:cs="仿宋"/>
          <w:color w:val="auto"/>
          <w:highlight w:val="none"/>
          <w:u w:val="none"/>
        </w:rPr>
      </w:pPr>
      <w:r>
        <w:rPr>
          <w:rFonts w:hint="eastAsia" w:hAnsi="仿宋" w:cs="仿宋"/>
          <w:color w:val="auto"/>
          <w:highlight w:val="none"/>
          <w:u w:val="none"/>
        </w:rPr>
        <w:t>（三）尚处于技术研发阶段或承担备选技术路线的项目，出现风险或损失。</w:t>
      </w:r>
    </w:p>
    <w:p w14:paraId="2DD0E56A">
      <w:pPr>
        <w:numPr>
          <w:ilvl w:val="-1"/>
          <w:numId w:val="0"/>
        </w:numPr>
        <w:spacing w:line="560" w:lineRule="exact"/>
        <w:ind w:left="0" w:leftChars="0" w:firstLine="640" w:firstLineChars="200"/>
        <w:rPr>
          <w:rFonts w:hint="eastAsia" w:hAnsi="仿宋" w:cs="仿宋"/>
          <w:color w:val="auto"/>
          <w:highlight w:val="none"/>
          <w:u w:val="none"/>
        </w:rPr>
      </w:pPr>
      <w:r>
        <w:rPr>
          <w:rFonts w:hint="eastAsia" w:hAnsi="仿宋" w:cs="仿宋"/>
          <w:color w:val="auto"/>
          <w:highlight w:val="none"/>
          <w:u w:val="none"/>
        </w:rPr>
        <w:t>（四）因国内外政策环境、技术规则重大变化，出现风险或损失。</w:t>
      </w:r>
    </w:p>
    <w:p w14:paraId="01B02C79">
      <w:pPr>
        <w:numPr>
          <w:ilvl w:val="-1"/>
          <w:numId w:val="0"/>
        </w:numPr>
        <w:spacing w:line="560" w:lineRule="exact"/>
        <w:ind w:left="0" w:leftChars="0" w:firstLine="640" w:firstLineChars="200"/>
        <w:rPr>
          <w:rFonts w:hint="eastAsia" w:hAnsi="仿宋" w:cs="仿宋"/>
          <w:color w:val="auto"/>
          <w:highlight w:val="none"/>
          <w:u w:val="none"/>
        </w:rPr>
      </w:pPr>
      <w:r>
        <w:rPr>
          <w:rFonts w:hint="eastAsia" w:hAnsi="仿宋" w:cs="仿宋"/>
          <w:color w:val="auto"/>
          <w:highlight w:val="none"/>
          <w:u w:val="none"/>
        </w:rPr>
        <w:t>（五）因不可抗力因素导致风险或损失。</w:t>
      </w:r>
    </w:p>
    <w:p w14:paraId="3265177D">
      <w:pPr>
        <w:numPr>
          <w:ilvl w:val="-1"/>
          <w:numId w:val="0"/>
        </w:numPr>
        <w:spacing w:line="560" w:lineRule="exact"/>
        <w:ind w:left="0" w:leftChars="0" w:firstLine="640" w:firstLineChars="200"/>
        <w:rPr>
          <w:rFonts w:ascii="仿宋_GB2312" w:hAnsi="仿宋" w:eastAsia="仿宋_GB2312" w:cs="仿宋"/>
          <w:b w:val="0"/>
          <w:bCs w:val="0"/>
          <w:color w:val="auto"/>
          <w:sz w:val="32"/>
          <w:szCs w:val="32"/>
          <w:highlight w:val="none"/>
          <w:u w:val="none"/>
        </w:rPr>
      </w:pPr>
      <w:r>
        <w:rPr>
          <w:rFonts w:hint="eastAsia" w:hAnsi="仿宋" w:cs="仿宋"/>
          <w:color w:val="auto"/>
          <w:highlight w:val="none"/>
          <w:u w:val="none"/>
        </w:rPr>
        <w:t>符合其他法律法规规定的可以从轻、减轻或者免予追责问责情形的，按相关规定办理</w:t>
      </w:r>
      <w:r>
        <w:rPr>
          <w:rFonts w:hint="eastAsia" w:ascii="仿宋_GB2312" w:hAnsi="仿宋" w:eastAsia="仿宋_GB2312" w:cs="仿宋"/>
          <w:b w:val="0"/>
          <w:bCs w:val="0"/>
          <w:color w:val="auto"/>
          <w:sz w:val="32"/>
          <w:szCs w:val="32"/>
          <w:highlight w:val="none"/>
          <w:u w:val="none"/>
        </w:rPr>
        <w:t>。</w:t>
      </w:r>
    </w:p>
    <w:p w14:paraId="5FC1A79B">
      <w:pPr>
        <w:pStyle w:val="10"/>
        <w:spacing w:line="560" w:lineRule="exact"/>
        <w:rPr>
          <w:rFonts w:hint="eastAsia"/>
          <w:highlight w:val="none"/>
        </w:rPr>
      </w:pPr>
    </w:p>
    <w:p w14:paraId="34C08493">
      <w:pPr>
        <w:spacing w:line="560" w:lineRule="exact"/>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w:t>
      </w:r>
      <w:r>
        <w:rPr>
          <w:rFonts w:hint="eastAsia" w:ascii="黑体" w:hAnsi="黑体" w:eastAsia="黑体" w:cs="仿宋"/>
          <w:b w:val="0"/>
          <w:bCs w:val="0"/>
          <w:color w:val="auto"/>
          <w:sz w:val="32"/>
          <w:szCs w:val="32"/>
          <w:highlight w:val="none"/>
          <w:u w:val="none"/>
          <w:lang w:eastAsia="zh-CN"/>
        </w:rPr>
        <w:t>三</w:t>
      </w:r>
      <w:r>
        <w:rPr>
          <w:rFonts w:hint="eastAsia" w:ascii="黑体" w:hAnsi="黑体" w:eastAsia="黑体" w:cs="仿宋"/>
          <w:b w:val="0"/>
          <w:bCs w:val="0"/>
          <w:color w:val="auto"/>
          <w:sz w:val="32"/>
          <w:szCs w:val="32"/>
          <w:highlight w:val="none"/>
          <w:u w:val="none"/>
        </w:rPr>
        <w:t>章</w:t>
      </w:r>
      <w:r>
        <w:rPr>
          <w:rFonts w:ascii="黑体" w:hAnsi="黑体" w:eastAsia="黑体" w:cs="仿宋"/>
          <w:b w:val="0"/>
          <w:bCs w:val="0"/>
          <w:color w:val="auto"/>
          <w:sz w:val="32"/>
          <w:szCs w:val="32"/>
          <w:highlight w:val="none"/>
          <w:u w:val="none"/>
        </w:rPr>
        <w:t xml:space="preserve">  </w:t>
      </w:r>
      <w:r>
        <w:rPr>
          <w:rFonts w:hint="eastAsia" w:ascii="黑体" w:hAnsi="黑体" w:eastAsia="黑体" w:cs="仿宋"/>
          <w:b w:val="0"/>
          <w:bCs w:val="0"/>
          <w:color w:val="auto"/>
          <w:sz w:val="32"/>
          <w:szCs w:val="32"/>
          <w:highlight w:val="none"/>
          <w:u w:val="none"/>
        </w:rPr>
        <w:t>国有企业融资担保管理</w:t>
      </w:r>
    </w:p>
    <w:p w14:paraId="6C99D06B">
      <w:pPr>
        <w:spacing w:line="560" w:lineRule="exact"/>
        <w:jc w:val="center"/>
        <w:rPr>
          <w:rFonts w:ascii="楷体_GB2312" w:hAnsi="仿宋" w:eastAsia="楷体_GB2312" w:cs="仿宋"/>
          <w:b w:val="0"/>
          <w:bCs w:val="0"/>
          <w:color w:val="auto"/>
          <w:sz w:val="32"/>
          <w:szCs w:val="32"/>
          <w:highlight w:val="none"/>
          <w:u w:val="none"/>
        </w:rPr>
      </w:pPr>
      <w:r>
        <w:rPr>
          <w:rFonts w:hint="eastAsia" w:ascii="楷体_GB2312" w:hAnsi="仿宋" w:eastAsia="楷体_GB2312" w:cs="仿宋"/>
          <w:b w:val="0"/>
          <w:bCs w:val="0"/>
          <w:color w:val="auto"/>
          <w:sz w:val="32"/>
          <w:szCs w:val="32"/>
          <w:highlight w:val="none"/>
          <w:u w:val="none"/>
        </w:rPr>
        <w:t>第一节</w:t>
      </w:r>
      <w:r>
        <w:rPr>
          <w:rFonts w:ascii="楷体_GB2312" w:hAnsi="仿宋" w:eastAsia="楷体_GB2312" w:cs="仿宋"/>
          <w:b w:val="0"/>
          <w:bCs w:val="0"/>
          <w:color w:val="auto"/>
          <w:sz w:val="32"/>
          <w:szCs w:val="32"/>
          <w:highlight w:val="none"/>
          <w:u w:val="none"/>
        </w:rPr>
        <w:t xml:space="preserve">  </w:t>
      </w:r>
      <w:r>
        <w:rPr>
          <w:rFonts w:hint="eastAsia" w:ascii="楷体_GB2312" w:hAnsi="仿宋" w:eastAsia="楷体_GB2312" w:cs="仿宋"/>
          <w:b w:val="0"/>
          <w:bCs w:val="0"/>
          <w:color w:val="auto"/>
          <w:sz w:val="32"/>
          <w:szCs w:val="32"/>
          <w:highlight w:val="none"/>
          <w:u w:val="none"/>
        </w:rPr>
        <w:t>国有企业融资</w:t>
      </w:r>
    </w:p>
    <w:p w14:paraId="46410876">
      <w:pPr>
        <w:keepNext w:val="0"/>
        <w:keepLines w:val="0"/>
        <w:pageBreakBefore w:val="0"/>
        <w:numPr>
          <w:ilvl w:val="0"/>
          <w:numId w:val="1"/>
        </w:numPr>
        <w:kinsoku/>
        <w:wordWrap/>
        <w:overflowPunct/>
        <w:topLinePunct w:val="0"/>
        <w:bidi w:val="0"/>
        <w:spacing w:line="560" w:lineRule="exact"/>
        <w:ind w:left="0" w:firstLine="640" w:firstLineChars="200"/>
        <w:textAlignment w:val="auto"/>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区国有企业应根据企业经营发展需要制定企业年度融资计划，年度内的融资按计划执行，原则上不得超出年度融资计划进行融资</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区政府决定的融资项目，按照区政府的相关决策文件办理。</w:t>
      </w:r>
    </w:p>
    <w:p w14:paraId="3AD22023">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区国有企业向金融机构贷款</w:t>
      </w:r>
      <w:r>
        <w:rPr>
          <w:rFonts w:hint="eastAsia" w:hAnsi="仿宋" w:cs="仿宋"/>
          <w:b w:val="0"/>
          <w:bCs w:val="0"/>
          <w:color w:val="auto"/>
          <w:sz w:val="32"/>
          <w:szCs w:val="32"/>
          <w:highlight w:val="none"/>
          <w:u w:val="none"/>
          <w:lang w:eastAsia="zh-CN"/>
        </w:rPr>
        <w:t>、发行债券或</w:t>
      </w:r>
      <w:r>
        <w:rPr>
          <w:rFonts w:hint="eastAsia" w:hAnsi="仿宋" w:cs="仿宋"/>
          <w:b w:val="0"/>
          <w:bCs w:val="0"/>
          <w:color w:val="auto"/>
          <w:sz w:val="32"/>
          <w:szCs w:val="32"/>
          <w:highlight w:val="none"/>
          <w:u w:val="none"/>
          <w:lang w:val="en-US" w:eastAsia="zh-CN"/>
        </w:rPr>
        <w:t>Reits</w:t>
      </w:r>
      <w:r>
        <w:rPr>
          <w:rFonts w:hint="eastAsia" w:hAnsi="仿宋" w:cs="仿宋"/>
          <w:b w:val="0"/>
          <w:bCs w:val="0"/>
          <w:color w:val="auto"/>
          <w:sz w:val="32"/>
          <w:szCs w:val="32"/>
          <w:highlight w:val="none"/>
          <w:u w:val="none"/>
          <w:lang w:eastAsia="zh-CN"/>
        </w:rPr>
        <w:t>，以及</w:t>
      </w:r>
      <w:r>
        <w:rPr>
          <w:rFonts w:hint="eastAsia" w:ascii="仿宋_GB2312" w:hAnsi="仿宋" w:eastAsia="仿宋_GB2312" w:cs="仿宋"/>
          <w:b w:val="0"/>
          <w:bCs w:val="0"/>
          <w:color w:val="auto"/>
          <w:sz w:val="32"/>
          <w:szCs w:val="32"/>
          <w:highlight w:val="none"/>
          <w:u w:val="none"/>
        </w:rPr>
        <w:t>具有产权关系的直管企业与所属企业、直管企业内部各所属企业之间的融资事项，由直管企业负责审定。</w:t>
      </w:r>
    </w:p>
    <w:p w14:paraId="31D2271E">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未经区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审批，区国有企业不得向无产权关系的企业、社会组织及个人等进行借贷行为。</w:t>
      </w:r>
    </w:p>
    <w:p w14:paraId="3E2956BE">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直管企业负责制定、审查企业融资计划或方案，主要审查以下内容：</w:t>
      </w:r>
    </w:p>
    <w:p w14:paraId="1488B2F7">
      <w:pPr>
        <w:numPr>
          <w:ilvl w:val="0"/>
          <w:numId w:val="2"/>
        </w:num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融资企业的生产经营规模、资产负债水平及企业盈利能力。</w:t>
      </w:r>
    </w:p>
    <w:p w14:paraId="2C02D322">
      <w:pPr>
        <w:numPr>
          <w:ilvl w:val="0"/>
          <w:numId w:val="2"/>
        </w:num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融资资金用途、偿还计划及资金来源。</w:t>
      </w:r>
    </w:p>
    <w:p w14:paraId="6C56B335">
      <w:pPr>
        <w:spacing w:line="560" w:lineRule="exact"/>
        <w:rPr>
          <w:rFonts w:ascii="仿宋_GB2312" w:hAnsi="仿宋" w:eastAsia="仿宋_GB2312" w:cs="仿宋"/>
          <w:b w:val="0"/>
          <w:bCs w:val="0"/>
          <w:color w:val="auto"/>
          <w:sz w:val="32"/>
          <w:szCs w:val="32"/>
          <w:highlight w:val="none"/>
          <w:u w:val="none"/>
        </w:rPr>
      </w:pPr>
      <w:r>
        <w:rPr>
          <w:rFonts w:ascii="仿宋_GB2312" w:hAnsi="仿宋" w:eastAsia="仿宋_GB2312" w:cs="仿宋"/>
          <w:b w:val="0"/>
          <w:bCs w:val="0"/>
          <w:color w:val="auto"/>
          <w:sz w:val="32"/>
          <w:szCs w:val="32"/>
          <w:highlight w:val="none"/>
          <w:u w:val="none"/>
        </w:rPr>
        <w:t xml:space="preserve">    </w:t>
      </w:r>
      <w:r>
        <w:rPr>
          <w:rFonts w:hint="eastAsia" w:ascii="仿宋_GB2312" w:hAnsi="仿宋" w:eastAsia="仿宋_GB2312" w:cs="仿宋"/>
          <w:b w:val="0"/>
          <w:bCs w:val="0"/>
          <w:color w:val="auto"/>
          <w:sz w:val="32"/>
          <w:szCs w:val="32"/>
          <w:highlight w:val="none"/>
          <w:u w:val="none"/>
        </w:rPr>
        <w:t>（三）融资资金所投项目的可行性研究报告。</w:t>
      </w:r>
    </w:p>
    <w:p w14:paraId="6D357268">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（四）企业现有债务的规模、偿还期限、有无挤占挪用贷款资金、逃废银行债务等不良信用记录。</w:t>
      </w:r>
    </w:p>
    <w:p w14:paraId="4235928A">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（五）区直管企业认为需要审查的其他内容。</w:t>
      </w:r>
    </w:p>
    <w:p w14:paraId="6CF4F678">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直管企业审定的融资计划或方案，应在</w:t>
      </w:r>
      <w:r>
        <w:rPr>
          <w:rFonts w:hint="eastAsia" w:hAnsi="仿宋" w:cs="仿宋"/>
          <w:b w:val="0"/>
          <w:bCs w:val="0"/>
          <w:color w:val="auto"/>
          <w:sz w:val="32"/>
          <w:szCs w:val="32"/>
          <w:highlight w:val="none"/>
          <w:u w:val="none"/>
          <w:lang w:eastAsia="zh-CN"/>
        </w:rPr>
        <w:t>企业提款</w:t>
      </w:r>
      <w:r>
        <w:rPr>
          <w:rFonts w:hint="eastAsia" w:ascii="仿宋_GB2312" w:hAnsi="仿宋" w:eastAsia="仿宋_GB2312" w:cs="仿宋"/>
          <w:b w:val="0"/>
          <w:bCs w:val="0"/>
          <w:color w:val="auto"/>
          <w:sz w:val="32"/>
          <w:szCs w:val="32"/>
          <w:highlight w:val="none"/>
          <w:u w:val="none"/>
        </w:rPr>
        <w:t>后五个工作日内将相应的决策文件和审查资料报送区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备案。</w:t>
      </w:r>
    </w:p>
    <w:p w14:paraId="470AD07F">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直管企业应控制本企业及所属企业的融资规模，防范融资风险，原则上企业整体资产负债率不应超过</w:t>
      </w:r>
      <w:r>
        <w:rPr>
          <w:rFonts w:hint="eastAsia" w:ascii="仿宋_GB2312" w:hAnsi="仿宋" w:eastAsia="仿宋_GB2312" w:cs="仿宋"/>
          <w:b w:val="0"/>
          <w:bCs w:val="0"/>
          <w:color w:val="auto"/>
          <w:sz w:val="32"/>
          <w:szCs w:val="32"/>
          <w:highlight w:val="none"/>
          <w:u w:val="none"/>
          <w:lang w:val="en-US" w:eastAsia="zh-CN"/>
        </w:rPr>
        <w:t>70</w:t>
      </w:r>
      <w:r>
        <w:rPr>
          <w:rFonts w:hint="eastAsia" w:ascii="仿宋_GB2312" w:hAnsi="仿宋" w:eastAsia="仿宋_GB2312" w:cs="仿宋"/>
          <w:b w:val="0"/>
          <w:bCs w:val="0"/>
          <w:color w:val="auto"/>
          <w:sz w:val="32"/>
          <w:szCs w:val="32"/>
          <w:highlight w:val="none"/>
          <w:u w:val="none"/>
        </w:rPr>
        <w:t>%</w:t>
      </w: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对于特殊原因需要</w:t>
      </w:r>
      <w:r>
        <w:rPr>
          <w:rFonts w:hint="eastAsia" w:ascii="仿宋_GB2312" w:hAnsi="仿宋" w:eastAsia="仿宋_GB2312" w:cs="仿宋"/>
          <w:b w:val="0"/>
          <w:bCs w:val="0"/>
          <w:color w:val="auto"/>
          <w:sz w:val="32"/>
          <w:szCs w:val="32"/>
          <w:highlight w:val="none"/>
          <w:u w:val="none"/>
          <w:lang w:val="en-US" w:eastAsia="zh-CN"/>
        </w:rPr>
        <w:t>超过</w:t>
      </w:r>
      <w:r>
        <w:rPr>
          <w:rFonts w:hint="eastAsia" w:ascii="仿宋_GB2312" w:hAnsi="仿宋" w:eastAsia="仿宋_GB2312" w:cs="仿宋"/>
          <w:b w:val="0"/>
          <w:bCs w:val="0"/>
          <w:color w:val="auto"/>
          <w:sz w:val="32"/>
          <w:szCs w:val="32"/>
          <w:highlight w:val="none"/>
          <w:u w:val="none"/>
        </w:rPr>
        <w:t>的，</w:t>
      </w:r>
      <w:r>
        <w:rPr>
          <w:rFonts w:hint="eastAsia" w:ascii="仿宋_GB2312" w:hAnsi="仿宋" w:eastAsia="仿宋_GB2312" w:cs="仿宋"/>
          <w:b w:val="0"/>
          <w:bCs w:val="0"/>
          <w:color w:val="auto"/>
          <w:sz w:val="32"/>
          <w:szCs w:val="32"/>
          <w:highlight w:val="none"/>
          <w:u w:val="none"/>
          <w:lang w:val="en-US" w:eastAsia="zh-CN"/>
        </w:rPr>
        <w:t>需</w:t>
      </w:r>
      <w:r>
        <w:rPr>
          <w:rFonts w:hint="eastAsia" w:ascii="仿宋_GB2312" w:hAnsi="仿宋" w:eastAsia="仿宋_GB2312" w:cs="仿宋"/>
          <w:b w:val="0"/>
          <w:bCs w:val="0"/>
          <w:color w:val="auto"/>
          <w:sz w:val="32"/>
          <w:szCs w:val="32"/>
          <w:highlight w:val="none"/>
          <w:u w:val="none"/>
        </w:rPr>
        <w:t>经区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审核后报</w:t>
      </w:r>
      <w:r>
        <w:rPr>
          <w:rFonts w:hint="eastAsia" w:ascii="仿宋_GB2312" w:hAnsi="仿宋" w:eastAsia="仿宋_GB2312" w:cs="仿宋"/>
          <w:b w:val="0"/>
          <w:bCs w:val="0"/>
          <w:color w:val="auto"/>
          <w:sz w:val="32"/>
          <w:szCs w:val="32"/>
          <w:highlight w:val="none"/>
          <w:u w:val="none"/>
          <w:lang w:eastAsia="zh-CN"/>
        </w:rPr>
        <w:t>分管国资</w:t>
      </w:r>
      <w:r>
        <w:rPr>
          <w:rFonts w:hint="eastAsia" w:ascii="仿宋_GB2312" w:hAnsi="仿宋" w:eastAsia="仿宋_GB2312" w:cs="仿宋"/>
          <w:b w:val="0"/>
          <w:bCs w:val="0"/>
          <w:color w:val="auto"/>
          <w:sz w:val="32"/>
          <w:szCs w:val="32"/>
          <w:highlight w:val="none"/>
          <w:u w:val="none"/>
          <w:lang w:val="en-US" w:eastAsia="zh-CN"/>
        </w:rPr>
        <w:t>国企</w:t>
      </w:r>
      <w:r>
        <w:rPr>
          <w:rFonts w:hint="eastAsia" w:ascii="仿宋_GB2312" w:hAnsi="仿宋" w:eastAsia="仿宋_GB2312" w:cs="仿宋"/>
          <w:b w:val="0"/>
          <w:bCs w:val="0"/>
          <w:color w:val="auto"/>
          <w:sz w:val="32"/>
          <w:szCs w:val="32"/>
          <w:highlight w:val="none"/>
          <w:u w:val="none"/>
          <w:lang w:eastAsia="zh-CN"/>
        </w:rPr>
        <w:t>区领导</w:t>
      </w:r>
      <w:r>
        <w:rPr>
          <w:rFonts w:hint="eastAsia" w:ascii="仿宋_GB2312" w:hAnsi="仿宋" w:eastAsia="仿宋_GB2312" w:cs="仿宋"/>
          <w:b w:val="0"/>
          <w:bCs w:val="0"/>
          <w:color w:val="auto"/>
          <w:sz w:val="32"/>
          <w:szCs w:val="32"/>
          <w:highlight w:val="none"/>
          <w:u w:val="none"/>
        </w:rPr>
        <w:t>审定；对有挤占挪用贷款资金、逃废银行债务等不良信用记录的企业，不得实施新的融资计划。</w:t>
      </w:r>
    </w:p>
    <w:p w14:paraId="265D1AA6">
      <w:pPr>
        <w:spacing w:line="560" w:lineRule="exact"/>
        <w:ind w:firstLine="640" w:firstLineChars="200"/>
        <w:rPr>
          <w:rFonts w:ascii="仿宋_GB2312" w:hAnsi="仿宋" w:eastAsia="仿宋_GB2312" w:cs="仿宋"/>
          <w:b w:val="0"/>
          <w:bCs w:val="0"/>
          <w:color w:val="auto"/>
          <w:sz w:val="32"/>
          <w:szCs w:val="32"/>
          <w:highlight w:val="none"/>
          <w:u w:val="none"/>
        </w:rPr>
      </w:pPr>
    </w:p>
    <w:p w14:paraId="6B22C138">
      <w:pPr>
        <w:spacing w:line="560" w:lineRule="exact"/>
        <w:jc w:val="center"/>
        <w:rPr>
          <w:rFonts w:ascii="楷体_GB2312" w:hAnsi="仿宋" w:eastAsia="楷体_GB2312" w:cs="仿宋"/>
          <w:b w:val="0"/>
          <w:bCs w:val="0"/>
          <w:color w:val="auto"/>
          <w:sz w:val="32"/>
          <w:szCs w:val="32"/>
          <w:highlight w:val="none"/>
          <w:u w:val="none"/>
        </w:rPr>
      </w:pPr>
      <w:r>
        <w:rPr>
          <w:rFonts w:hint="eastAsia" w:ascii="楷体_GB2312" w:hAnsi="仿宋" w:eastAsia="楷体_GB2312" w:cs="仿宋"/>
          <w:b w:val="0"/>
          <w:bCs w:val="0"/>
          <w:color w:val="auto"/>
          <w:sz w:val="32"/>
          <w:szCs w:val="32"/>
          <w:highlight w:val="none"/>
          <w:u w:val="none"/>
        </w:rPr>
        <w:t>第二节</w:t>
      </w:r>
      <w:r>
        <w:rPr>
          <w:rFonts w:ascii="楷体_GB2312" w:hAnsi="仿宋" w:eastAsia="楷体_GB2312" w:cs="仿宋"/>
          <w:b w:val="0"/>
          <w:bCs w:val="0"/>
          <w:color w:val="auto"/>
          <w:sz w:val="32"/>
          <w:szCs w:val="32"/>
          <w:highlight w:val="none"/>
          <w:u w:val="none"/>
        </w:rPr>
        <w:t xml:space="preserve">  </w:t>
      </w:r>
      <w:r>
        <w:rPr>
          <w:rFonts w:hint="eastAsia" w:ascii="楷体_GB2312" w:hAnsi="仿宋" w:eastAsia="楷体_GB2312" w:cs="仿宋"/>
          <w:b w:val="0"/>
          <w:bCs w:val="0"/>
          <w:color w:val="auto"/>
          <w:sz w:val="32"/>
          <w:szCs w:val="32"/>
          <w:highlight w:val="none"/>
          <w:u w:val="none"/>
        </w:rPr>
        <w:t>国有企业担保管理</w:t>
      </w:r>
    </w:p>
    <w:p w14:paraId="5495C08D">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区国有企业原则上只能为与其有产权关系的关联企业的生产经营需要向金融机构贷款融资提供担保。未经区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审批，区国有企业不得对无产权关系的企业、社会组织及个人等提供担保。</w:t>
      </w:r>
    </w:p>
    <w:p w14:paraId="56165CA0">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区国有企业为有产权关系的关联企业提供担保的，被担保企业应当符合下列条件：</w:t>
      </w:r>
    </w:p>
    <w:p w14:paraId="3CFB8104">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（一）企业经营情况、财务状况良好，有按期还本付息的能力。</w:t>
      </w:r>
    </w:p>
    <w:p w14:paraId="516D1CD4">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（二）无挤占挪用贷款资金、无逃废银行债务等不良信用记录。</w:t>
      </w:r>
    </w:p>
    <w:p w14:paraId="137FE44F">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（三）原到期借款本息已清偿，没有清偿的，已经出具了贷款银行认可的偿还计划。</w:t>
      </w:r>
    </w:p>
    <w:p w14:paraId="59BF81D3">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hAnsi="仿宋" w:cs="仿宋"/>
          <w:color w:val="auto"/>
          <w:highlight w:val="none"/>
          <w:u w:val="none"/>
        </w:rPr>
        <w:t>区国有企业应当严格按照持股比例对有产权关系的关联企业提供担保，审查被担保企业的财务状况、偿债能力，评估贷款担保项目风险，提出风险防范措施。除直管企业对所属企业按照持股比例提供担保外，其他被担保企业应当提供反担保</w:t>
      </w:r>
      <w:r>
        <w:rPr>
          <w:rFonts w:hint="eastAsia" w:ascii="仿宋_GB2312" w:hAnsi="仿宋" w:eastAsia="仿宋_GB2312" w:cs="仿宋"/>
          <w:b w:val="0"/>
          <w:bCs w:val="0"/>
          <w:color w:val="auto"/>
          <w:sz w:val="32"/>
          <w:szCs w:val="32"/>
          <w:highlight w:val="none"/>
          <w:u w:val="none"/>
        </w:rPr>
        <w:t>。</w:t>
      </w:r>
    </w:p>
    <w:p w14:paraId="43E217AC">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被担保的项目应当符合下列条件：</w:t>
      </w:r>
    </w:p>
    <w:p w14:paraId="79565ACA">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（一）符合光明区有关产业政策要求。</w:t>
      </w:r>
    </w:p>
    <w:p w14:paraId="4B53CA54">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（二）符合区属国有经济布局战略性调整要求。</w:t>
      </w:r>
    </w:p>
    <w:p w14:paraId="4098041E">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（三）符合被担保企业主导产业和发展方向，不属于非主业投资项目。</w:t>
      </w:r>
    </w:p>
    <w:p w14:paraId="3CDF3371">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（四）不属于高风险的投资项目（包括任何形式的委托理财，投资股票、期货、期权等）。</w:t>
      </w:r>
      <w:r>
        <w:rPr>
          <w:rFonts w:ascii="宋体" w:cs="宋体"/>
          <w:b w:val="0"/>
          <w:bCs w:val="0"/>
          <w:color w:val="auto"/>
          <w:sz w:val="32"/>
          <w:szCs w:val="32"/>
          <w:highlight w:val="none"/>
          <w:u w:val="none"/>
        </w:rPr>
        <w:t>   </w:t>
      </w:r>
    </w:p>
    <w:p w14:paraId="5E449CDD">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bookmarkStart w:id="0" w:name="OLE_LINK8"/>
      <w:r>
        <w:rPr>
          <w:rFonts w:hint="eastAsia" w:ascii="仿宋_GB2312" w:hAnsi="仿宋" w:eastAsia="仿宋_GB2312" w:cs="仿宋"/>
          <w:b w:val="0"/>
          <w:bCs w:val="0"/>
          <w:color w:val="auto"/>
          <w:sz w:val="32"/>
          <w:szCs w:val="32"/>
          <w:highlight w:val="none"/>
          <w:u w:val="none"/>
        </w:rPr>
        <w:t>区国有企业原则上不得为境外融资提供贷款担保。因特殊情况需要提供贷款担保的，应当报区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审核后，</w:t>
      </w:r>
      <w:r>
        <w:rPr>
          <w:rFonts w:hint="eastAsia" w:hAnsi="仿宋" w:cs="仿宋"/>
          <w:color w:val="auto"/>
          <w:highlight w:val="none"/>
          <w:u w:val="none"/>
        </w:rPr>
        <w:t>按程序提请区政府常务会议审议</w:t>
      </w:r>
      <w:bookmarkEnd w:id="0"/>
      <w:r>
        <w:rPr>
          <w:rFonts w:hint="eastAsia" w:ascii="仿宋_GB2312" w:hAnsi="仿宋" w:eastAsia="仿宋_GB2312" w:cs="仿宋"/>
          <w:b w:val="0"/>
          <w:bCs w:val="0"/>
          <w:color w:val="auto"/>
          <w:sz w:val="32"/>
          <w:szCs w:val="32"/>
          <w:highlight w:val="none"/>
          <w:u w:val="none"/>
        </w:rPr>
        <w:t>。</w:t>
      </w:r>
    </w:p>
    <w:p w14:paraId="68D0C4EC">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直管企业负责企业担保事项审查，应审查以下资料：</w:t>
      </w:r>
      <w:r>
        <w:rPr>
          <w:rFonts w:ascii="仿宋_GB2312" w:hAnsi="仿宋" w:eastAsia="仿宋_GB2312" w:cs="仿宋"/>
          <w:b w:val="0"/>
          <w:bCs w:val="0"/>
          <w:color w:val="auto"/>
          <w:sz w:val="32"/>
          <w:szCs w:val="32"/>
          <w:highlight w:val="none"/>
          <w:u w:val="none"/>
        </w:rPr>
        <w:t xml:space="preserve">  </w:t>
      </w:r>
    </w:p>
    <w:p w14:paraId="6A1508F6">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（一）担保请示。</w:t>
      </w:r>
    </w:p>
    <w:p w14:paraId="7D70BAE4">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（二）担保企业和被担保企业的公司营业执照、章程。</w:t>
      </w:r>
    </w:p>
    <w:p w14:paraId="75F7DC0F">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（三）担保企业和被担保企业的法定代表人身份证明和身份证。</w:t>
      </w:r>
    </w:p>
    <w:p w14:paraId="0453FFCC">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（四）担保企业和被担保企业的法定代表人的授权委托书和被授权人的身份证。</w:t>
      </w:r>
    </w:p>
    <w:p w14:paraId="064F5A2F">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（五）担保企业和被担保企业的产权关系证明。</w:t>
      </w:r>
    </w:p>
    <w:p w14:paraId="1C122DDF">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（六）担保企业股东会或其授权董事会同意提供贷款担保的有关决议。</w:t>
      </w:r>
    </w:p>
    <w:p w14:paraId="156E2B62">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（七）被担保企业近两年经审计的年度财务报告及近期财务报告。</w:t>
      </w:r>
    </w:p>
    <w:p w14:paraId="7A7108A3">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（八）被担保企业的还款计划、方式及资金来源。</w:t>
      </w:r>
    </w:p>
    <w:p w14:paraId="01F3C0E8">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（九）被担保企业关于贷款资金使用的书面说明。</w:t>
      </w:r>
    </w:p>
    <w:p w14:paraId="02CC2F45">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（十）直管企业认为需要提供的其他资料。</w:t>
      </w:r>
    </w:p>
    <w:p w14:paraId="7C89833B">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直管企业应当将担保项目的审查结果及审查资料在审查完成后五个工作日内报送区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备案。</w:t>
      </w:r>
    </w:p>
    <w:p w14:paraId="6E14A959">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直管企业应对担保项目实施动态跟踪，分析市场变化可能产生的违约风险，制定相应的风险防范措施，并及时向区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报告。区</w:t>
      </w:r>
      <w:r>
        <w:rPr>
          <w:rFonts w:hint="default" w:hAnsi="仿宋" w:cs="仿宋"/>
          <w:b w:val="0"/>
          <w:bCs w:val="0"/>
          <w:color w:val="auto"/>
          <w:sz w:val="32"/>
          <w:szCs w:val="32"/>
          <w:highlight w:val="none"/>
          <w:u w:val="none"/>
          <w:lang w:val="en"/>
        </w:rPr>
        <w:t>国资监管部门</w:t>
      </w:r>
      <w:r>
        <w:rPr>
          <w:rFonts w:hint="eastAsia" w:hAnsi="仿宋" w:cs="仿宋"/>
          <w:b w:val="0"/>
          <w:bCs w:val="0"/>
          <w:color w:val="auto"/>
          <w:sz w:val="32"/>
          <w:szCs w:val="32"/>
          <w:highlight w:val="none"/>
          <w:u w:val="none"/>
          <w:lang w:eastAsia="zh-CN"/>
        </w:rPr>
        <w:t>视情况对重大担保项目</w:t>
      </w:r>
      <w:r>
        <w:rPr>
          <w:rFonts w:hint="eastAsia" w:ascii="仿宋_GB2312" w:hAnsi="仿宋" w:eastAsia="仿宋_GB2312" w:cs="仿宋"/>
          <w:b w:val="0"/>
          <w:bCs w:val="0"/>
          <w:color w:val="auto"/>
          <w:sz w:val="32"/>
          <w:szCs w:val="32"/>
          <w:highlight w:val="none"/>
          <w:u w:val="none"/>
        </w:rPr>
        <w:t>采取</w:t>
      </w:r>
      <w:r>
        <w:rPr>
          <w:rFonts w:hint="eastAsia" w:hAnsi="仿宋" w:cs="仿宋"/>
          <w:b w:val="0"/>
          <w:bCs w:val="0"/>
          <w:color w:val="auto"/>
          <w:sz w:val="32"/>
          <w:szCs w:val="32"/>
          <w:highlight w:val="none"/>
          <w:u w:val="none"/>
          <w:lang w:eastAsia="zh-CN"/>
        </w:rPr>
        <w:t>事后审计</w:t>
      </w:r>
      <w:r>
        <w:rPr>
          <w:rFonts w:hint="eastAsia" w:ascii="仿宋_GB2312" w:hAnsi="仿宋" w:eastAsia="仿宋_GB2312" w:cs="仿宋"/>
          <w:b w:val="0"/>
          <w:bCs w:val="0"/>
          <w:color w:val="auto"/>
          <w:sz w:val="32"/>
          <w:szCs w:val="32"/>
          <w:highlight w:val="none"/>
          <w:u w:val="none"/>
        </w:rPr>
        <w:t>的方式对担保项目进行监督管理。</w:t>
      </w:r>
    </w:p>
    <w:p w14:paraId="5F2EB943">
      <w:pPr>
        <w:spacing w:line="560" w:lineRule="exact"/>
        <w:ind w:firstLine="640" w:firstLineChars="200"/>
        <w:rPr>
          <w:rFonts w:ascii="仿宋_GB2312" w:hAnsi="仿宋" w:eastAsia="仿宋_GB2312" w:cs="仿宋"/>
          <w:b w:val="0"/>
          <w:bCs w:val="0"/>
          <w:color w:val="auto"/>
          <w:sz w:val="32"/>
          <w:szCs w:val="32"/>
          <w:highlight w:val="none"/>
          <w:u w:val="none"/>
        </w:rPr>
      </w:pPr>
    </w:p>
    <w:p w14:paraId="08E2615C">
      <w:pPr>
        <w:spacing w:line="560" w:lineRule="exact"/>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w:t>
      </w:r>
      <w:r>
        <w:rPr>
          <w:rFonts w:hint="eastAsia" w:ascii="黑体" w:hAnsi="黑体" w:eastAsia="黑体" w:cs="仿宋"/>
          <w:b w:val="0"/>
          <w:bCs w:val="0"/>
          <w:color w:val="auto"/>
          <w:sz w:val="32"/>
          <w:szCs w:val="32"/>
          <w:highlight w:val="none"/>
          <w:u w:val="none"/>
          <w:lang w:eastAsia="zh-CN"/>
        </w:rPr>
        <w:t>四</w:t>
      </w:r>
      <w:r>
        <w:rPr>
          <w:rFonts w:hint="eastAsia" w:ascii="黑体" w:hAnsi="黑体" w:eastAsia="黑体" w:cs="仿宋"/>
          <w:b w:val="0"/>
          <w:bCs w:val="0"/>
          <w:color w:val="auto"/>
          <w:sz w:val="32"/>
          <w:szCs w:val="32"/>
          <w:highlight w:val="none"/>
          <w:u w:val="none"/>
        </w:rPr>
        <w:t>章</w:t>
      </w:r>
      <w:r>
        <w:rPr>
          <w:rFonts w:ascii="黑体" w:hAnsi="黑体" w:eastAsia="黑体" w:cs="仿宋"/>
          <w:b w:val="0"/>
          <w:bCs w:val="0"/>
          <w:color w:val="auto"/>
          <w:sz w:val="32"/>
          <w:szCs w:val="32"/>
          <w:highlight w:val="none"/>
          <w:u w:val="none"/>
        </w:rPr>
        <w:t xml:space="preserve">  </w:t>
      </w:r>
      <w:r>
        <w:rPr>
          <w:rFonts w:hint="eastAsia" w:ascii="黑体" w:hAnsi="黑体" w:eastAsia="黑体" w:cs="仿宋"/>
          <w:b w:val="0"/>
          <w:bCs w:val="0"/>
          <w:color w:val="auto"/>
          <w:sz w:val="32"/>
          <w:szCs w:val="32"/>
          <w:highlight w:val="none"/>
          <w:u w:val="none"/>
        </w:rPr>
        <w:t>监督实施管理</w:t>
      </w:r>
    </w:p>
    <w:p w14:paraId="751F51ED">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对于</w:t>
      </w:r>
      <w:r>
        <w:rPr>
          <w:rFonts w:hint="eastAsia" w:ascii="仿宋_GB2312" w:hAnsi="仿宋" w:eastAsia="仿宋_GB2312" w:cs="仿宋"/>
          <w:b w:val="0"/>
          <w:bCs w:val="0"/>
          <w:color w:val="auto"/>
          <w:sz w:val="32"/>
          <w:szCs w:val="32"/>
          <w:highlight w:val="none"/>
          <w:u w:val="none"/>
          <w:lang w:val="en-US" w:eastAsia="zh-CN"/>
        </w:rPr>
        <w:t>投资</w:t>
      </w:r>
      <w:r>
        <w:rPr>
          <w:rFonts w:hint="eastAsia" w:ascii="仿宋_GB2312" w:hAnsi="仿宋" w:eastAsia="仿宋_GB2312" w:cs="仿宋"/>
          <w:b w:val="0"/>
          <w:bCs w:val="0"/>
          <w:color w:val="auto"/>
          <w:sz w:val="32"/>
          <w:szCs w:val="32"/>
          <w:highlight w:val="none"/>
          <w:u w:val="none"/>
        </w:rPr>
        <w:t>项目，区国有企业应当确定项目责任人。项目责任人负责项目实施的全过程管理，并定期向直管企业报告项目实施进展情况。</w:t>
      </w:r>
    </w:p>
    <w:p w14:paraId="26FE67DC">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对企业投资项目实施过程进行监督管理，可视情况对企业各类投资项目实施情况进行检查，开展统计、稽核等工作。</w:t>
      </w:r>
    </w:p>
    <w:p w14:paraId="5D717045">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直管企业应开展</w:t>
      </w:r>
      <w:r>
        <w:rPr>
          <w:rFonts w:hint="eastAsia" w:ascii="仿宋_GB2312" w:hAnsi="仿宋" w:eastAsia="仿宋_GB2312" w:cs="仿宋"/>
          <w:b w:val="0"/>
          <w:bCs w:val="0"/>
          <w:color w:val="auto"/>
          <w:sz w:val="32"/>
          <w:szCs w:val="32"/>
          <w:highlight w:val="none"/>
          <w:u w:val="none"/>
          <w:lang w:val="en-US" w:eastAsia="zh-CN"/>
        </w:rPr>
        <w:t>商业性或重大</w:t>
      </w:r>
      <w:r>
        <w:rPr>
          <w:rFonts w:hint="eastAsia" w:ascii="仿宋_GB2312" w:hAnsi="仿宋" w:eastAsia="仿宋_GB2312" w:cs="仿宋"/>
          <w:b w:val="0"/>
          <w:bCs w:val="0"/>
          <w:color w:val="auto"/>
          <w:sz w:val="32"/>
          <w:szCs w:val="32"/>
          <w:highlight w:val="none"/>
          <w:u w:val="none"/>
        </w:rPr>
        <w:t>投资项目的后评价工作，原则上企业内部具体负责投资项目实施、可行性研究部门与后评价部门应分开。后评价工作主要对已完成项目的实施过程与结果进行自我分析与评价，对比原可行性研究报告评估项目整体效益，根据实际情况重新测算项目收益率，总结项目实施经验与教训，并对存在问题提出改进意见和责任追究建议</w:t>
      </w:r>
      <w:r>
        <w:rPr>
          <w:rFonts w:hint="eastAsia" w:hAnsi="仿宋" w:cs="仿宋"/>
          <w:b w:val="0"/>
          <w:bCs w:val="0"/>
          <w:color w:val="auto"/>
          <w:sz w:val="32"/>
          <w:szCs w:val="32"/>
          <w:highlight w:val="none"/>
          <w:u w:val="none"/>
          <w:lang w:eastAsia="zh-CN"/>
        </w:rPr>
        <w:t>报区</w:t>
      </w:r>
      <w:r>
        <w:rPr>
          <w:rFonts w:hint="default" w:hAnsi="仿宋" w:cs="仿宋"/>
          <w:b w:val="0"/>
          <w:bCs w:val="0"/>
          <w:color w:val="auto"/>
          <w:sz w:val="32"/>
          <w:szCs w:val="32"/>
          <w:highlight w:val="none"/>
          <w:u w:val="none"/>
          <w:lang w:val="en" w:eastAsia="zh-CN"/>
        </w:rPr>
        <w:t>国资监管部门</w:t>
      </w:r>
      <w:r>
        <w:rPr>
          <w:rFonts w:hint="eastAsia" w:hAnsi="仿宋" w:cs="仿宋"/>
          <w:b w:val="0"/>
          <w:bCs w:val="0"/>
          <w:color w:val="auto"/>
          <w:sz w:val="32"/>
          <w:szCs w:val="32"/>
          <w:highlight w:val="none"/>
          <w:u w:val="none"/>
          <w:lang w:eastAsia="zh-CN"/>
        </w:rPr>
        <w:t>备案。</w:t>
      </w:r>
    </w:p>
    <w:p w14:paraId="1ADA4688">
      <w:pPr>
        <w:spacing w:line="560" w:lineRule="exact"/>
        <w:ind w:firstLine="64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视情况对经审批的投资项目的后评价工作进行抽查，并作为直管企业主要负责人业绩考核的参考依据。</w:t>
      </w:r>
    </w:p>
    <w:p w14:paraId="184C697C">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所属企业应在年终总结时，将本企业投融资资金的使用、资金所投项目的进展、融资债务偿还情况、担保债务履行情况及风险防范措施等信息以书面报告的形式逐级上报，由直管企业汇总后向区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书面报告。</w:t>
      </w:r>
    </w:p>
    <w:p w14:paraId="24DCB2CF">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所属企业应当在担保责任履行完毕或解除之日起十五个工作日内向区直管企业报告，直管企业汇总后向区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报告。</w:t>
      </w:r>
    </w:p>
    <w:p w14:paraId="73618CDD">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区国有企业履行担保责任后，应当按照法律规定或担保合同约定向被担保企业行使追</w:t>
      </w:r>
      <w:bookmarkStart w:id="2" w:name="_GoBack"/>
      <w:bookmarkEnd w:id="2"/>
      <w:r>
        <w:rPr>
          <w:rFonts w:hint="eastAsia" w:ascii="仿宋_GB2312" w:hAnsi="仿宋" w:eastAsia="仿宋_GB2312" w:cs="仿宋"/>
          <w:b w:val="0"/>
          <w:bCs w:val="0"/>
          <w:color w:val="auto"/>
          <w:sz w:val="32"/>
          <w:szCs w:val="32"/>
          <w:highlight w:val="none"/>
          <w:u w:val="none"/>
        </w:rPr>
        <w:t>偿权。</w:t>
      </w:r>
    </w:p>
    <w:p w14:paraId="30B6D7D5">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被担保企业经人民法院受理进入破产程序的，区国有企业作为债权人，应当依法及时申报债权，行使追偿权。</w:t>
      </w:r>
    </w:p>
    <w:p w14:paraId="5F07AE83">
      <w:pPr>
        <w:spacing w:line="560" w:lineRule="exact"/>
        <w:ind w:firstLine="640" w:firstLineChars="200"/>
        <w:rPr>
          <w:rFonts w:ascii="仿宋_GB2312" w:hAnsi="仿宋" w:eastAsia="仿宋_GB2312" w:cs="仿宋"/>
          <w:b w:val="0"/>
          <w:bCs w:val="0"/>
          <w:color w:val="auto"/>
          <w:sz w:val="32"/>
          <w:szCs w:val="32"/>
          <w:highlight w:val="none"/>
          <w:u w:val="none"/>
        </w:rPr>
      </w:pPr>
    </w:p>
    <w:p w14:paraId="30F3CBA2">
      <w:pPr>
        <w:spacing w:line="560" w:lineRule="exact"/>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w:t>
      </w:r>
      <w:r>
        <w:rPr>
          <w:rFonts w:hint="eastAsia" w:ascii="黑体" w:hAnsi="黑体" w:eastAsia="黑体" w:cs="仿宋"/>
          <w:b w:val="0"/>
          <w:bCs w:val="0"/>
          <w:color w:val="auto"/>
          <w:sz w:val="32"/>
          <w:szCs w:val="32"/>
          <w:highlight w:val="none"/>
          <w:u w:val="none"/>
          <w:lang w:eastAsia="zh-CN"/>
        </w:rPr>
        <w:t>五</w:t>
      </w:r>
      <w:r>
        <w:rPr>
          <w:rFonts w:hint="eastAsia" w:ascii="黑体" w:hAnsi="黑体" w:eastAsia="黑体" w:cs="仿宋"/>
          <w:b w:val="0"/>
          <w:bCs w:val="0"/>
          <w:color w:val="auto"/>
          <w:sz w:val="32"/>
          <w:szCs w:val="32"/>
          <w:highlight w:val="none"/>
          <w:u w:val="none"/>
        </w:rPr>
        <w:t>章</w:t>
      </w:r>
      <w:r>
        <w:rPr>
          <w:rFonts w:ascii="黑体" w:hAnsi="黑体" w:eastAsia="黑体" w:cs="仿宋"/>
          <w:b w:val="0"/>
          <w:bCs w:val="0"/>
          <w:color w:val="auto"/>
          <w:sz w:val="32"/>
          <w:szCs w:val="32"/>
          <w:highlight w:val="none"/>
          <w:u w:val="none"/>
        </w:rPr>
        <w:t xml:space="preserve">  </w:t>
      </w:r>
      <w:r>
        <w:rPr>
          <w:rFonts w:hint="eastAsia" w:ascii="黑体" w:hAnsi="黑体" w:eastAsia="黑体" w:cs="仿宋"/>
          <w:b w:val="0"/>
          <w:bCs w:val="0"/>
          <w:color w:val="auto"/>
          <w:sz w:val="32"/>
          <w:szCs w:val="32"/>
          <w:highlight w:val="none"/>
          <w:u w:val="none"/>
        </w:rPr>
        <w:t>附则</w:t>
      </w:r>
    </w:p>
    <w:p w14:paraId="31DEA521">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bookmarkStart w:id="1" w:name="_Hlk44014665"/>
      <w:r>
        <w:rPr>
          <w:rFonts w:hint="eastAsia" w:ascii="仿宋_GB2312" w:hAnsi="仿宋" w:eastAsia="仿宋_GB2312" w:cs="仿宋"/>
          <w:b w:val="0"/>
          <w:bCs w:val="0"/>
          <w:color w:val="auto"/>
          <w:sz w:val="32"/>
          <w:szCs w:val="32"/>
          <w:highlight w:val="none"/>
          <w:u w:val="none"/>
        </w:rPr>
        <w:t>本规定所称“以上”含本数，“以下”不含本数；金额币别为人民币</w:t>
      </w:r>
      <w:bookmarkEnd w:id="1"/>
      <w:r>
        <w:rPr>
          <w:rFonts w:hint="eastAsia" w:ascii="仿宋_GB2312" w:hAnsi="仿宋" w:eastAsia="仿宋_GB2312" w:cs="仿宋"/>
          <w:b w:val="0"/>
          <w:bCs w:val="0"/>
          <w:color w:val="auto"/>
          <w:sz w:val="32"/>
          <w:szCs w:val="32"/>
          <w:highlight w:val="none"/>
          <w:u w:val="none"/>
        </w:rPr>
        <w:t>。</w:t>
      </w:r>
    </w:p>
    <w:p w14:paraId="0E72BE37">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本规定由区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负责解释。</w:t>
      </w:r>
      <w:r>
        <w:rPr>
          <w:rFonts w:hint="eastAsia" w:ascii="仿宋_GB2312" w:hAnsi="仿宋" w:eastAsia="仿宋_GB2312" w:cs="仿宋"/>
          <w:color w:val="auto"/>
          <w:sz w:val="32"/>
          <w:szCs w:val="32"/>
          <w:highlight w:val="none"/>
          <w:u w:val="none"/>
        </w:rPr>
        <w:t>本规定未尽事宜，由区</w:t>
      </w:r>
      <w:r>
        <w:rPr>
          <w:rFonts w:hint="default" w:hAnsi="仿宋" w:cs="仿宋"/>
          <w:color w:val="auto"/>
          <w:sz w:val="32"/>
          <w:szCs w:val="32"/>
          <w:highlight w:val="none"/>
          <w:u w:val="none"/>
          <w:lang w:val="en"/>
        </w:rPr>
        <w:t>国资监管部门</w:t>
      </w:r>
      <w:r>
        <w:rPr>
          <w:rFonts w:hint="eastAsia" w:ascii="仿宋_GB2312" w:hAnsi="仿宋" w:eastAsia="仿宋_GB2312" w:cs="仿宋"/>
          <w:color w:val="auto"/>
          <w:sz w:val="32"/>
          <w:szCs w:val="32"/>
          <w:highlight w:val="none"/>
          <w:u w:val="none"/>
        </w:rPr>
        <w:t>另行制定相关制度规范。</w:t>
      </w:r>
    </w:p>
    <w:p w14:paraId="698843DC">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color w:val="auto"/>
          <w:sz w:val="32"/>
          <w:szCs w:val="32"/>
          <w:highlight w:val="none"/>
          <w:u w:val="none"/>
        </w:rPr>
        <w:t>本</w:t>
      </w:r>
      <w:r>
        <w:rPr>
          <w:rFonts w:hint="eastAsia" w:ascii="仿宋_GB2312" w:hAnsi="仿宋" w:eastAsia="仿宋_GB2312" w:cs="仿宋"/>
          <w:color w:val="auto"/>
          <w:sz w:val="32"/>
          <w:szCs w:val="32"/>
          <w:highlight w:val="none"/>
          <w:u w:val="none"/>
          <w:lang w:val="en-US" w:eastAsia="zh-CN"/>
        </w:rPr>
        <w:t>规定</w:t>
      </w:r>
      <w:r>
        <w:rPr>
          <w:rFonts w:hint="eastAsia" w:ascii="仿宋_GB2312" w:hAnsi="仿宋" w:eastAsia="仿宋_GB2312" w:cs="仿宋"/>
          <w:color w:val="auto"/>
          <w:sz w:val="32"/>
          <w:szCs w:val="32"/>
          <w:highlight w:val="none"/>
          <w:u w:val="none"/>
        </w:rPr>
        <w:t>自</w:t>
      </w:r>
      <w:r>
        <w:rPr>
          <w:rFonts w:hint="eastAsia" w:ascii="仿宋_GB2312" w:hAnsi="仿宋" w:eastAsia="仿宋_GB2312" w:cs="仿宋"/>
          <w:color w:val="auto"/>
          <w:sz w:val="32"/>
          <w:szCs w:val="32"/>
          <w:highlight w:val="none"/>
          <w:u w:val="none"/>
          <w:lang w:val="en-US" w:eastAsia="zh-CN"/>
        </w:rPr>
        <w:t>202</w:t>
      </w:r>
      <w:r>
        <w:rPr>
          <w:rFonts w:hint="default" w:hAnsi="仿宋" w:cs="仿宋"/>
          <w:color w:val="auto"/>
          <w:highlight w:val="none"/>
        </w:rPr>
        <w:t>6年</w:t>
      </w:r>
      <w:r>
        <w:rPr>
          <w:rFonts w:hint="eastAsia" w:hAnsi="仿宋" w:cs="宋体"/>
          <w:color w:val="auto"/>
          <w:sz w:val="32"/>
          <w:szCs w:val="28"/>
          <w:highlight w:val="none"/>
          <w:u w:val="none"/>
          <w:lang w:val="en-US" w:eastAsia="zh-CN"/>
        </w:rPr>
        <w:t>3</w:t>
      </w:r>
      <w:r>
        <w:rPr>
          <w:rFonts w:hint="eastAsia" w:ascii="仿宋_GB2312" w:hAnsi="仿宋" w:eastAsia="仿宋_GB2312" w:cs="宋体"/>
          <w:color w:val="auto"/>
          <w:sz w:val="32"/>
          <w:szCs w:val="28"/>
          <w:highlight w:val="none"/>
          <w:u w:val="none"/>
          <w:lang w:val="en-US" w:eastAsia="zh-CN"/>
        </w:rPr>
        <w:t>月</w:t>
      </w:r>
      <w:r>
        <w:rPr>
          <w:rFonts w:hint="eastAsia" w:hAnsi="仿宋" w:cs="宋体"/>
          <w:color w:val="auto"/>
          <w:sz w:val="32"/>
          <w:szCs w:val="28"/>
          <w:highlight w:val="none"/>
          <w:u w:val="none"/>
          <w:lang w:val="en-US" w:eastAsia="zh-CN"/>
        </w:rPr>
        <w:t>1日</w:t>
      </w:r>
      <w:r>
        <w:rPr>
          <w:rFonts w:hint="eastAsia" w:ascii="仿宋_GB2312" w:hAnsi="仿宋" w:eastAsia="仿宋_GB2312" w:cs="仿宋"/>
          <w:color w:val="auto"/>
          <w:sz w:val="32"/>
          <w:szCs w:val="32"/>
          <w:highlight w:val="none"/>
          <w:u w:val="none"/>
        </w:rPr>
        <w:t>起施行</w:t>
      </w:r>
      <w:r>
        <w:rPr>
          <w:rFonts w:hint="eastAsia" w:ascii="仿宋_GB2312" w:hAnsi="仿宋" w:eastAsia="仿宋_GB2312" w:cs="仿宋"/>
          <w:b w:val="0"/>
          <w:bCs w:val="0"/>
          <w:color w:val="auto"/>
          <w:sz w:val="32"/>
          <w:szCs w:val="32"/>
          <w:highlight w:val="none"/>
          <w:u w:val="none"/>
          <w:lang w:eastAsia="zh-CN"/>
        </w:rPr>
        <w:t>。</w:t>
      </w:r>
    </w:p>
    <w:p w14:paraId="2ED2D89F">
      <w:pPr>
        <w:spacing w:line="560" w:lineRule="exact"/>
        <w:rPr>
          <w:rFonts w:hint="eastAsia" w:ascii="黑体" w:hAnsi="黑体" w:eastAsia="黑体" w:cs="黑体"/>
          <w:highlight w:val="none"/>
          <w:lang w:val="en-US" w:eastAsia="zh-CN"/>
        </w:rPr>
      </w:pPr>
    </w:p>
    <w:p w14:paraId="448C0DF5">
      <w:pPr>
        <w:shd w:val="clear" w:color="auto" w:fill="auto"/>
        <w:spacing w:line="560" w:lineRule="exact"/>
        <w:rPr>
          <w:rFonts w:hint="eastAsia" w:ascii="黑体" w:hAnsi="黑体" w:eastAsia="黑体" w:cs="黑体"/>
          <w:highlight w:val="none"/>
          <w:u w:val="none"/>
          <w:lang w:val="en-US" w:eastAsia="zh-CN"/>
        </w:rPr>
      </w:pPr>
    </w:p>
    <w:p w14:paraId="3AB3D009">
      <w:pPr>
        <w:shd w:val="clear" w:color="auto" w:fill="auto"/>
        <w:spacing w:line="560" w:lineRule="exact"/>
        <w:ind w:firstLine="0" w:firstLineChars="0"/>
        <w:rPr>
          <w:highlight w:val="none"/>
          <w:u w:val="none"/>
        </w:rPr>
      </w:pPr>
    </w:p>
    <w:sectPr>
      <w:headerReference r:id="rId3" w:type="default"/>
      <w:footerReference r:id="rId4" w:type="default"/>
      <w:pgSz w:w="11906" w:h="16838"/>
      <w:pgMar w:top="2098" w:right="1474" w:bottom="1984" w:left="1587" w:header="851" w:footer="1417" w:gutter="0"/>
      <w:pgNumType w:fmt="numberInDash"/>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A935C">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9B55B74">
                          <w:pPr>
                            <w:pStyle w:val="3"/>
                            <w:rPr>
                              <w:rFonts w:hint="eastAsia" w:eastAsia="仿宋_GB2312"/>
                              <w:lang w:eastAsia="zh-CN"/>
                            </w:rPr>
                          </w:pP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3</w:t>
                          </w:r>
                          <w:r>
                            <w:rPr>
                              <w:rFonts w:hint="eastAsia" w:ascii="仿宋_GB2312" w:hAnsi="仿宋_GB2312" w:eastAsia="仿宋_GB2312" w:cs="仿宋_GB2312"/>
                              <w:sz w:val="24"/>
                              <w:szCs w:val="24"/>
                              <w:lang w:eastAsia="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JauOxM0BAACnAwAADgAAAAAAAAABACAAAAAeAQAAZHJzL2Uy&#10;b0RvYy54bWxQSwUGAAAAAAYABgBZAQAAXQUAAAAA&#10;">
              <v:fill on="f" focussize="0,0"/>
              <v:stroke on="f"/>
              <v:imagedata o:title=""/>
              <o:lock v:ext="edit" aspectratio="f"/>
              <v:textbox inset="0mm,0mm,0mm,0mm" style="mso-fit-shape-to-text:t;">
                <w:txbxContent>
                  <w:p w14:paraId="39B55B74">
                    <w:pPr>
                      <w:pStyle w:val="3"/>
                      <w:rPr>
                        <w:rFonts w:hint="eastAsia" w:eastAsia="仿宋_GB2312"/>
                        <w:lang w:eastAsia="zh-CN"/>
                      </w:rPr>
                    </w:pP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3</w:t>
                    </w:r>
                    <w:r>
                      <w:rPr>
                        <w:rFonts w:hint="eastAsia" w:ascii="仿宋_GB2312" w:hAnsi="仿宋_GB2312" w:eastAsia="仿宋_GB2312" w:cs="仿宋_GB2312"/>
                        <w:sz w:val="24"/>
                        <w:szCs w:val="24"/>
                        <w:lang w:eastAsia="zh-CN"/>
                      </w:rPr>
                      <w:fldChar w:fldCharType="end"/>
                    </w:r>
                  </w:p>
                </w:txbxContent>
              </v:textbox>
            </v:shape>
          </w:pict>
        </mc:Fallback>
      </mc:AlternateContent>
    </w:r>
  </w:p>
  <w:p w14:paraId="2F34871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A7FCC">
    <w:pPr>
      <w:pStyle w:val="4"/>
      <w:pBdr>
        <w:bottom w:val="none" w:color="auto" w:sz="0" w:space="0"/>
      </w:pBdr>
    </w:pPr>
  </w:p>
  <w:p w14:paraId="699C8837">
    <w:pPr>
      <w:pStyle w:val="4"/>
      <w:pBdr>
        <w:bottom w:val="none" w:color="auto" w:sz="0" w:space="0"/>
      </w:pBdr>
    </w:pPr>
  </w:p>
  <w:p w14:paraId="278B1CEB">
    <w:pPr>
      <w:pStyle w:val="4"/>
      <w:pBdr>
        <w:bottom w:val="none" w:color="auto" w:sz="0" w:space="0"/>
      </w:pBdr>
      <w:jc w:val="right"/>
      <w:rPr>
        <w:rFonts w:hint="eastAsia" w:eastAsia="宋体"/>
        <w:sz w:val="24"/>
        <w:szCs w:val="28"/>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804277"/>
    <w:multiLevelType w:val="multilevel"/>
    <w:tmpl w:val="47804277"/>
    <w:lvl w:ilvl="0" w:tentative="0">
      <w:start w:val="1"/>
      <w:numFmt w:val="chineseCountingThousand"/>
      <w:lvlText w:val="第%1条"/>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8D638AF"/>
    <w:multiLevelType w:val="singleLevel"/>
    <w:tmpl w:val="58D638AF"/>
    <w:lvl w:ilvl="0" w:tentative="0">
      <w:start w:val="1"/>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RhNThiMmUwOGM0MDZlOWNmMDhmYThiYTllZTg0ZDkifQ=="/>
  </w:docVars>
  <w:rsids>
    <w:rsidRoot w:val="00000000"/>
    <w:rsid w:val="027A6905"/>
    <w:rsid w:val="04FF3D68"/>
    <w:rsid w:val="06B70A90"/>
    <w:rsid w:val="07BB1BEE"/>
    <w:rsid w:val="07D74439"/>
    <w:rsid w:val="07F7F415"/>
    <w:rsid w:val="09BB5873"/>
    <w:rsid w:val="0B0C1F3E"/>
    <w:rsid w:val="0BB68240"/>
    <w:rsid w:val="0C956E62"/>
    <w:rsid w:val="0FDDD668"/>
    <w:rsid w:val="101E46CB"/>
    <w:rsid w:val="135B5CA2"/>
    <w:rsid w:val="15B93F7C"/>
    <w:rsid w:val="165E1A4D"/>
    <w:rsid w:val="167C1BC6"/>
    <w:rsid w:val="174B51AA"/>
    <w:rsid w:val="177D6515"/>
    <w:rsid w:val="17FAB2B0"/>
    <w:rsid w:val="192A068F"/>
    <w:rsid w:val="197A737A"/>
    <w:rsid w:val="1A811E74"/>
    <w:rsid w:val="1E3CF1BF"/>
    <w:rsid w:val="1EF947E5"/>
    <w:rsid w:val="1EFFC6A1"/>
    <w:rsid w:val="1F779317"/>
    <w:rsid w:val="1FBE78A4"/>
    <w:rsid w:val="1FD707C9"/>
    <w:rsid w:val="1FF9705C"/>
    <w:rsid w:val="1FFCABD0"/>
    <w:rsid w:val="1FFE96A3"/>
    <w:rsid w:val="20E71F9A"/>
    <w:rsid w:val="217E83DF"/>
    <w:rsid w:val="21D00C81"/>
    <w:rsid w:val="22BB98E5"/>
    <w:rsid w:val="22D21FE9"/>
    <w:rsid w:val="23ED161E"/>
    <w:rsid w:val="25F73812"/>
    <w:rsid w:val="27FC28F5"/>
    <w:rsid w:val="27FDF3E6"/>
    <w:rsid w:val="282E7B54"/>
    <w:rsid w:val="2A3873C3"/>
    <w:rsid w:val="2A9F2DF0"/>
    <w:rsid w:val="2B6E7D0A"/>
    <w:rsid w:val="2BE5D993"/>
    <w:rsid w:val="2BEEFC23"/>
    <w:rsid w:val="2C6F3E2C"/>
    <w:rsid w:val="2CAF6062"/>
    <w:rsid w:val="2CF69D14"/>
    <w:rsid w:val="2D8804C4"/>
    <w:rsid w:val="2DD843AB"/>
    <w:rsid w:val="2DFF71D3"/>
    <w:rsid w:val="2EB7EA29"/>
    <w:rsid w:val="2EF7C117"/>
    <w:rsid w:val="2F4552CD"/>
    <w:rsid w:val="2F7F4922"/>
    <w:rsid w:val="2FD77E40"/>
    <w:rsid w:val="2FDA1360"/>
    <w:rsid w:val="2FFF28B9"/>
    <w:rsid w:val="30B70406"/>
    <w:rsid w:val="333722A3"/>
    <w:rsid w:val="333E188A"/>
    <w:rsid w:val="33CE6621"/>
    <w:rsid w:val="33FF6073"/>
    <w:rsid w:val="3432516A"/>
    <w:rsid w:val="362FB868"/>
    <w:rsid w:val="365FF976"/>
    <w:rsid w:val="36BE3D17"/>
    <w:rsid w:val="36FB68E0"/>
    <w:rsid w:val="376FC536"/>
    <w:rsid w:val="377FF6C2"/>
    <w:rsid w:val="37EF5B81"/>
    <w:rsid w:val="38763D00"/>
    <w:rsid w:val="39522F81"/>
    <w:rsid w:val="397D803C"/>
    <w:rsid w:val="39F7BE63"/>
    <w:rsid w:val="3A27446B"/>
    <w:rsid w:val="3ABFE068"/>
    <w:rsid w:val="3B3FEFC6"/>
    <w:rsid w:val="3BB2D926"/>
    <w:rsid w:val="3BDF5DF1"/>
    <w:rsid w:val="3BEF5109"/>
    <w:rsid w:val="3BFBFC5B"/>
    <w:rsid w:val="3BFE550A"/>
    <w:rsid w:val="3BFF5DCB"/>
    <w:rsid w:val="3C917532"/>
    <w:rsid w:val="3CBDD6D1"/>
    <w:rsid w:val="3CFB85E8"/>
    <w:rsid w:val="3CFFECC2"/>
    <w:rsid w:val="3DBA16E0"/>
    <w:rsid w:val="3DBC0929"/>
    <w:rsid w:val="3DCBFC8F"/>
    <w:rsid w:val="3DDDE9FA"/>
    <w:rsid w:val="3DF3D950"/>
    <w:rsid w:val="3DF789B6"/>
    <w:rsid w:val="3DFEC356"/>
    <w:rsid w:val="3E3FD107"/>
    <w:rsid w:val="3E77F767"/>
    <w:rsid w:val="3EBF771D"/>
    <w:rsid w:val="3ED75D75"/>
    <w:rsid w:val="3EDE6207"/>
    <w:rsid w:val="3EDFB90C"/>
    <w:rsid w:val="3EF13255"/>
    <w:rsid w:val="3F2DA9F5"/>
    <w:rsid w:val="3F2F2112"/>
    <w:rsid w:val="3F3BA958"/>
    <w:rsid w:val="3F3FAFF4"/>
    <w:rsid w:val="3F51ADC1"/>
    <w:rsid w:val="3F53CF37"/>
    <w:rsid w:val="3F5A9191"/>
    <w:rsid w:val="3F7F2256"/>
    <w:rsid w:val="3F7F6A22"/>
    <w:rsid w:val="3FAB4DAB"/>
    <w:rsid w:val="3FAF87EA"/>
    <w:rsid w:val="3FB9675B"/>
    <w:rsid w:val="3FBF7E73"/>
    <w:rsid w:val="3FDD9C71"/>
    <w:rsid w:val="3FDFF306"/>
    <w:rsid w:val="3FEE46F9"/>
    <w:rsid w:val="3FF7D110"/>
    <w:rsid w:val="3FF7E718"/>
    <w:rsid w:val="3FFA3DA3"/>
    <w:rsid w:val="3FFB924A"/>
    <w:rsid w:val="3FFE1762"/>
    <w:rsid w:val="3FFF7F04"/>
    <w:rsid w:val="40926D1C"/>
    <w:rsid w:val="40A1676B"/>
    <w:rsid w:val="435D4969"/>
    <w:rsid w:val="43DBFC5C"/>
    <w:rsid w:val="44385116"/>
    <w:rsid w:val="443BFC0E"/>
    <w:rsid w:val="44BF1B37"/>
    <w:rsid w:val="45CE2118"/>
    <w:rsid w:val="45DD824F"/>
    <w:rsid w:val="47BD1801"/>
    <w:rsid w:val="47D299F0"/>
    <w:rsid w:val="47E78A18"/>
    <w:rsid w:val="47F3283D"/>
    <w:rsid w:val="48286174"/>
    <w:rsid w:val="49341933"/>
    <w:rsid w:val="4A3A57A8"/>
    <w:rsid w:val="4AB915D4"/>
    <w:rsid w:val="4BDF3BA5"/>
    <w:rsid w:val="4BEB0116"/>
    <w:rsid w:val="4BFF4947"/>
    <w:rsid w:val="4C3F04A5"/>
    <w:rsid w:val="4CB1D8DF"/>
    <w:rsid w:val="4CFB9B23"/>
    <w:rsid w:val="4CFF3EAF"/>
    <w:rsid w:val="4DD7B2E9"/>
    <w:rsid w:val="4DF5E7D0"/>
    <w:rsid w:val="4ED3353B"/>
    <w:rsid w:val="4EF6EB99"/>
    <w:rsid w:val="4EF74D19"/>
    <w:rsid w:val="4EF9B8D2"/>
    <w:rsid w:val="4F336113"/>
    <w:rsid w:val="4F361CD0"/>
    <w:rsid w:val="4F5F4614"/>
    <w:rsid w:val="4FBEB55D"/>
    <w:rsid w:val="4FED2DF6"/>
    <w:rsid w:val="511F58A1"/>
    <w:rsid w:val="517789D4"/>
    <w:rsid w:val="517EE4AE"/>
    <w:rsid w:val="53115D65"/>
    <w:rsid w:val="5455CEA6"/>
    <w:rsid w:val="54BB841E"/>
    <w:rsid w:val="54D78784"/>
    <w:rsid w:val="54DF1B0C"/>
    <w:rsid w:val="55C027DF"/>
    <w:rsid w:val="55CE40E4"/>
    <w:rsid w:val="55DF24D4"/>
    <w:rsid w:val="55FF3980"/>
    <w:rsid w:val="567D0B80"/>
    <w:rsid w:val="56DD6784"/>
    <w:rsid w:val="571E5B6E"/>
    <w:rsid w:val="576F29CF"/>
    <w:rsid w:val="578DD94E"/>
    <w:rsid w:val="57F45EB5"/>
    <w:rsid w:val="588FF164"/>
    <w:rsid w:val="59561609"/>
    <w:rsid w:val="59DD2BD5"/>
    <w:rsid w:val="59F30D3D"/>
    <w:rsid w:val="59FFEF3C"/>
    <w:rsid w:val="5A9F98F2"/>
    <w:rsid w:val="5B589142"/>
    <w:rsid w:val="5B694D7F"/>
    <w:rsid w:val="5B958986"/>
    <w:rsid w:val="5BA02E96"/>
    <w:rsid w:val="5BEA4111"/>
    <w:rsid w:val="5C056297"/>
    <w:rsid w:val="5C1E3DBB"/>
    <w:rsid w:val="5D6C883E"/>
    <w:rsid w:val="5DBA5B38"/>
    <w:rsid w:val="5DBB360A"/>
    <w:rsid w:val="5DBB8B8A"/>
    <w:rsid w:val="5DC9DDCE"/>
    <w:rsid w:val="5DDB73EF"/>
    <w:rsid w:val="5DE57660"/>
    <w:rsid w:val="5EC17021"/>
    <w:rsid w:val="5ECF8F19"/>
    <w:rsid w:val="5ED79646"/>
    <w:rsid w:val="5EDF9D3B"/>
    <w:rsid w:val="5EFA3C7E"/>
    <w:rsid w:val="5EFAB4FE"/>
    <w:rsid w:val="5EFF7672"/>
    <w:rsid w:val="5F2F4E71"/>
    <w:rsid w:val="5F6D11AA"/>
    <w:rsid w:val="5F7DF9A6"/>
    <w:rsid w:val="5F952D55"/>
    <w:rsid w:val="5F9CD6BE"/>
    <w:rsid w:val="5FAF2414"/>
    <w:rsid w:val="5FB5B4E1"/>
    <w:rsid w:val="5FBBA753"/>
    <w:rsid w:val="5FBD3B86"/>
    <w:rsid w:val="5FBF40EE"/>
    <w:rsid w:val="5FCF7AC5"/>
    <w:rsid w:val="5FD74FBF"/>
    <w:rsid w:val="5FEF35FB"/>
    <w:rsid w:val="5FF6414F"/>
    <w:rsid w:val="5FF7A3F7"/>
    <w:rsid w:val="5FFB2BAE"/>
    <w:rsid w:val="5FFBA933"/>
    <w:rsid w:val="5FFBC642"/>
    <w:rsid w:val="5FFDB9B7"/>
    <w:rsid w:val="5FFF3484"/>
    <w:rsid w:val="5FFFC111"/>
    <w:rsid w:val="60185ACF"/>
    <w:rsid w:val="60F762D1"/>
    <w:rsid w:val="616D4A65"/>
    <w:rsid w:val="61777B89"/>
    <w:rsid w:val="626A60E7"/>
    <w:rsid w:val="645A5BAC"/>
    <w:rsid w:val="64DB6F9A"/>
    <w:rsid w:val="65777272"/>
    <w:rsid w:val="662BCFD6"/>
    <w:rsid w:val="667F08E8"/>
    <w:rsid w:val="67396072"/>
    <w:rsid w:val="676FF7CB"/>
    <w:rsid w:val="67BF6B70"/>
    <w:rsid w:val="67E94FB4"/>
    <w:rsid w:val="67FF090E"/>
    <w:rsid w:val="68BE2BB4"/>
    <w:rsid w:val="69361230"/>
    <w:rsid w:val="69675EBB"/>
    <w:rsid w:val="69AF3C43"/>
    <w:rsid w:val="69EB5BFE"/>
    <w:rsid w:val="69EF83E2"/>
    <w:rsid w:val="69F406AD"/>
    <w:rsid w:val="6B7EFB95"/>
    <w:rsid w:val="6B92145E"/>
    <w:rsid w:val="6BEB0B59"/>
    <w:rsid w:val="6C5E476A"/>
    <w:rsid w:val="6CFFB4F6"/>
    <w:rsid w:val="6D601DF1"/>
    <w:rsid w:val="6DB740FF"/>
    <w:rsid w:val="6DB78920"/>
    <w:rsid w:val="6DC34E29"/>
    <w:rsid w:val="6DFF0DFC"/>
    <w:rsid w:val="6DFF263D"/>
    <w:rsid w:val="6DFFB3B0"/>
    <w:rsid w:val="6DFFCB5C"/>
    <w:rsid w:val="6E7E9B3A"/>
    <w:rsid w:val="6EBF327A"/>
    <w:rsid w:val="6EDF1605"/>
    <w:rsid w:val="6EEDD3EF"/>
    <w:rsid w:val="6EF63FB7"/>
    <w:rsid w:val="6EFE75E2"/>
    <w:rsid w:val="6EFFBD3B"/>
    <w:rsid w:val="6EFFD1AF"/>
    <w:rsid w:val="6F0F0FFF"/>
    <w:rsid w:val="6F1EF796"/>
    <w:rsid w:val="6F4DA78B"/>
    <w:rsid w:val="6F5DC9F0"/>
    <w:rsid w:val="6F5E49BC"/>
    <w:rsid w:val="6F7E8087"/>
    <w:rsid w:val="6F9713D4"/>
    <w:rsid w:val="6FAE5D5D"/>
    <w:rsid w:val="6FDB47B3"/>
    <w:rsid w:val="6FDF2E5B"/>
    <w:rsid w:val="6FED4AD0"/>
    <w:rsid w:val="6FEFFEDF"/>
    <w:rsid w:val="6FF58F05"/>
    <w:rsid w:val="6FF5A77E"/>
    <w:rsid w:val="6FF778E0"/>
    <w:rsid w:val="6FFABABA"/>
    <w:rsid w:val="6FFE998B"/>
    <w:rsid w:val="6FFF41E5"/>
    <w:rsid w:val="70424A70"/>
    <w:rsid w:val="709B5624"/>
    <w:rsid w:val="70DDEE4B"/>
    <w:rsid w:val="713362E8"/>
    <w:rsid w:val="71DE09F3"/>
    <w:rsid w:val="72B7E403"/>
    <w:rsid w:val="72F7A50A"/>
    <w:rsid w:val="731FB429"/>
    <w:rsid w:val="737FA07C"/>
    <w:rsid w:val="737FFC53"/>
    <w:rsid w:val="73B51771"/>
    <w:rsid w:val="73BE5BFF"/>
    <w:rsid w:val="73DFE641"/>
    <w:rsid w:val="74270412"/>
    <w:rsid w:val="74F69932"/>
    <w:rsid w:val="74FD4FE8"/>
    <w:rsid w:val="7539933F"/>
    <w:rsid w:val="754E7A68"/>
    <w:rsid w:val="757D31DE"/>
    <w:rsid w:val="75AFE8D0"/>
    <w:rsid w:val="75B97D12"/>
    <w:rsid w:val="75E283BD"/>
    <w:rsid w:val="75FDDB11"/>
    <w:rsid w:val="762A3135"/>
    <w:rsid w:val="76FF487A"/>
    <w:rsid w:val="77171BA3"/>
    <w:rsid w:val="772587C1"/>
    <w:rsid w:val="773BCB5A"/>
    <w:rsid w:val="777B8B76"/>
    <w:rsid w:val="777E176F"/>
    <w:rsid w:val="777F7AE1"/>
    <w:rsid w:val="779C89D2"/>
    <w:rsid w:val="779E9705"/>
    <w:rsid w:val="77BC19B7"/>
    <w:rsid w:val="77BDA92F"/>
    <w:rsid w:val="77BE0CA1"/>
    <w:rsid w:val="77C2083E"/>
    <w:rsid w:val="77D96C14"/>
    <w:rsid w:val="77E538EA"/>
    <w:rsid w:val="77EB794E"/>
    <w:rsid w:val="77F5B78F"/>
    <w:rsid w:val="77FBE0FF"/>
    <w:rsid w:val="77FCFA98"/>
    <w:rsid w:val="783A1FD1"/>
    <w:rsid w:val="793547C6"/>
    <w:rsid w:val="797B2E99"/>
    <w:rsid w:val="79ABC19A"/>
    <w:rsid w:val="79AF6907"/>
    <w:rsid w:val="79BFF678"/>
    <w:rsid w:val="79D69EE4"/>
    <w:rsid w:val="79D9DAED"/>
    <w:rsid w:val="79DFB32B"/>
    <w:rsid w:val="79FE4653"/>
    <w:rsid w:val="79FF1D77"/>
    <w:rsid w:val="7A9AEB68"/>
    <w:rsid w:val="7AAE1A50"/>
    <w:rsid w:val="7ABF0F94"/>
    <w:rsid w:val="7ABF2B69"/>
    <w:rsid w:val="7ADFD7C1"/>
    <w:rsid w:val="7AF916FA"/>
    <w:rsid w:val="7AFBA20B"/>
    <w:rsid w:val="7AFD2091"/>
    <w:rsid w:val="7AFD4D02"/>
    <w:rsid w:val="7AFF58F5"/>
    <w:rsid w:val="7AFFB3D8"/>
    <w:rsid w:val="7AFFD81A"/>
    <w:rsid w:val="7B2C1B2B"/>
    <w:rsid w:val="7B3FF3B2"/>
    <w:rsid w:val="7B6F774D"/>
    <w:rsid w:val="7B96F5A5"/>
    <w:rsid w:val="7B9F04E3"/>
    <w:rsid w:val="7BBDC477"/>
    <w:rsid w:val="7BDB8CE3"/>
    <w:rsid w:val="7BDEA78B"/>
    <w:rsid w:val="7BF0EE26"/>
    <w:rsid w:val="7BF6CAFC"/>
    <w:rsid w:val="7BF76852"/>
    <w:rsid w:val="7BFF7838"/>
    <w:rsid w:val="7BFF7BB0"/>
    <w:rsid w:val="7BFFA4FE"/>
    <w:rsid w:val="7C654019"/>
    <w:rsid w:val="7CAE5B1B"/>
    <w:rsid w:val="7CDECBAB"/>
    <w:rsid w:val="7CE1BFEB"/>
    <w:rsid w:val="7CEAF52E"/>
    <w:rsid w:val="7CF65519"/>
    <w:rsid w:val="7CFFB650"/>
    <w:rsid w:val="7D3897C6"/>
    <w:rsid w:val="7D3F12A1"/>
    <w:rsid w:val="7D57A4F5"/>
    <w:rsid w:val="7D6B542C"/>
    <w:rsid w:val="7D771E53"/>
    <w:rsid w:val="7D7B1206"/>
    <w:rsid w:val="7DA666D6"/>
    <w:rsid w:val="7DBF5375"/>
    <w:rsid w:val="7DBFD2CF"/>
    <w:rsid w:val="7DDA61A8"/>
    <w:rsid w:val="7DDDB054"/>
    <w:rsid w:val="7DDE7950"/>
    <w:rsid w:val="7DEB7382"/>
    <w:rsid w:val="7DF57309"/>
    <w:rsid w:val="7DF7BB68"/>
    <w:rsid w:val="7DFBE93A"/>
    <w:rsid w:val="7DFF31EC"/>
    <w:rsid w:val="7E1E5CCA"/>
    <w:rsid w:val="7E3D0D6E"/>
    <w:rsid w:val="7E3F052E"/>
    <w:rsid w:val="7E77EAC3"/>
    <w:rsid w:val="7E7E0351"/>
    <w:rsid w:val="7EBFFE39"/>
    <w:rsid w:val="7ECD46F3"/>
    <w:rsid w:val="7ED743E8"/>
    <w:rsid w:val="7EDD5D82"/>
    <w:rsid w:val="7EE934C4"/>
    <w:rsid w:val="7EEB7A06"/>
    <w:rsid w:val="7EFAB833"/>
    <w:rsid w:val="7EFB4614"/>
    <w:rsid w:val="7EFD749B"/>
    <w:rsid w:val="7EFD766D"/>
    <w:rsid w:val="7EFE9981"/>
    <w:rsid w:val="7EFFED68"/>
    <w:rsid w:val="7F156270"/>
    <w:rsid w:val="7F4513E6"/>
    <w:rsid w:val="7F5F0661"/>
    <w:rsid w:val="7F5FFF2D"/>
    <w:rsid w:val="7F65DA52"/>
    <w:rsid w:val="7F6EC88A"/>
    <w:rsid w:val="7F6EF265"/>
    <w:rsid w:val="7F6F3E01"/>
    <w:rsid w:val="7F7359A3"/>
    <w:rsid w:val="7F74A4C1"/>
    <w:rsid w:val="7F76D35D"/>
    <w:rsid w:val="7F773308"/>
    <w:rsid w:val="7F7AB27F"/>
    <w:rsid w:val="7F7EE2AF"/>
    <w:rsid w:val="7F7F4338"/>
    <w:rsid w:val="7F7F6735"/>
    <w:rsid w:val="7F7F7D3F"/>
    <w:rsid w:val="7F9C3841"/>
    <w:rsid w:val="7F9F3338"/>
    <w:rsid w:val="7F9F9045"/>
    <w:rsid w:val="7FAD5621"/>
    <w:rsid w:val="7FAFDBED"/>
    <w:rsid w:val="7FB2E7D2"/>
    <w:rsid w:val="7FB59ABB"/>
    <w:rsid w:val="7FB7349F"/>
    <w:rsid w:val="7FB9CD2D"/>
    <w:rsid w:val="7FBA1DBA"/>
    <w:rsid w:val="7FBAC9CA"/>
    <w:rsid w:val="7FBB977E"/>
    <w:rsid w:val="7FBE2778"/>
    <w:rsid w:val="7FBECC9B"/>
    <w:rsid w:val="7FBF10E2"/>
    <w:rsid w:val="7FBF3EEE"/>
    <w:rsid w:val="7FCD5260"/>
    <w:rsid w:val="7FD71F84"/>
    <w:rsid w:val="7FDCDB3B"/>
    <w:rsid w:val="7FDD20F2"/>
    <w:rsid w:val="7FDF2EF7"/>
    <w:rsid w:val="7FDF7E94"/>
    <w:rsid w:val="7FDFDF7F"/>
    <w:rsid w:val="7FE221C4"/>
    <w:rsid w:val="7FE3A67E"/>
    <w:rsid w:val="7FEAF972"/>
    <w:rsid w:val="7FEF18A0"/>
    <w:rsid w:val="7FEF8E13"/>
    <w:rsid w:val="7FEF9C63"/>
    <w:rsid w:val="7FEFABFD"/>
    <w:rsid w:val="7FEFFD45"/>
    <w:rsid w:val="7FF3A5D8"/>
    <w:rsid w:val="7FF3C3CD"/>
    <w:rsid w:val="7FF3FC8F"/>
    <w:rsid w:val="7FF6B8AA"/>
    <w:rsid w:val="7FF6CED8"/>
    <w:rsid w:val="7FF75CB9"/>
    <w:rsid w:val="7FF7A590"/>
    <w:rsid w:val="7FF9C1EE"/>
    <w:rsid w:val="7FFAD525"/>
    <w:rsid w:val="7FFB9394"/>
    <w:rsid w:val="7FFCEEFD"/>
    <w:rsid w:val="7FFD671D"/>
    <w:rsid w:val="7FFF9774"/>
    <w:rsid w:val="7FFFB26F"/>
    <w:rsid w:val="7FFFB27B"/>
    <w:rsid w:val="7FFFCBE5"/>
    <w:rsid w:val="7FFFD4B5"/>
    <w:rsid w:val="7FFFDE7E"/>
    <w:rsid w:val="7FFFFE48"/>
    <w:rsid w:val="869DDACA"/>
    <w:rsid w:val="8EE77E4F"/>
    <w:rsid w:val="8FDF128A"/>
    <w:rsid w:val="8FF36DB7"/>
    <w:rsid w:val="8FFE9E2E"/>
    <w:rsid w:val="94FDB7F9"/>
    <w:rsid w:val="94FF3607"/>
    <w:rsid w:val="95F77A6B"/>
    <w:rsid w:val="96FF24E8"/>
    <w:rsid w:val="97C6D604"/>
    <w:rsid w:val="97FB7CE6"/>
    <w:rsid w:val="97FF51CE"/>
    <w:rsid w:val="983F3F4B"/>
    <w:rsid w:val="99FB23B3"/>
    <w:rsid w:val="9BBF0E46"/>
    <w:rsid w:val="9BFB18DF"/>
    <w:rsid w:val="9BFD7E11"/>
    <w:rsid w:val="9CDEA31B"/>
    <w:rsid w:val="9D3F3A4C"/>
    <w:rsid w:val="9F3A8861"/>
    <w:rsid w:val="9F7BCE3B"/>
    <w:rsid w:val="9FB4BD99"/>
    <w:rsid w:val="9FDA1372"/>
    <w:rsid w:val="9FDF31CC"/>
    <w:rsid w:val="9FF91159"/>
    <w:rsid w:val="9FFB1C94"/>
    <w:rsid w:val="A1DB92BA"/>
    <w:rsid w:val="A3BF7A6E"/>
    <w:rsid w:val="A4FFC953"/>
    <w:rsid w:val="A7A759BF"/>
    <w:rsid w:val="A7DBBB39"/>
    <w:rsid w:val="A7FC8E6E"/>
    <w:rsid w:val="A7FF3554"/>
    <w:rsid w:val="AB77B036"/>
    <w:rsid w:val="AB7C060F"/>
    <w:rsid w:val="ABF7C4D1"/>
    <w:rsid w:val="ACBBBA0D"/>
    <w:rsid w:val="ADFAC2E0"/>
    <w:rsid w:val="ADFF3058"/>
    <w:rsid w:val="AEBF0B41"/>
    <w:rsid w:val="AF1F0AFE"/>
    <w:rsid w:val="AF7FA2B4"/>
    <w:rsid w:val="AF8C3F21"/>
    <w:rsid w:val="AF8FFF3B"/>
    <w:rsid w:val="AFB723C9"/>
    <w:rsid w:val="AFFFF0EE"/>
    <w:rsid w:val="B53E8DB0"/>
    <w:rsid w:val="B5B2263E"/>
    <w:rsid w:val="B67ED74B"/>
    <w:rsid w:val="B6EFEBC8"/>
    <w:rsid w:val="B7683BFF"/>
    <w:rsid w:val="B7DFE060"/>
    <w:rsid w:val="B7F6B58A"/>
    <w:rsid w:val="B7FB09B9"/>
    <w:rsid w:val="B7FC9887"/>
    <w:rsid w:val="B7FD9431"/>
    <w:rsid w:val="B95F39F6"/>
    <w:rsid w:val="B9FFB812"/>
    <w:rsid w:val="BB9CCD26"/>
    <w:rsid w:val="BBAE740E"/>
    <w:rsid w:val="BBAF8B5F"/>
    <w:rsid w:val="BBC8831B"/>
    <w:rsid w:val="BCFBDD9E"/>
    <w:rsid w:val="BD655EEA"/>
    <w:rsid w:val="BDAE5644"/>
    <w:rsid w:val="BDDE8383"/>
    <w:rsid w:val="BDFDDE43"/>
    <w:rsid w:val="BE37FC8F"/>
    <w:rsid w:val="BE4B00DC"/>
    <w:rsid w:val="BE571C8B"/>
    <w:rsid w:val="BE7C6463"/>
    <w:rsid w:val="BEAF3918"/>
    <w:rsid w:val="BEBFB2C6"/>
    <w:rsid w:val="BECD101F"/>
    <w:rsid w:val="BEEF9D35"/>
    <w:rsid w:val="BEF7C3A1"/>
    <w:rsid w:val="BF4BD5A7"/>
    <w:rsid w:val="BF672029"/>
    <w:rsid w:val="BFA0262D"/>
    <w:rsid w:val="BFB7CE2B"/>
    <w:rsid w:val="BFBAFAD5"/>
    <w:rsid w:val="BFD42DF6"/>
    <w:rsid w:val="BFDA1ED4"/>
    <w:rsid w:val="BFDFDFD9"/>
    <w:rsid w:val="BFEBBC6E"/>
    <w:rsid w:val="BFEF5FFF"/>
    <w:rsid w:val="BFF720CF"/>
    <w:rsid w:val="BFFC29C5"/>
    <w:rsid w:val="BFFF4E2B"/>
    <w:rsid w:val="BFFFC28D"/>
    <w:rsid w:val="C15FE2D7"/>
    <w:rsid w:val="C6FEC181"/>
    <w:rsid w:val="C7BF2ACF"/>
    <w:rsid w:val="C7F79D3B"/>
    <w:rsid w:val="C9EA5742"/>
    <w:rsid w:val="CB9F1240"/>
    <w:rsid w:val="CBB82702"/>
    <w:rsid w:val="CBDC6C85"/>
    <w:rsid w:val="CD7F835E"/>
    <w:rsid w:val="CDFB3ACB"/>
    <w:rsid w:val="CDFFE013"/>
    <w:rsid w:val="CE5FDF3C"/>
    <w:rsid w:val="CE7F3602"/>
    <w:rsid w:val="CF7F9057"/>
    <w:rsid w:val="CF97264A"/>
    <w:rsid w:val="CFCA0001"/>
    <w:rsid w:val="CFDBC38D"/>
    <w:rsid w:val="CFDF2AF4"/>
    <w:rsid w:val="CFFB5A73"/>
    <w:rsid w:val="CFFD56F7"/>
    <w:rsid w:val="CFFFE25E"/>
    <w:rsid w:val="D56B49E7"/>
    <w:rsid w:val="D63C48EA"/>
    <w:rsid w:val="D6FD385E"/>
    <w:rsid w:val="D7B5398A"/>
    <w:rsid w:val="D7DA8F7B"/>
    <w:rsid w:val="D7DFEC15"/>
    <w:rsid w:val="D7E7EB5E"/>
    <w:rsid w:val="D7EBDEE1"/>
    <w:rsid w:val="D7FF4D17"/>
    <w:rsid w:val="D8EB152E"/>
    <w:rsid w:val="D9BDFA27"/>
    <w:rsid w:val="D9F7F492"/>
    <w:rsid w:val="D9FF4A30"/>
    <w:rsid w:val="DADF5E61"/>
    <w:rsid w:val="DB37AA42"/>
    <w:rsid w:val="DB7D4AA3"/>
    <w:rsid w:val="DBBE2281"/>
    <w:rsid w:val="DBBF6F2B"/>
    <w:rsid w:val="DBF421BD"/>
    <w:rsid w:val="DCECF78F"/>
    <w:rsid w:val="DD6D1D66"/>
    <w:rsid w:val="DD9C11E8"/>
    <w:rsid w:val="DDD7C777"/>
    <w:rsid w:val="DDDF9A5B"/>
    <w:rsid w:val="DDEB209C"/>
    <w:rsid w:val="DDF7BEB9"/>
    <w:rsid w:val="DDFBE280"/>
    <w:rsid w:val="DDFF01CE"/>
    <w:rsid w:val="DE9970DB"/>
    <w:rsid w:val="DEBDA1B0"/>
    <w:rsid w:val="DECFCA45"/>
    <w:rsid w:val="DEF22306"/>
    <w:rsid w:val="DEF55A9C"/>
    <w:rsid w:val="DEF87B44"/>
    <w:rsid w:val="DEFFAE64"/>
    <w:rsid w:val="DF2EA739"/>
    <w:rsid w:val="DF3FCD8D"/>
    <w:rsid w:val="DF4D6803"/>
    <w:rsid w:val="DF6ECFE4"/>
    <w:rsid w:val="DF7FE58B"/>
    <w:rsid w:val="DFAFF021"/>
    <w:rsid w:val="DFBD66A7"/>
    <w:rsid w:val="DFBFB32C"/>
    <w:rsid w:val="DFDEA4E0"/>
    <w:rsid w:val="DFE72300"/>
    <w:rsid w:val="DFEF4734"/>
    <w:rsid w:val="DFF7ECD2"/>
    <w:rsid w:val="DFFC4B6D"/>
    <w:rsid w:val="DFFD0AF5"/>
    <w:rsid w:val="DFFD20DE"/>
    <w:rsid w:val="DFFE10B1"/>
    <w:rsid w:val="DFFEA0C9"/>
    <w:rsid w:val="DFFF1305"/>
    <w:rsid w:val="DFFFDF80"/>
    <w:rsid w:val="E1F965CF"/>
    <w:rsid w:val="E3FF0DCF"/>
    <w:rsid w:val="E4DF7F8F"/>
    <w:rsid w:val="E65FF0A3"/>
    <w:rsid w:val="E7566DAB"/>
    <w:rsid w:val="E779D38A"/>
    <w:rsid w:val="E77F000E"/>
    <w:rsid w:val="E77FD953"/>
    <w:rsid w:val="E7BF3E61"/>
    <w:rsid w:val="E7EB5DA9"/>
    <w:rsid w:val="E7EF0114"/>
    <w:rsid w:val="E7FA17DC"/>
    <w:rsid w:val="E7FF3CDD"/>
    <w:rsid w:val="E8F6C72D"/>
    <w:rsid w:val="E8FF3E9C"/>
    <w:rsid w:val="E8FFB92E"/>
    <w:rsid w:val="E97FC7F3"/>
    <w:rsid w:val="E9DEAC92"/>
    <w:rsid w:val="EADA5092"/>
    <w:rsid w:val="EB9AE22B"/>
    <w:rsid w:val="EBED4AEB"/>
    <w:rsid w:val="EBFE014B"/>
    <w:rsid w:val="EBFF4EFE"/>
    <w:rsid w:val="EBFF8C58"/>
    <w:rsid w:val="EBFFC4A7"/>
    <w:rsid w:val="ECBEB972"/>
    <w:rsid w:val="ECBF47C7"/>
    <w:rsid w:val="ECBF81B1"/>
    <w:rsid w:val="ECDFD9E5"/>
    <w:rsid w:val="ED6DF23C"/>
    <w:rsid w:val="ED6F5C2F"/>
    <w:rsid w:val="ED6F8231"/>
    <w:rsid w:val="ED9DC764"/>
    <w:rsid w:val="EDAC993F"/>
    <w:rsid w:val="EDDB3DFA"/>
    <w:rsid w:val="EDEB3623"/>
    <w:rsid w:val="EDFA8C59"/>
    <w:rsid w:val="EDFF2FA3"/>
    <w:rsid w:val="EDFFF7FE"/>
    <w:rsid w:val="EEAE9E1D"/>
    <w:rsid w:val="EEAFEDF4"/>
    <w:rsid w:val="EEBD4B34"/>
    <w:rsid w:val="EEBF696A"/>
    <w:rsid w:val="EEEEABEB"/>
    <w:rsid w:val="EF4E2503"/>
    <w:rsid w:val="EF67BD34"/>
    <w:rsid w:val="EF744E76"/>
    <w:rsid w:val="EF7723C9"/>
    <w:rsid w:val="EF9D3F5D"/>
    <w:rsid w:val="EF9FF9D6"/>
    <w:rsid w:val="EFA72EE9"/>
    <w:rsid w:val="EFBB4774"/>
    <w:rsid w:val="EFBF7A35"/>
    <w:rsid w:val="EFBF8E55"/>
    <w:rsid w:val="EFDDD301"/>
    <w:rsid w:val="EFEB8DBE"/>
    <w:rsid w:val="EFEF1247"/>
    <w:rsid w:val="EFF60730"/>
    <w:rsid w:val="EFFB61A4"/>
    <w:rsid w:val="EFFBD30A"/>
    <w:rsid w:val="EFFD6B1C"/>
    <w:rsid w:val="EFFE83F3"/>
    <w:rsid w:val="F0DF8D9D"/>
    <w:rsid w:val="F0FB2005"/>
    <w:rsid w:val="F0FFD219"/>
    <w:rsid w:val="F17DF9B6"/>
    <w:rsid w:val="F17EB1D2"/>
    <w:rsid w:val="F1CFE81F"/>
    <w:rsid w:val="F1D797B3"/>
    <w:rsid w:val="F23ED0DD"/>
    <w:rsid w:val="F2DE3EFE"/>
    <w:rsid w:val="F3BFEE0A"/>
    <w:rsid w:val="F3C76ADC"/>
    <w:rsid w:val="F3E258DD"/>
    <w:rsid w:val="F437F64B"/>
    <w:rsid w:val="F4BFBCDF"/>
    <w:rsid w:val="F52B829B"/>
    <w:rsid w:val="F5A7625E"/>
    <w:rsid w:val="F5BE4FE5"/>
    <w:rsid w:val="F5EEB797"/>
    <w:rsid w:val="F657DD69"/>
    <w:rsid w:val="F67F1D87"/>
    <w:rsid w:val="F67F7E7F"/>
    <w:rsid w:val="F6BF9F3B"/>
    <w:rsid w:val="F6D592E4"/>
    <w:rsid w:val="F6FF47BB"/>
    <w:rsid w:val="F6FFAF89"/>
    <w:rsid w:val="F71F2573"/>
    <w:rsid w:val="F74EB729"/>
    <w:rsid w:val="F7773FB1"/>
    <w:rsid w:val="F77F9F1F"/>
    <w:rsid w:val="F7BA0131"/>
    <w:rsid w:val="F7BCE4B3"/>
    <w:rsid w:val="F7CFAA6D"/>
    <w:rsid w:val="F7D64ABC"/>
    <w:rsid w:val="F7DB95CA"/>
    <w:rsid w:val="F7F748BD"/>
    <w:rsid w:val="F7F95DF6"/>
    <w:rsid w:val="F7FA5434"/>
    <w:rsid w:val="F7FB1C27"/>
    <w:rsid w:val="F7FE31DB"/>
    <w:rsid w:val="F7FE8C75"/>
    <w:rsid w:val="F88F2F39"/>
    <w:rsid w:val="F8AF296D"/>
    <w:rsid w:val="F90F96F7"/>
    <w:rsid w:val="F9334AA8"/>
    <w:rsid w:val="F947EC72"/>
    <w:rsid w:val="F9772CED"/>
    <w:rsid w:val="F9D6BF95"/>
    <w:rsid w:val="F9D762E4"/>
    <w:rsid w:val="F9F3BC8E"/>
    <w:rsid w:val="FA3144ED"/>
    <w:rsid w:val="FA7AD007"/>
    <w:rsid w:val="FAF7613C"/>
    <w:rsid w:val="FAF9AEDD"/>
    <w:rsid w:val="FB17C95F"/>
    <w:rsid w:val="FB3679B7"/>
    <w:rsid w:val="FB37C0BA"/>
    <w:rsid w:val="FB3F4A47"/>
    <w:rsid w:val="FB7FB783"/>
    <w:rsid w:val="FB9DFAAB"/>
    <w:rsid w:val="FBBACC48"/>
    <w:rsid w:val="FBBED9D7"/>
    <w:rsid w:val="FBBFBB6F"/>
    <w:rsid w:val="FBC08DCD"/>
    <w:rsid w:val="FBD67B9A"/>
    <w:rsid w:val="FBD7FFA7"/>
    <w:rsid w:val="FBDAD2AE"/>
    <w:rsid w:val="FBDC28B9"/>
    <w:rsid w:val="FBDF823A"/>
    <w:rsid w:val="FBEDB77E"/>
    <w:rsid w:val="FBF59882"/>
    <w:rsid w:val="FBFBB5A0"/>
    <w:rsid w:val="FBFF5C7A"/>
    <w:rsid w:val="FBFFBCB5"/>
    <w:rsid w:val="FBFFCF2E"/>
    <w:rsid w:val="FCAEA675"/>
    <w:rsid w:val="FCCE718A"/>
    <w:rsid w:val="FCDA46A8"/>
    <w:rsid w:val="FCF3F7AE"/>
    <w:rsid w:val="FCFF1215"/>
    <w:rsid w:val="FCFF6FF0"/>
    <w:rsid w:val="FD3F6B6D"/>
    <w:rsid w:val="FD75ACA5"/>
    <w:rsid w:val="FD7B78C1"/>
    <w:rsid w:val="FDABCD02"/>
    <w:rsid w:val="FDAF1E02"/>
    <w:rsid w:val="FDB41AF9"/>
    <w:rsid w:val="FDB7B079"/>
    <w:rsid w:val="FDBD64A7"/>
    <w:rsid w:val="FDBF438A"/>
    <w:rsid w:val="FDCF1865"/>
    <w:rsid w:val="FDD32E04"/>
    <w:rsid w:val="FDDD67C0"/>
    <w:rsid w:val="FDDF157E"/>
    <w:rsid w:val="FDDF7F8E"/>
    <w:rsid w:val="FDEFDAE1"/>
    <w:rsid w:val="FDF16CCC"/>
    <w:rsid w:val="FDF1EF98"/>
    <w:rsid w:val="FDF72355"/>
    <w:rsid w:val="FDF9D880"/>
    <w:rsid w:val="FDFC78D4"/>
    <w:rsid w:val="FDFD28E8"/>
    <w:rsid w:val="FDFF4818"/>
    <w:rsid w:val="FDFF6A9E"/>
    <w:rsid w:val="FDFFB8E4"/>
    <w:rsid w:val="FDFFC391"/>
    <w:rsid w:val="FDFFC5BE"/>
    <w:rsid w:val="FE2F3EF0"/>
    <w:rsid w:val="FE3F8C64"/>
    <w:rsid w:val="FE5E626D"/>
    <w:rsid w:val="FE6F11CA"/>
    <w:rsid w:val="FE7EAC80"/>
    <w:rsid w:val="FE86D264"/>
    <w:rsid w:val="FE87D985"/>
    <w:rsid w:val="FEAFDF3B"/>
    <w:rsid w:val="FEBF6BCC"/>
    <w:rsid w:val="FEDEFA73"/>
    <w:rsid w:val="FEF752E6"/>
    <w:rsid w:val="FEF7E766"/>
    <w:rsid w:val="FEFB71D6"/>
    <w:rsid w:val="FEFB86BD"/>
    <w:rsid w:val="FEFE3D4D"/>
    <w:rsid w:val="FEFEF01C"/>
    <w:rsid w:val="FF1B7F5F"/>
    <w:rsid w:val="FF1F6B8C"/>
    <w:rsid w:val="FF3DDCC5"/>
    <w:rsid w:val="FF3F29D2"/>
    <w:rsid w:val="FF3FB06C"/>
    <w:rsid w:val="FF46ECEE"/>
    <w:rsid w:val="FF513FAA"/>
    <w:rsid w:val="FF528687"/>
    <w:rsid w:val="FF5F9C96"/>
    <w:rsid w:val="FF6929A6"/>
    <w:rsid w:val="FF734CDE"/>
    <w:rsid w:val="FF73DAD7"/>
    <w:rsid w:val="FF7C3AB7"/>
    <w:rsid w:val="FF7D59F0"/>
    <w:rsid w:val="FF7ED0A6"/>
    <w:rsid w:val="FF7F6A55"/>
    <w:rsid w:val="FFADD265"/>
    <w:rsid w:val="FFAF3C6B"/>
    <w:rsid w:val="FFAF4A5C"/>
    <w:rsid w:val="FFBB8872"/>
    <w:rsid w:val="FFBBAA47"/>
    <w:rsid w:val="FFBF6D14"/>
    <w:rsid w:val="FFBFCF0C"/>
    <w:rsid w:val="FFC76103"/>
    <w:rsid w:val="FFD7FEC1"/>
    <w:rsid w:val="FFDA96D8"/>
    <w:rsid w:val="FFDDE0E3"/>
    <w:rsid w:val="FFDEC6CF"/>
    <w:rsid w:val="FFE3FA90"/>
    <w:rsid w:val="FFE55971"/>
    <w:rsid w:val="FFEDE40A"/>
    <w:rsid w:val="FFEE4F9F"/>
    <w:rsid w:val="FFEEA80D"/>
    <w:rsid w:val="FFF47665"/>
    <w:rsid w:val="FFF58084"/>
    <w:rsid w:val="FFF79986"/>
    <w:rsid w:val="FFF8AEA6"/>
    <w:rsid w:val="FFF908FD"/>
    <w:rsid w:val="FFFB1B05"/>
    <w:rsid w:val="FFFB3D03"/>
    <w:rsid w:val="FFFBDBBC"/>
    <w:rsid w:val="FFFBF126"/>
    <w:rsid w:val="FFFCF7FB"/>
    <w:rsid w:val="FFFD113A"/>
    <w:rsid w:val="FFFF32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宋体" w:eastAsia="仿宋_GB2312" w:cs="宋体"/>
      <w:kern w:val="2"/>
      <w:sz w:val="32"/>
      <w:szCs w:val="3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99"/>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qFormat/>
    <w:uiPriority w:val="0"/>
    <w:pPr>
      <w:spacing w:before="150" w:after="150" w:line="480" w:lineRule="auto"/>
      <w:jc w:val="left"/>
    </w:pPr>
    <w:rPr>
      <w:rFonts w:ascii="宋体" w:eastAsia="宋体"/>
      <w:color w:val="000000"/>
      <w:kern w:val="0"/>
      <w:sz w:val="21"/>
      <w:szCs w:val="21"/>
    </w:rPr>
  </w:style>
  <w:style w:type="character" w:styleId="9">
    <w:name w:val="Strong"/>
    <w:basedOn w:val="8"/>
    <w:qFormat/>
    <w:uiPriority w:val="0"/>
    <w:rPr>
      <w:b/>
    </w:rPr>
  </w:style>
  <w:style w:type="paragraph" w:customStyle="1" w:styleId="10">
    <w:name w:val="标书正文1"/>
    <w:basedOn w:val="1"/>
    <w:qFormat/>
    <w:uiPriority w:val="0"/>
    <w:pPr>
      <w:spacing w:line="520" w:lineRule="exact"/>
      <w:ind w:firstLine="640" w:firstLineChars="200"/>
    </w:pPr>
    <w:rPr>
      <w:rFonts w:ascii="Times New Roman" w:hAnsi="Times New Roman" w:eastAsia="宋体"/>
    </w:rPr>
  </w:style>
  <w:style w:type="paragraph" w:customStyle="1" w:styleId="11">
    <w:name w:val="WW-Default"/>
    <w:qFormat/>
    <w:uiPriority w:val="99"/>
    <w:pPr>
      <w:widowControl w:val="0"/>
      <w:suppressAutoHyphens/>
      <w:autoSpaceDE w:val="0"/>
    </w:pPr>
    <w:rPr>
      <w:rFonts w:ascii="Calibri" w:hAnsi="Calibri" w:eastAsia="宋体" w:cs="Times New Roman"/>
      <w:color w:val="000000"/>
      <w:sz w:val="24"/>
      <w:szCs w:val="24"/>
      <w:lang w:val="en-US" w:eastAsia="zh-CN" w:bidi="ar-SA"/>
    </w:rPr>
  </w:style>
  <w:style w:type="character" w:customStyle="1" w:styleId="12">
    <w:name w:val="artcontent"/>
    <w:qFormat/>
    <w:uiPriority w:val="0"/>
    <w:rPr>
      <w:sz w:val="30"/>
    </w:rPr>
  </w:style>
  <w:style w:type="paragraph" w:customStyle="1" w:styleId="13">
    <w:name w:val="List Paragraph"/>
    <w:basedOn w:val="1"/>
    <w:qFormat/>
    <w:uiPriority w:val="0"/>
    <w:pPr>
      <w:ind w:firstLine="420" w:firstLineChars="200"/>
    </w:pPr>
    <w:rPr>
      <w:rFonts w:ascii="Times New Roman" w:hAnsi="Times New Roman" w:eastAsia="宋体" w:cs="Times New Roman"/>
      <w:sz w:val="21"/>
      <w:szCs w:val="24"/>
    </w:rPr>
  </w:style>
  <w:style w:type="paragraph" w:customStyle="1" w:styleId="14">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161447b8-d17e-4064-b7c6-7e912ea02f06</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10473BFB</paraID>
      <start xmlns="http://schemas.wps.cn/vas-ai-hub/contract-review">9</start>
      <end xmlns="http://schemas.wps.cn/vas-ai-hub/contract-review">18</end>
      <status xmlns="http://schemas.wps.cn/vas-ai-hub/contract-review">modified</status>
      <modifiedWord xmlns="http://schemas.wps.cn/vas-ai-hub/contract-review">法律法规</modifiedWord>
      <trackRevisions xmlns="http://schemas.wps.cn/vas-ai-hub/contract-review">true</trackRevisions>
    </reviewItem>
    <reviewItem xmlns="http://schemas.wps.cn/vas-ai-hub/contract-review">
      <errorID xmlns="http://schemas.wps.cn/vas-ai-hub/contract-review">059715e9-33de-4aec-9ba4-81b8be2ede38</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63A71561</paraID>
      <start xmlns="http://schemas.wps.cn/vas-ai-hub/contract-review">5</start>
      <end xmlns="http://schemas.wps.cn/vas-ai-hub/contract-review">14</end>
      <status xmlns="http://schemas.wps.cn/vas-ai-hub/contract-review">modified</status>
      <modifiedWord xmlns="http://schemas.wps.cn/vas-ai-hub/contract-review">法律法规</modifiedWord>
      <trackRevisions xmlns="http://schemas.wps.cn/vas-ai-hub/contract-review">true</trackRevisions>
    </reviewItem>
    <reviewItem xmlns="http://schemas.wps.cn/vas-ai-hub/contract-review">
      <errorID xmlns="http://schemas.wps.cn/vas-ai-hub/contract-review">a4e23ef9-4a04-45d1-8f4e-bc6eb9c94ce1</errorID>
      <errorWord xmlns="http://schemas.wps.cn/vas-ai-hub/contract-review">台湾地区</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中国台湾地区</item>
      </candidateList>
      <explain xmlns="http://schemas.wps.cn/vas-ai-hub/contract-review"/>
      <paraID xmlns="http://schemas.wps.cn/vas-ai-hub/contract-review">658D4618</paraID>
      <start xmlns="http://schemas.wps.cn/vas-ai-hub/contract-review">23</start>
      <end xmlns="http://schemas.wps.cn/vas-ai-hub/contract-review">27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198cd6d0-3922-4422-b4aa-430fbabd9b27</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，具</item>
      </candidateList>
      <explain xmlns="http://schemas.wps.cn/vas-ai-hub/contract-review"/>
      <paraID xmlns="http://schemas.wps.cn/vas-ai-hub/contract-review">24902F9B</paraID>
      <start xmlns="http://schemas.wps.cn/vas-ai-hub/contract-review">83</start>
      <end xmlns="http://schemas.wps.cn/vas-ai-hub/contract-review">86</end>
      <status xmlns="http://schemas.wps.cn/vas-ai-hub/contract-review">modified</status>
      <modifiedWord xmlns="http://schemas.wps.cn/vas-ai-hub/contract-review">，具</modifiedWord>
      <trackRevisions xmlns="http://schemas.wps.cn/vas-ai-hub/contract-review">true</trackRevisions>
    </reviewItem>
    <reviewItem xmlns="http://schemas.wps.cn/vas-ai-hub/contract-review">
      <errorID xmlns="http://schemas.wps.cn/vas-ai-hub/contract-review">9ce4a999-442c-4003-9e01-7dd2f59d816f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
      <paraID xmlns="http://schemas.wps.cn/vas-ai-hub/contract-review">12FC671F</paraID>
      <start xmlns="http://schemas.wps.cn/vas-ai-hub/contract-review">9</start>
      <end xmlns="http://schemas.wps.cn/vas-ai-hub/contract-review">10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5e5f0dc6-3c03-46f4-942f-10ab0909eec8</errorID>
      <errorWord xmlns="http://schemas.wps.cn/vas-ai-hub/contract-review">同意为</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同意</item>
      </candidateList>
      <explain xmlns="http://schemas.wps.cn/vas-ai-hub/contract-review"/>
      <paraID xmlns="http://schemas.wps.cn/vas-ai-hub/contract-review">4F1C23C7</paraID>
      <start xmlns="http://schemas.wps.cn/vas-ai-hub/contract-review">32</start>
      <end xmlns="http://schemas.wps.cn/vas-ai-hub/contract-review">35</end>
      <status xmlns="http://schemas.wps.cn/vas-ai-hub/contract-review">ignored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bd40d3-a75e-4553-b3c9-5b5497a624fb}">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11721</Words>
  <Characters>11801</Characters>
  <Lines>0</Lines>
  <Paragraphs>0</Paragraphs>
  <TotalTime>12</TotalTime>
  <ScaleCrop>false</ScaleCrop>
  <LinksUpToDate>false</LinksUpToDate>
  <CharactersWithSpaces>11835</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2023-10-26T09:01:00Z</dcterms:created>
  <dc:creator>user</dc:creator>
  <cp:lastModifiedBy>吴晓玲</cp:lastModifiedBy>
  <cp:lastPrinted>2025-09-29T17:37:00Z</cp:lastPrinted>
  <dcterms:modified xsi:type="dcterms:W3CDTF">2026-03-25T11:18:08Z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FF965AD9CC8C45ECB426C823B4D3CE40_13</vt:lpwstr>
  </property>
  <property fmtid="{D5CDD505-2E9C-101B-9397-08002B2CF9AE}" pid="4" name="KSOTemplateDocerSaveRecord">
    <vt:lpwstr>eyJoZGlkIjoiOWE4ZTExOTY2YmNjZTYzMTZhMDY1ODg2OWY0NWZmY2QiLCJ1c2VySWQiOiIyMjU5ODY0MDEifQ==</vt:lpwstr>
  </property>
</Properties>
</file>