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8A60F">
      <w:pPr>
        <w:shd w:val="clear" w:color="auto" w:fill="auto"/>
        <w:spacing w:line="560" w:lineRule="exact"/>
        <w:jc w:val="center"/>
        <w:rPr>
          <w:rFonts w:hint="eastAsia" w:ascii="方正小标宋简体" w:hAnsi="方正小标宋简体" w:eastAsia="方正小标宋简体" w:cs="方正小标宋简体"/>
          <w:b w:val="0"/>
          <w:bCs w:val="0"/>
          <w:color w:val="auto"/>
          <w:sz w:val="44"/>
          <w:szCs w:val="44"/>
          <w:highlight w:val="none"/>
          <w:u w:val="none"/>
        </w:rPr>
      </w:pPr>
      <w:bookmarkStart w:id="0" w:name="_GoBack"/>
      <w:bookmarkEnd w:id="0"/>
      <w:r>
        <w:rPr>
          <w:rFonts w:hint="eastAsia" w:ascii="方正小标宋简体" w:hAnsi="方正小标宋简体" w:eastAsia="方正小标宋简体" w:cs="方正小标宋简体"/>
          <w:b w:val="0"/>
          <w:bCs w:val="0"/>
          <w:color w:val="auto"/>
          <w:sz w:val="44"/>
          <w:szCs w:val="44"/>
          <w:highlight w:val="none"/>
          <w:u w:val="none"/>
        </w:rPr>
        <w:t>深圳市光明区国有</w:t>
      </w:r>
      <w:r>
        <w:rPr>
          <w:rFonts w:hint="eastAsia" w:ascii="方正小标宋简体" w:hAnsi="方正小标宋简体" w:eastAsia="方正小标宋简体" w:cs="方正小标宋简体"/>
          <w:b w:val="0"/>
          <w:bCs w:val="0"/>
          <w:color w:val="auto"/>
          <w:sz w:val="44"/>
          <w:szCs w:val="44"/>
          <w:highlight w:val="none"/>
          <w:u w:val="none"/>
          <w:lang w:eastAsia="zh-CN"/>
        </w:rPr>
        <w:t>企业参股</w:t>
      </w:r>
      <w:r>
        <w:rPr>
          <w:rFonts w:hint="eastAsia" w:ascii="方正小标宋简体" w:hAnsi="方正小标宋简体" w:eastAsia="方正小标宋简体" w:cs="方正小标宋简体"/>
          <w:b w:val="0"/>
          <w:bCs w:val="0"/>
          <w:color w:val="auto"/>
          <w:sz w:val="44"/>
          <w:szCs w:val="44"/>
          <w:highlight w:val="none"/>
          <w:u w:val="none"/>
        </w:rPr>
        <w:t>管理规定</w:t>
      </w:r>
    </w:p>
    <w:p w14:paraId="5DC281D8">
      <w:pPr>
        <w:spacing w:line="560" w:lineRule="exact"/>
        <w:jc w:val="center"/>
        <w:rPr>
          <w:rFonts w:hint="eastAsia" w:ascii="仿宋_GB2312" w:hAnsi="仿宋_GB2312" w:eastAsia="仿宋_GB2312" w:cs="仿宋_GB2312"/>
          <w:bCs/>
          <w:color w:val="auto"/>
          <w:kern w:val="0"/>
          <w:sz w:val="32"/>
          <w:szCs w:val="32"/>
          <w:highlight w:val="none"/>
          <w:u w:val="none"/>
          <w:lang w:eastAsia="zh-CN"/>
        </w:rPr>
      </w:pPr>
      <w:r>
        <w:rPr>
          <w:rFonts w:hint="eastAsia" w:hAnsi="仿宋_GB2312" w:cs="仿宋_GB2312"/>
          <w:bCs/>
          <w:color w:val="auto"/>
          <w:kern w:val="0"/>
          <w:sz w:val="32"/>
          <w:szCs w:val="32"/>
          <w:highlight w:val="none"/>
          <w:u w:val="none"/>
          <w:lang w:eastAsia="zh-CN"/>
        </w:rPr>
        <w:t>（</w:t>
      </w:r>
      <w:r>
        <w:rPr>
          <w:rFonts w:hint="eastAsia" w:hAnsi="仿宋_GB2312" w:cs="仿宋_GB2312"/>
          <w:bCs/>
          <w:color w:val="auto"/>
          <w:kern w:val="0"/>
          <w:sz w:val="32"/>
          <w:szCs w:val="32"/>
          <w:highlight w:val="none"/>
          <w:u w:val="none"/>
          <w:lang w:val="en-US" w:eastAsia="zh-CN"/>
        </w:rPr>
        <w:t>征求意见</w:t>
      </w:r>
      <w:r>
        <w:rPr>
          <w:rFonts w:hint="eastAsia" w:hAnsi="仿宋_GB2312" w:cs="仿宋_GB2312"/>
          <w:bCs/>
          <w:color w:val="auto"/>
          <w:kern w:val="0"/>
          <w:sz w:val="32"/>
          <w:szCs w:val="32"/>
          <w:highlight w:val="none"/>
          <w:u w:val="none"/>
          <w:lang w:eastAsia="zh-CN"/>
        </w:rPr>
        <w:t>稿）</w:t>
      </w:r>
    </w:p>
    <w:p w14:paraId="7E5EF3A7">
      <w:pPr>
        <w:shd w:val="clear" w:color="auto" w:fill="auto"/>
        <w:spacing w:line="560" w:lineRule="exact"/>
        <w:jc w:val="center"/>
        <w:rPr>
          <w:rFonts w:hint="eastAsia" w:ascii="黑体" w:hAnsi="黑体" w:eastAsia="黑体" w:cs="仿宋"/>
          <w:b w:val="0"/>
          <w:bCs/>
          <w:color w:val="auto"/>
          <w:sz w:val="32"/>
          <w:szCs w:val="32"/>
          <w:highlight w:val="none"/>
          <w:u w:val="none"/>
        </w:rPr>
      </w:pPr>
    </w:p>
    <w:p w14:paraId="2EAD518B">
      <w:pPr>
        <w:shd w:val="clear" w:color="auto" w:fill="auto"/>
        <w:spacing w:line="560" w:lineRule="exact"/>
        <w:jc w:val="center"/>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rPr>
        <w:t>第一章  总则</w:t>
      </w:r>
    </w:p>
    <w:p w14:paraId="33229726">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为规范光明区国有</w:t>
      </w:r>
      <w:r>
        <w:rPr>
          <w:rFonts w:hint="eastAsia" w:hAnsi="仿宋" w:cs="仿宋"/>
          <w:b w:val="0"/>
          <w:bCs/>
          <w:color w:val="auto"/>
          <w:sz w:val="32"/>
          <w:szCs w:val="32"/>
          <w:highlight w:val="none"/>
          <w:u w:val="none"/>
          <w:lang w:eastAsia="zh-CN"/>
        </w:rPr>
        <w:t>资本</w:t>
      </w:r>
      <w:r>
        <w:rPr>
          <w:rFonts w:hint="eastAsia" w:ascii="仿宋_GB2312" w:hAnsi="仿宋" w:eastAsia="仿宋_GB2312" w:cs="仿宋"/>
          <w:b w:val="0"/>
          <w:bCs/>
          <w:color w:val="auto"/>
          <w:sz w:val="32"/>
          <w:szCs w:val="32"/>
          <w:highlight w:val="none"/>
          <w:u w:val="none"/>
          <w:lang w:eastAsia="zh-CN"/>
        </w:rPr>
        <w:t>参股投资行为</w:t>
      </w:r>
      <w:r>
        <w:rPr>
          <w:rFonts w:hint="eastAsia" w:hAnsi="仿宋" w:cs="仿宋"/>
          <w:b w:val="0"/>
          <w:bCs/>
          <w:color w:val="auto"/>
          <w:sz w:val="32"/>
          <w:szCs w:val="32"/>
          <w:highlight w:val="none"/>
          <w:u w:val="none"/>
          <w:lang w:eastAsia="zh-CN"/>
        </w:rPr>
        <w:t>，加强</w:t>
      </w:r>
      <w:r>
        <w:rPr>
          <w:rFonts w:hint="eastAsia" w:ascii="仿宋_GB2312" w:hAnsi="仿宋" w:eastAsia="仿宋_GB2312" w:cs="仿宋"/>
          <w:b w:val="0"/>
          <w:bCs/>
          <w:color w:val="auto"/>
          <w:sz w:val="32"/>
          <w:szCs w:val="32"/>
          <w:highlight w:val="none"/>
          <w:u w:val="none"/>
        </w:rPr>
        <w:t>参股公司监督管理，确保国有资产保值增值，根据《中华人民共和国企业国有资产法》《中华人民共和国公司法》《企业国有资产监督管理暂行条例》等法律法规，结合我区实际，制定本规定。</w:t>
      </w:r>
    </w:p>
    <w:p w14:paraId="7FDA5665">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本规定所称的国有参股公司是指由区政府、区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或区</w:t>
      </w:r>
      <w:r>
        <w:rPr>
          <w:rFonts w:hint="eastAsia" w:hAnsi="仿宋" w:cs="仿宋"/>
          <w:b w:val="0"/>
          <w:bCs/>
          <w:color w:val="auto"/>
          <w:sz w:val="32"/>
          <w:szCs w:val="32"/>
          <w:highlight w:val="none"/>
          <w:u w:val="none"/>
          <w:lang w:eastAsia="zh-CN"/>
        </w:rPr>
        <w:t>国有企业</w:t>
      </w:r>
      <w:r>
        <w:rPr>
          <w:rFonts w:hint="eastAsia" w:ascii="仿宋_GB2312" w:hAnsi="仿宋" w:eastAsia="仿宋_GB2312" w:cs="仿宋"/>
          <w:b w:val="0"/>
          <w:bCs/>
          <w:color w:val="auto"/>
          <w:sz w:val="32"/>
          <w:szCs w:val="32"/>
          <w:highlight w:val="none"/>
          <w:u w:val="none"/>
        </w:rPr>
        <w:t>为出资人</w:t>
      </w:r>
      <w:r>
        <w:rPr>
          <w:rFonts w:hint="eastAsia" w:hAnsi="仿宋" w:cs="仿宋"/>
          <w:b w:val="0"/>
          <w:bCs/>
          <w:color w:val="auto"/>
          <w:sz w:val="32"/>
          <w:szCs w:val="32"/>
          <w:highlight w:val="none"/>
          <w:u w:val="none"/>
          <w:lang w:eastAsia="zh-CN"/>
        </w:rPr>
        <w:t>（以下统称出资人）</w:t>
      </w:r>
      <w:r>
        <w:rPr>
          <w:rFonts w:hint="eastAsia" w:ascii="仿宋_GB2312" w:hAnsi="仿宋" w:eastAsia="仿宋_GB2312" w:cs="仿宋"/>
          <w:b w:val="0"/>
          <w:bCs/>
          <w:color w:val="auto"/>
          <w:sz w:val="32"/>
          <w:szCs w:val="32"/>
          <w:highlight w:val="none"/>
          <w:u w:val="none"/>
        </w:rPr>
        <w:t>，持有公司</w:t>
      </w:r>
      <w:r>
        <w:rPr>
          <w:rFonts w:ascii="仿宋_GB2312" w:hAnsi="仿宋" w:eastAsia="仿宋_GB2312" w:cs="仿宋"/>
          <w:b w:val="0"/>
          <w:bCs/>
          <w:color w:val="auto"/>
          <w:sz w:val="32"/>
          <w:szCs w:val="32"/>
          <w:highlight w:val="none"/>
          <w:u w:val="none"/>
        </w:rPr>
        <w:t>50%</w:t>
      </w:r>
      <w:r>
        <w:rPr>
          <w:rFonts w:hint="eastAsia" w:ascii="仿宋_GB2312" w:hAnsi="仿宋" w:eastAsia="仿宋_GB2312" w:cs="仿宋"/>
          <w:b w:val="0"/>
          <w:bCs/>
          <w:color w:val="auto"/>
          <w:sz w:val="32"/>
          <w:szCs w:val="32"/>
          <w:highlight w:val="none"/>
          <w:u w:val="none"/>
        </w:rPr>
        <w:t>以下比例的股份且不具有实际控制权的公司。</w:t>
      </w:r>
    </w:p>
    <w:p w14:paraId="1C3F9108">
      <w:pPr>
        <w:numPr>
          <w:ilvl w:val="0"/>
          <w:numId w:val="1"/>
        </w:numPr>
        <w:shd w:val="clear" w:color="auto" w:fill="auto"/>
        <w:spacing w:line="560" w:lineRule="exact"/>
        <w:ind w:left="0" w:firstLine="640" w:firstLineChars="200"/>
        <w:rPr>
          <w:rFonts w:ascii="仿宋_GB2312" w:hAnsi="仿宋" w:eastAsia="仿宋_GB2312" w:cs="仿宋"/>
          <w:b w:val="0"/>
          <w:bCs/>
          <w:color w:val="auto"/>
          <w:sz w:val="32"/>
          <w:szCs w:val="32"/>
          <w:highlight w:val="none"/>
          <w:u w:val="none"/>
        </w:rPr>
      </w:pPr>
      <w:r>
        <w:rPr>
          <w:rFonts w:hint="eastAsia" w:hAnsi="仿宋" w:cs="仿宋"/>
          <w:b w:val="0"/>
          <w:bCs/>
          <w:color w:val="auto"/>
          <w:sz w:val="32"/>
          <w:szCs w:val="32"/>
          <w:highlight w:val="none"/>
          <w:u w:val="none"/>
          <w:lang w:val="en-US" w:eastAsia="zh-CN"/>
        </w:rPr>
        <w:t>国有</w:t>
      </w:r>
      <w:r>
        <w:rPr>
          <w:rFonts w:hint="eastAsia" w:hAnsi="仿宋" w:cs="仿宋"/>
          <w:b w:val="0"/>
          <w:bCs/>
          <w:color w:val="auto"/>
          <w:sz w:val="32"/>
          <w:szCs w:val="32"/>
          <w:highlight w:val="none"/>
          <w:u w:val="none"/>
          <w:lang w:eastAsia="zh-CN"/>
        </w:rPr>
        <w:t>参股公司的管理应覆盖参股投资管理、参股股权经营管理、退出管理三个环节。遵循以下原则：</w:t>
      </w:r>
    </w:p>
    <w:p w14:paraId="484639B6">
      <w:pPr>
        <w:numPr>
          <w:ilvl w:val="-1"/>
          <w:numId w:val="0"/>
        </w:numPr>
        <w:shd w:val="clear" w:color="auto" w:fill="auto"/>
        <w:spacing w:line="560" w:lineRule="exact"/>
        <w:ind w:left="0" w:leftChars="0" w:firstLine="640" w:firstLineChars="200"/>
        <w:rPr>
          <w:rFonts w:hint="eastAsia" w:ascii="仿宋_GB2312" w:hAnsi="仿宋" w:eastAsia="仿宋_GB2312"/>
          <w:color w:val="auto"/>
          <w:sz w:val="32"/>
          <w:szCs w:val="28"/>
          <w:highlight w:val="none"/>
          <w:u w:val="none"/>
        </w:rPr>
      </w:pPr>
      <w:r>
        <w:rPr>
          <w:rFonts w:hint="default" w:hAnsi="仿宋"/>
          <w:color w:val="auto"/>
          <w:sz w:val="32"/>
          <w:szCs w:val="28"/>
          <w:highlight w:val="none"/>
          <w:u w:val="none"/>
          <w:lang w:val="en"/>
        </w:rPr>
        <w:t>（一）</w:t>
      </w:r>
      <w:r>
        <w:rPr>
          <w:rFonts w:hint="eastAsia" w:ascii="仿宋_GB2312" w:hAnsi="仿宋" w:eastAsia="仿宋_GB2312"/>
          <w:color w:val="auto"/>
          <w:sz w:val="32"/>
          <w:szCs w:val="28"/>
          <w:highlight w:val="none"/>
          <w:u w:val="none"/>
        </w:rPr>
        <w:t>依法依规。遵守相关政策法规，依法行使股东权利、履行股东义务，尊重参股企业的经营自主权。</w:t>
      </w:r>
    </w:p>
    <w:p w14:paraId="600A9FD8">
      <w:pPr>
        <w:numPr>
          <w:ilvl w:val="-1"/>
          <w:numId w:val="0"/>
        </w:numPr>
        <w:shd w:val="clear" w:color="auto" w:fill="auto"/>
        <w:spacing w:line="560" w:lineRule="exact"/>
        <w:ind w:left="0" w:leftChars="0" w:firstLine="640" w:firstLineChars="200"/>
        <w:rPr>
          <w:rFonts w:hint="eastAsia" w:ascii="仿宋_GB2312" w:hAnsi="仿宋" w:eastAsia="仿宋_GB2312"/>
          <w:color w:val="auto"/>
          <w:sz w:val="32"/>
          <w:szCs w:val="28"/>
          <w:highlight w:val="none"/>
          <w:u w:val="none"/>
          <w:lang w:eastAsia="zh-CN"/>
        </w:rPr>
      </w:pPr>
      <w:r>
        <w:rPr>
          <w:rFonts w:hint="eastAsia" w:ascii="仿宋_GB2312" w:hAnsi="仿宋" w:eastAsia="仿宋_GB2312"/>
          <w:color w:val="auto"/>
          <w:sz w:val="32"/>
          <w:szCs w:val="28"/>
          <w:highlight w:val="none"/>
          <w:u w:val="none"/>
        </w:rPr>
        <w:t>（二）效率效益并重。健全符合市场规律的管控机制，兼顾管理效率；关注并做好重大事项管理，提升参股企业的价值</w:t>
      </w:r>
      <w:r>
        <w:rPr>
          <w:rFonts w:hint="eastAsia" w:hAnsi="仿宋"/>
          <w:color w:val="auto"/>
          <w:sz w:val="32"/>
          <w:szCs w:val="28"/>
          <w:highlight w:val="none"/>
          <w:u w:val="none"/>
          <w:lang w:eastAsia="zh-CN"/>
        </w:rPr>
        <w:t>。</w:t>
      </w:r>
    </w:p>
    <w:p w14:paraId="5B8FCD4F">
      <w:pPr>
        <w:numPr>
          <w:ilvl w:val="-1"/>
          <w:numId w:val="0"/>
        </w:numPr>
        <w:shd w:val="clear" w:color="auto" w:fill="auto"/>
        <w:spacing w:line="560" w:lineRule="exact"/>
        <w:ind w:left="0" w:leftChars="0" w:firstLine="640" w:firstLineChars="200"/>
        <w:rPr>
          <w:rFonts w:hint="eastAsia" w:ascii="仿宋_GB2312" w:hAnsi="仿宋" w:eastAsia="仿宋_GB2312"/>
          <w:color w:val="auto"/>
          <w:sz w:val="32"/>
          <w:szCs w:val="28"/>
          <w:highlight w:val="none"/>
          <w:u w:val="none"/>
        </w:rPr>
      </w:pPr>
      <w:r>
        <w:rPr>
          <w:rFonts w:hint="eastAsia" w:ascii="仿宋_GB2312" w:hAnsi="仿宋" w:eastAsia="仿宋_GB2312"/>
          <w:color w:val="auto"/>
          <w:sz w:val="32"/>
          <w:szCs w:val="28"/>
          <w:highlight w:val="none"/>
          <w:u w:val="none"/>
        </w:rPr>
        <w:t>（三）分类管理。遵循“谁投资、谁负责”原则，结合持股比例及协同性等对参股企业分类管理，实施差异化管控。</w:t>
      </w:r>
    </w:p>
    <w:p w14:paraId="02142121">
      <w:pPr>
        <w:numPr>
          <w:ilvl w:val="0"/>
          <w:numId w:val="1"/>
        </w:numPr>
        <w:shd w:val="clear" w:color="auto" w:fill="auto"/>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hAnsi="仿宋"/>
          <w:color w:val="auto"/>
          <w:sz w:val="32"/>
          <w:szCs w:val="28"/>
          <w:highlight w:val="none"/>
          <w:u w:val="none"/>
          <w:lang w:val="en-US" w:eastAsia="zh-CN"/>
        </w:rPr>
        <w:t>区</w:t>
      </w:r>
      <w:r>
        <w:rPr>
          <w:rFonts w:hint="default" w:hAnsi="仿宋"/>
          <w:color w:val="auto"/>
          <w:sz w:val="32"/>
          <w:szCs w:val="28"/>
          <w:highlight w:val="none"/>
          <w:u w:val="none"/>
          <w:lang w:val="en" w:eastAsia="zh-CN"/>
        </w:rPr>
        <w:t>国资监管部门</w:t>
      </w:r>
      <w:r>
        <w:rPr>
          <w:rFonts w:hint="eastAsia" w:hAnsi="仿宋"/>
          <w:color w:val="auto"/>
          <w:sz w:val="32"/>
          <w:szCs w:val="28"/>
          <w:highlight w:val="none"/>
          <w:u w:val="none"/>
          <w:lang w:val="en-US" w:eastAsia="zh-CN"/>
        </w:rPr>
        <w:t>和直管企业依职责和出资情况分别履行国有参股公司的监管责任。</w:t>
      </w:r>
    </w:p>
    <w:p w14:paraId="2ECABE73">
      <w:pPr>
        <w:numPr>
          <w:ilvl w:val="0"/>
          <w:numId w:val="1"/>
        </w:numPr>
        <w:shd w:val="clear" w:color="auto" w:fill="auto"/>
        <w:spacing w:line="560" w:lineRule="exact"/>
        <w:ind w:left="0" w:firstLine="640" w:firstLineChars="200"/>
        <w:rPr>
          <w:rFonts w:hint="eastAsia" w:hAnsi="仿宋"/>
          <w:color w:val="auto"/>
          <w:szCs w:val="28"/>
          <w:highlight w:val="none"/>
          <w:u w:val="none"/>
        </w:rPr>
      </w:pPr>
      <w:r>
        <w:rPr>
          <w:rFonts w:hint="eastAsia" w:hAnsi="仿宋"/>
          <w:color w:val="auto"/>
          <w:szCs w:val="28"/>
          <w:highlight w:val="none"/>
          <w:u w:val="none"/>
        </w:rPr>
        <w:t>区国资监管部门履行业务指导和监督管理职责：</w:t>
      </w:r>
    </w:p>
    <w:p w14:paraId="768B7170">
      <w:pPr>
        <w:pStyle w:val="2"/>
        <w:numPr>
          <w:ilvl w:val="0"/>
          <w:numId w:val="2"/>
        </w:numPr>
        <w:spacing w:line="560" w:lineRule="exact"/>
        <w:rPr>
          <w:rFonts w:hint="eastAsia" w:ascii="仿宋_GB2312" w:hAnsi="仿宋_GB2312" w:eastAsia="仿宋_GB2312" w:cs="仿宋_GB2312"/>
          <w:color w:val="auto"/>
          <w:szCs w:val="28"/>
          <w:highlight w:val="none"/>
          <w:u w:val="none"/>
          <w:lang w:eastAsia="zh-CN"/>
        </w:rPr>
      </w:pPr>
      <w:r>
        <w:rPr>
          <w:rFonts w:hint="eastAsia" w:ascii="仿宋_GB2312" w:hAnsi="仿宋_GB2312" w:eastAsia="仿宋_GB2312" w:cs="仿宋_GB2312"/>
          <w:color w:val="auto"/>
          <w:szCs w:val="28"/>
          <w:highlight w:val="none"/>
          <w:u w:val="none"/>
          <w:lang w:eastAsia="zh-CN"/>
        </w:rPr>
        <w:t>负责监管区政府和区国资监管部门直接参股的企业。</w:t>
      </w:r>
    </w:p>
    <w:p w14:paraId="78ACF30C">
      <w:pPr>
        <w:pStyle w:val="2"/>
        <w:numPr>
          <w:ilvl w:val="0"/>
          <w:numId w:val="2"/>
        </w:numPr>
        <w:spacing w:line="560" w:lineRule="exact"/>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指导直管企业与所属企业建立参股投资管控体系。</w:t>
      </w:r>
    </w:p>
    <w:p w14:paraId="7540BF36">
      <w:pPr>
        <w:pStyle w:val="2"/>
        <w:numPr>
          <w:ilvl w:val="0"/>
          <w:numId w:val="2"/>
        </w:numPr>
        <w:spacing w:line="560" w:lineRule="exact"/>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监督检查直管企业与所属企业参股投资的合法性、合规性。</w:t>
      </w:r>
    </w:p>
    <w:p w14:paraId="1868B880">
      <w:pPr>
        <w:pStyle w:val="2"/>
        <w:numPr>
          <w:ilvl w:val="0"/>
          <w:numId w:val="2"/>
        </w:numPr>
        <w:spacing w:line="560" w:lineRule="exact"/>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协调直管企业之间以及与央企、市属国企、其他地方国有企业之间的参股投资协同工作</w:t>
      </w:r>
      <w:r>
        <w:rPr>
          <w:rFonts w:hint="eastAsia" w:ascii="仿宋_GB2312" w:hAnsi="仿宋_GB2312" w:eastAsia="仿宋_GB2312" w:cs="仿宋_GB2312"/>
          <w:color w:val="auto"/>
          <w:szCs w:val="28"/>
          <w:highlight w:val="none"/>
          <w:lang w:eastAsia="zh-CN"/>
        </w:rPr>
        <w:t>。</w:t>
      </w:r>
    </w:p>
    <w:p w14:paraId="798B0B02">
      <w:pPr>
        <w:pStyle w:val="2"/>
        <w:numPr>
          <w:ilvl w:val="0"/>
          <w:numId w:val="2"/>
        </w:numPr>
        <w:spacing w:line="560" w:lineRule="exact"/>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负责参股投资重大违规行为的责任追究。</w:t>
      </w:r>
    </w:p>
    <w:p w14:paraId="07FE87EC">
      <w:pPr>
        <w:pStyle w:val="2"/>
        <w:numPr>
          <w:ilvl w:val="0"/>
          <w:numId w:val="2"/>
        </w:numPr>
        <w:spacing w:line="560" w:lineRule="exact"/>
        <w:rPr>
          <w:rFonts w:hint="eastAsia" w:ascii="仿宋_GB2312" w:hAnsi="仿宋_GB2312" w:eastAsia="仿宋_GB2312" w:cs="仿宋_GB2312"/>
          <w:color w:val="auto"/>
          <w:szCs w:val="28"/>
          <w:highlight w:val="none"/>
          <w:lang w:eastAsia="zh-CN"/>
        </w:rPr>
      </w:pPr>
      <w:r>
        <w:rPr>
          <w:rFonts w:hint="eastAsia" w:ascii="仿宋_GB2312" w:hAnsi="仿宋_GB2312" w:eastAsia="仿宋_GB2312" w:cs="仿宋_GB2312"/>
          <w:color w:val="auto"/>
          <w:szCs w:val="28"/>
          <w:highlight w:val="none"/>
        </w:rPr>
        <w:t>法律法规、规章和规范性文件规定的其他职责</w:t>
      </w:r>
      <w:r>
        <w:rPr>
          <w:rFonts w:hint="eastAsia" w:ascii="仿宋_GB2312" w:hAnsi="仿宋_GB2312" w:eastAsia="仿宋_GB2312" w:cs="仿宋_GB2312"/>
          <w:color w:val="auto"/>
          <w:szCs w:val="28"/>
          <w:highlight w:val="none"/>
          <w:lang w:eastAsia="zh-CN"/>
        </w:rPr>
        <w:t>。</w:t>
      </w:r>
    </w:p>
    <w:p w14:paraId="77450A62">
      <w:pPr>
        <w:numPr>
          <w:ilvl w:val="0"/>
          <w:numId w:val="1"/>
        </w:numPr>
        <w:shd w:val="clear" w:color="auto" w:fill="auto"/>
        <w:spacing w:line="560" w:lineRule="exact"/>
        <w:ind w:left="0" w:firstLine="640" w:firstLineChars="200"/>
        <w:rPr>
          <w:rFonts w:hint="eastAsia" w:hAnsi="仿宋" w:cs="仿宋"/>
          <w:bCs/>
          <w:color w:val="auto"/>
          <w:highlight w:val="none"/>
          <w:u w:val="none"/>
        </w:rPr>
      </w:pPr>
      <w:r>
        <w:rPr>
          <w:rFonts w:hint="eastAsia" w:hAnsi="仿宋" w:cs="仿宋"/>
          <w:bCs/>
          <w:color w:val="auto"/>
          <w:highlight w:val="none"/>
          <w:u w:val="none"/>
        </w:rPr>
        <w:t>直管企业负责本企业及其所属企业的参股公司管理：</w:t>
      </w:r>
    </w:p>
    <w:p w14:paraId="42DBBF0B">
      <w:pPr>
        <w:numPr>
          <w:ilvl w:val="-1"/>
          <w:numId w:val="0"/>
        </w:numPr>
        <w:shd w:val="clear" w:color="auto" w:fill="auto"/>
        <w:spacing w:line="560" w:lineRule="exact"/>
        <w:ind w:left="0" w:leftChars="0" w:firstLine="640" w:firstLineChars="200"/>
        <w:rPr>
          <w:rFonts w:hint="eastAsia" w:hAnsi="仿宋" w:cs="仿宋"/>
          <w:bCs/>
          <w:color w:val="auto"/>
          <w:highlight w:val="none"/>
          <w:u w:val="none"/>
        </w:rPr>
      </w:pPr>
      <w:r>
        <w:rPr>
          <w:rFonts w:hint="eastAsia" w:hAnsi="仿宋" w:cs="仿宋"/>
          <w:bCs/>
          <w:color w:val="auto"/>
          <w:highlight w:val="none"/>
          <w:u w:val="none"/>
        </w:rPr>
        <w:t>（一）制定参股投资管理制度，明确管理职责，建立健全管控体系；</w:t>
      </w:r>
    </w:p>
    <w:p w14:paraId="2FBB5B05">
      <w:pPr>
        <w:numPr>
          <w:ilvl w:val="-1"/>
          <w:numId w:val="0"/>
        </w:numPr>
        <w:shd w:val="clear" w:color="auto" w:fill="auto"/>
        <w:spacing w:line="560" w:lineRule="exact"/>
        <w:ind w:left="0" w:leftChars="0" w:firstLine="640" w:firstLineChars="200"/>
        <w:rPr>
          <w:rFonts w:hint="eastAsia" w:hAnsi="仿宋" w:cs="仿宋"/>
          <w:bCs/>
          <w:color w:val="auto"/>
          <w:highlight w:val="none"/>
          <w:u w:val="none"/>
        </w:rPr>
      </w:pPr>
      <w:r>
        <w:rPr>
          <w:rFonts w:hint="eastAsia" w:hAnsi="仿宋" w:cs="仿宋"/>
          <w:bCs/>
          <w:color w:val="auto"/>
          <w:highlight w:val="none"/>
          <w:u w:val="none"/>
        </w:rPr>
        <w:t>（二）对所属企业的参股投资进行业务指导和监督检查；</w:t>
      </w:r>
    </w:p>
    <w:p w14:paraId="75B6B6ED">
      <w:pPr>
        <w:numPr>
          <w:ilvl w:val="-1"/>
          <w:numId w:val="0"/>
        </w:numPr>
        <w:shd w:val="clear" w:color="auto" w:fill="auto"/>
        <w:spacing w:line="560" w:lineRule="exact"/>
        <w:ind w:left="0" w:leftChars="0" w:firstLine="640" w:firstLineChars="200"/>
        <w:rPr>
          <w:rFonts w:hint="eastAsia" w:hAnsi="仿宋" w:cs="仿宋"/>
          <w:bCs/>
          <w:color w:val="auto"/>
          <w:highlight w:val="none"/>
          <w:u w:val="none"/>
        </w:rPr>
      </w:pPr>
      <w:r>
        <w:rPr>
          <w:rFonts w:hint="eastAsia" w:hAnsi="仿宋" w:cs="仿宋"/>
          <w:bCs/>
          <w:color w:val="auto"/>
          <w:highlight w:val="none"/>
          <w:u w:val="none"/>
        </w:rPr>
        <w:t>（三）负责权限内参股投资违规行为的责任追究；</w:t>
      </w:r>
    </w:p>
    <w:p w14:paraId="11B76AA9">
      <w:pPr>
        <w:numPr>
          <w:ilvl w:val="-1"/>
          <w:numId w:val="0"/>
        </w:numPr>
        <w:shd w:val="clear" w:color="auto" w:fill="auto"/>
        <w:spacing w:line="560" w:lineRule="exact"/>
        <w:ind w:left="0" w:leftChars="0" w:firstLine="640" w:firstLineChars="200"/>
        <w:rPr>
          <w:rFonts w:hint="eastAsia" w:hAnsi="仿宋" w:cs="仿宋"/>
          <w:b w:val="0"/>
          <w:bCs/>
          <w:color w:val="auto"/>
          <w:sz w:val="32"/>
          <w:szCs w:val="32"/>
          <w:highlight w:val="none"/>
          <w:u w:val="none"/>
          <w:lang w:val="en-US" w:eastAsia="zh-CN"/>
        </w:rPr>
      </w:pPr>
      <w:r>
        <w:rPr>
          <w:rFonts w:hint="eastAsia" w:hAnsi="仿宋" w:cs="仿宋"/>
          <w:bCs/>
          <w:color w:val="auto"/>
          <w:highlight w:val="none"/>
          <w:u w:val="none"/>
        </w:rPr>
        <w:t>（四）法律法规、规章、规范性文件及企业内控制度规定的其他职责。</w:t>
      </w:r>
    </w:p>
    <w:p w14:paraId="5D0DBAB6">
      <w:pPr>
        <w:numPr>
          <w:ilvl w:val="-1"/>
          <w:numId w:val="0"/>
        </w:numPr>
        <w:shd w:val="clear" w:color="auto" w:fill="auto"/>
        <w:spacing w:line="560" w:lineRule="exact"/>
        <w:ind w:left="0" w:leftChars="0" w:firstLine="640" w:firstLineChars="200"/>
        <w:rPr>
          <w:rFonts w:ascii="仿宋_GB2312" w:hAnsi="仿宋" w:eastAsia="仿宋_GB2312" w:cs="仿宋"/>
          <w:b w:val="0"/>
          <w:bCs/>
          <w:color w:val="auto"/>
          <w:sz w:val="32"/>
          <w:szCs w:val="32"/>
          <w:highlight w:val="none"/>
          <w:u w:val="none"/>
        </w:rPr>
      </w:pPr>
      <w:r>
        <w:rPr>
          <w:rFonts w:hint="eastAsia" w:ascii="仿宋_GB2312" w:hAnsi="仿宋" w:eastAsia="仿宋_GB2312" w:cs="仿宋"/>
          <w:b w:val="0"/>
          <w:bCs/>
          <w:color w:val="auto"/>
          <w:sz w:val="32"/>
          <w:szCs w:val="32"/>
          <w:highlight w:val="none"/>
          <w:u w:val="none"/>
        </w:rPr>
        <w:t>经</w:t>
      </w:r>
      <w:r>
        <w:rPr>
          <w:rFonts w:hint="eastAsia" w:ascii="仿宋_GB2312" w:hAnsi="仿宋" w:eastAsia="仿宋_GB2312" w:cs="仿宋"/>
          <w:b w:val="0"/>
          <w:bCs/>
          <w:color w:val="auto"/>
          <w:sz w:val="32"/>
          <w:szCs w:val="32"/>
          <w:highlight w:val="none"/>
          <w:u w:val="none"/>
          <w:lang w:eastAsia="zh-CN"/>
        </w:rPr>
        <w:t>分管国资</w:t>
      </w:r>
      <w:r>
        <w:rPr>
          <w:rFonts w:hint="eastAsia" w:ascii="仿宋_GB2312" w:hAnsi="仿宋" w:eastAsia="仿宋_GB2312" w:cs="仿宋"/>
          <w:b w:val="0"/>
          <w:bCs/>
          <w:color w:val="auto"/>
          <w:sz w:val="32"/>
          <w:szCs w:val="32"/>
          <w:highlight w:val="none"/>
          <w:u w:val="none"/>
          <w:lang w:val="en-US" w:eastAsia="zh-CN"/>
        </w:rPr>
        <w:t>国企</w:t>
      </w:r>
      <w:r>
        <w:rPr>
          <w:rFonts w:hint="eastAsia" w:ascii="仿宋_GB2312" w:hAnsi="仿宋" w:eastAsia="仿宋_GB2312" w:cs="仿宋"/>
          <w:b w:val="0"/>
          <w:bCs/>
          <w:color w:val="auto"/>
          <w:sz w:val="32"/>
          <w:szCs w:val="32"/>
          <w:highlight w:val="none"/>
          <w:u w:val="none"/>
          <w:lang w:eastAsia="zh-CN"/>
        </w:rPr>
        <w:t>区领导</w:t>
      </w:r>
      <w:r>
        <w:rPr>
          <w:rFonts w:hint="eastAsia" w:ascii="仿宋_GB2312" w:hAnsi="仿宋" w:eastAsia="仿宋_GB2312" w:cs="仿宋"/>
          <w:b w:val="0"/>
          <w:bCs/>
          <w:color w:val="auto"/>
          <w:sz w:val="32"/>
          <w:szCs w:val="32"/>
          <w:highlight w:val="none"/>
          <w:u w:val="none"/>
        </w:rPr>
        <w:t>批准，区</w:t>
      </w:r>
      <w:r>
        <w:rPr>
          <w:rFonts w:hint="default" w:hAnsi="仿宋" w:cs="仿宋"/>
          <w:b w:val="0"/>
          <w:bCs/>
          <w:color w:val="auto"/>
          <w:sz w:val="32"/>
          <w:szCs w:val="32"/>
          <w:highlight w:val="none"/>
          <w:u w:val="none"/>
          <w:lang w:val="en"/>
        </w:rPr>
        <w:t>国资监管部门</w:t>
      </w:r>
      <w:r>
        <w:rPr>
          <w:rFonts w:hint="eastAsia" w:ascii="仿宋_GB2312" w:hAnsi="仿宋" w:eastAsia="仿宋_GB2312" w:cs="仿宋"/>
          <w:b w:val="0"/>
          <w:bCs/>
          <w:color w:val="auto"/>
          <w:sz w:val="32"/>
          <w:szCs w:val="32"/>
          <w:highlight w:val="none"/>
          <w:u w:val="none"/>
        </w:rPr>
        <w:t>可直接监督管理由</w:t>
      </w:r>
      <w:r>
        <w:rPr>
          <w:rFonts w:hint="eastAsia" w:hAnsi="仿宋" w:cs="仿宋"/>
          <w:b w:val="0"/>
          <w:bCs/>
          <w:color w:val="auto"/>
          <w:sz w:val="32"/>
          <w:szCs w:val="32"/>
          <w:highlight w:val="none"/>
          <w:u w:val="none"/>
          <w:lang w:eastAsia="zh-CN"/>
        </w:rPr>
        <w:t>区国有企业</w:t>
      </w:r>
      <w:r>
        <w:rPr>
          <w:rFonts w:hint="eastAsia" w:ascii="仿宋_GB2312" w:hAnsi="仿宋" w:eastAsia="仿宋_GB2312" w:cs="仿宋"/>
          <w:b w:val="0"/>
          <w:bCs/>
          <w:color w:val="auto"/>
          <w:sz w:val="32"/>
          <w:szCs w:val="32"/>
          <w:highlight w:val="none"/>
          <w:u w:val="none"/>
        </w:rPr>
        <w:t>持股的国有参股公司。</w:t>
      </w:r>
    </w:p>
    <w:p w14:paraId="7CC479E9">
      <w:pPr>
        <w:numPr>
          <w:ilvl w:val="-1"/>
          <w:numId w:val="0"/>
        </w:numPr>
        <w:shd w:val="clear" w:color="auto" w:fill="auto"/>
        <w:spacing w:line="560" w:lineRule="exact"/>
        <w:ind w:left="0" w:leftChars="0" w:firstLine="640" w:firstLineChars="200"/>
        <w:rPr>
          <w:rFonts w:hint="default" w:ascii="仿宋_GB2312" w:hAnsi="仿宋" w:eastAsia="仿宋_GB2312"/>
          <w:color w:val="auto"/>
          <w:sz w:val="32"/>
          <w:szCs w:val="28"/>
          <w:highlight w:val="none"/>
          <w:u w:val="none"/>
          <w:lang w:val="en-US" w:eastAsia="zh-CN"/>
        </w:rPr>
      </w:pPr>
    </w:p>
    <w:p w14:paraId="11F765DB">
      <w:pPr>
        <w:keepNext w:val="0"/>
        <w:keepLines w:val="0"/>
        <w:pageBreakBefore w:val="0"/>
        <w:numPr>
          <w:ilvl w:val="-1"/>
          <w:numId w:val="0"/>
        </w:numPr>
        <w:shd w:val="clear" w:color="auto" w:fill="auto"/>
        <w:kinsoku/>
        <w:wordWrap/>
        <w:overflowPunct/>
        <w:topLinePunct w:val="0"/>
        <w:bidi w:val="0"/>
        <w:spacing w:line="560" w:lineRule="exact"/>
        <w:ind w:left="0" w:leftChars="0" w:firstLine="640" w:firstLineChars="200"/>
        <w:jc w:val="center"/>
        <w:textAlignment w:val="auto"/>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 xml:space="preserve">第二章  参股股权经营管理 </w:t>
      </w:r>
    </w:p>
    <w:p w14:paraId="5ED15276">
      <w:pPr>
        <w:numPr>
          <w:ilvl w:val="0"/>
          <w:numId w:val="1"/>
        </w:numPr>
        <w:shd w:val="clear" w:color="auto" w:fill="auto"/>
        <w:spacing w:line="560" w:lineRule="exact"/>
        <w:ind w:left="0" w:firstLine="640" w:firstLineChars="200"/>
        <w:jc w:val="left"/>
        <w:rPr>
          <w:rFonts w:hint="eastAsia" w:hAnsi="仿宋"/>
          <w:color w:val="auto"/>
          <w:sz w:val="32"/>
          <w:szCs w:val="28"/>
          <w:highlight w:val="none"/>
          <w:u w:val="none"/>
          <w:lang w:val="en-US" w:eastAsia="zh-CN"/>
        </w:rPr>
      </w:pPr>
      <w:r>
        <w:rPr>
          <w:rFonts w:hint="eastAsia" w:ascii="仿宋_GB2312" w:hAnsi="仿宋" w:eastAsia="仿宋_GB2312"/>
          <w:color w:val="auto"/>
          <w:sz w:val="32"/>
          <w:szCs w:val="28"/>
          <w:highlight w:val="none"/>
          <w:u w:val="none"/>
        </w:rPr>
        <w:t>参股企业股东包括多家</w:t>
      </w:r>
      <w:r>
        <w:rPr>
          <w:rFonts w:hint="eastAsia" w:hAnsi="仿宋"/>
          <w:color w:val="auto"/>
          <w:sz w:val="32"/>
          <w:szCs w:val="28"/>
          <w:highlight w:val="none"/>
          <w:u w:val="none"/>
          <w:lang w:eastAsia="zh-CN"/>
        </w:rPr>
        <w:t>区</w:t>
      </w:r>
      <w:r>
        <w:rPr>
          <w:rFonts w:hint="eastAsia" w:ascii="仿宋_GB2312" w:hAnsi="仿宋" w:eastAsia="仿宋_GB2312"/>
          <w:color w:val="auto"/>
          <w:sz w:val="32"/>
          <w:szCs w:val="28"/>
          <w:highlight w:val="none"/>
          <w:u w:val="none"/>
        </w:rPr>
        <w:t>国有</w:t>
      </w:r>
      <w:r>
        <w:rPr>
          <w:rFonts w:hint="eastAsia" w:hAnsi="仿宋"/>
          <w:color w:val="auto"/>
          <w:sz w:val="32"/>
          <w:szCs w:val="28"/>
          <w:highlight w:val="none"/>
          <w:u w:val="none"/>
          <w:lang w:eastAsia="zh-CN"/>
        </w:rPr>
        <w:t>企业</w:t>
      </w:r>
      <w:r>
        <w:rPr>
          <w:rFonts w:hint="eastAsia" w:ascii="仿宋_GB2312" w:hAnsi="仿宋" w:eastAsia="仿宋_GB2312"/>
          <w:color w:val="auto"/>
          <w:sz w:val="32"/>
          <w:szCs w:val="28"/>
          <w:highlight w:val="none"/>
          <w:u w:val="none"/>
        </w:rPr>
        <w:t>的，</w:t>
      </w:r>
      <w:r>
        <w:rPr>
          <w:rFonts w:hint="eastAsia" w:hAnsi="仿宋"/>
          <w:color w:val="auto"/>
          <w:sz w:val="32"/>
          <w:szCs w:val="28"/>
          <w:highlight w:val="none"/>
          <w:u w:val="none"/>
          <w:lang w:eastAsia="zh-CN"/>
        </w:rPr>
        <w:t>由区</w:t>
      </w:r>
      <w:r>
        <w:rPr>
          <w:rFonts w:hint="default" w:hAnsi="仿宋"/>
          <w:color w:val="auto"/>
          <w:sz w:val="32"/>
          <w:szCs w:val="28"/>
          <w:highlight w:val="none"/>
          <w:u w:val="none"/>
          <w:lang w:val="en" w:eastAsia="zh-CN"/>
        </w:rPr>
        <w:t>国资监管部门</w:t>
      </w:r>
      <w:r>
        <w:rPr>
          <w:rFonts w:hint="eastAsia" w:ascii="仿宋_GB2312" w:hAnsi="仿宋" w:eastAsia="仿宋_GB2312"/>
          <w:color w:val="auto"/>
          <w:sz w:val="32"/>
          <w:szCs w:val="28"/>
          <w:highlight w:val="none"/>
          <w:u w:val="none"/>
        </w:rPr>
        <w:t>明确牵头股东；</w:t>
      </w:r>
      <w:r>
        <w:rPr>
          <w:rFonts w:hint="eastAsia" w:hAnsi="仿宋"/>
          <w:color w:val="auto"/>
          <w:sz w:val="32"/>
          <w:szCs w:val="28"/>
          <w:highlight w:val="none"/>
          <w:u w:val="none"/>
          <w:lang w:eastAsia="zh-CN"/>
        </w:rPr>
        <w:t>区</w:t>
      </w:r>
      <w:r>
        <w:rPr>
          <w:rFonts w:hint="eastAsia" w:ascii="仿宋_GB2312" w:hAnsi="仿宋" w:eastAsia="仿宋_GB2312"/>
          <w:color w:val="auto"/>
          <w:sz w:val="32"/>
          <w:szCs w:val="28"/>
          <w:highlight w:val="none"/>
          <w:u w:val="none"/>
        </w:rPr>
        <w:t>国有股东合计持股比例超过百分之五十，且均不为第一大股东的，应签订一致行动人协议，维护</w:t>
      </w:r>
      <w:r>
        <w:rPr>
          <w:rFonts w:hint="eastAsia" w:hAnsi="仿宋"/>
          <w:color w:val="auto"/>
          <w:sz w:val="32"/>
          <w:szCs w:val="28"/>
          <w:highlight w:val="none"/>
          <w:u w:val="none"/>
          <w:lang w:eastAsia="zh-CN"/>
        </w:rPr>
        <w:t>区</w:t>
      </w:r>
      <w:r>
        <w:rPr>
          <w:rFonts w:hint="eastAsia" w:ascii="仿宋_GB2312" w:hAnsi="仿宋" w:eastAsia="仿宋_GB2312"/>
          <w:color w:val="auto"/>
          <w:sz w:val="32"/>
          <w:szCs w:val="28"/>
          <w:highlight w:val="none"/>
          <w:u w:val="none"/>
        </w:rPr>
        <w:t>国有股东权益。</w:t>
      </w:r>
    </w:p>
    <w:p w14:paraId="2B1C5076">
      <w:pPr>
        <w:numPr>
          <w:ilvl w:val="0"/>
          <w:numId w:val="1"/>
        </w:numPr>
        <w:shd w:val="clear" w:color="auto" w:fill="auto"/>
        <w:spacing w:line="560" w:lineRule="exact"/>
        <w:ind w:left="0" w:firstLine="640" w:firstLineChars="200"/>
        <w:jc w:val="both"/>
        <w:rPr>
          <w:rFonts w:hint="eastAsia" w:ascii="仿宋_GB2312" w:hAnsi="仿宋" w:eastAsia="仿宋_GB2312"/>
          <w:color w:val="auto"/>
          <w:sz w:val="32"/>
          <w:szCs w:val="28"/>
          <w:highlight w:val="none"/>
          <w:u w:val="none"/>
        </w:rPr>
      </w:pPr>
      <w:r>
        <w:rPr>
          <w:rFonts w:hint="eastAsia" w:hAnsi="仿宋"/>
          <w:color w:val="auto"/>
          <w:sz w:val="32"/>
          <w:szCs w:val="28"/>
          <w:highlight w:val="none"/>
          <w:u w:val="none"/>
          <w:lang w:val="en-US" w:eastAsia="zh-CN"/>
        </w:rPr>
        <w:t>出资人应建立参股经营投资评估机制，结合企业发展战略、主营业务等，加强对参股企业公司治理、盈利水平、分红能力、增值潜力、与主业关联度等的综合分析，全面评估参股经营投资质量。</w:t>
      </w:r>
    </w:p>
    <w:p w14:paraId="3696F7C1">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hAnsi="仿宋"/>
          <w:color w:val="auto"/>
          <w:szCs w:val="28"/>
          <w:highlight w:val="none"/>
          <w:u w:val="none"/>
        </w:rPr>
        <w:t>根据参股经营投资质量评估等情况，</w:t>
      </w:r>
      <w:r>
        <w:rPr>
          <w:rFonts w:hint="eastAsia" w:hAnsi="仿宋"/>
          <w:color w:val="auto"/>
          <w:sz w:val="32"/>
          <w:szCs w:val="28"/>
          <w:highlight w:val="none"/>
          <w:u w:val="none"/>
          <w:lang w:val="en-US" w:eastAsia="zh-CN"/>
        </w:rPr>
        <w:t>对参股股权实施分类管控，并合理运用增持、减持或退出等方式加强价值管理，不断提高国有资本配置效率。</w:t>
      </w:r>
    </w:p>
    <w:p w14:paraId="204E48F3">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转让的国有股权权属应当清晰，权属关系不明确或者存在权属纠纷的企业国有股权不得转让。</w:t>
      </w:r>
    </w:p>
    <w:p w14:paraId="4F39D108">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国有参股公司国有产权变动</w:t>
      </w:r>
      <w:r>
        <w:rPr>
          <w:rFonts w:hint="eastAsia" w:ascii="仿宋_GB2312" w:hAnsi="仿宋" w:eastAsia="仿宋_GB2312" w:cs="宋体"/>
          <w:b w:val="0"/>
          <w:bCs w:val="0"/>
          <w:color w:val="auto"/>
          <w:sz w:val="32"/>
          <w:szCs w:val="28"/>
          <w:highlight w:val="none"/>
          <w:u w:val="none"/>
          <w:lang w:val="en-US" w:eastAsia="zh-CN"/>
        </w:rPr>
        <w:t>审批权限参照《</w:t>
      </w:r>
      <w:r>
        <w:rPr>
          <w:rFonts w:hint="eastAsia" w:ascii="仿宋_GB2312" w:hAnsi="仿宋" w:eastAsia="仿宋_GB2312" w:cs="宋体"/>
          <w:bCs w:val="0"/>
          <w:color w:val="auto"/>
          <w:sz w:val="32"/>
          <w:szCs w:val="28"/>
          <w:highlight w:val="none"/>
          <w:u w:val="none"/>
        </w:rPr>
        <w:t>深圳市光明区企业国有产权变动管理规定</w:t>
      </w:r>
      <w:r>
        <w:rPr>
          <w:rFonts w:hint="eastAsia" w:ascii="仿宋_GB2312" w:hAnsi="仿宋" w:eastAsia="仿宋_GB2312" w:cs="宋体"/>
          <w:b w:val="0"/>
          <w:bCs w:val="0"/>
          <w:color w:val="auto"/>
          <w:sz w:val="32"/>
          <w:szCs w:val="28"/>
          <w:highlight w:val="none"/>
          <w:u w:val="none"/>
          <w:lang w:val="en-US" w:eastAsia="zh-CN"/>
        </w:rPr>
        <w:t>》相关规定执行；</w:t>
      </w:r>
      <w:r>
        <w:rPr>
          <w:rFonts w:hint="eastAsia" w:ascii="仿宋_GB2312" w:hAnsi="仿宋" w:eastAsia="仿宋_GB2312" w:cs="宋体"/>
          <w:bCs w:val="0"/>
          <w:color w:val="auto"/>
          <w:sz w:val="32"/>
          <w:szCs w:val="28"/>
          <w:highlight w:val="none"/>
          <w:u w:val="none"/>
        </w:rPr>
        <w:t>国有参股公司章程有具体约定的，从其约定</w:t>
      </w:r>
      <w:r>
        <w:rPr>
          <w:rFonts w:hint="eastAsia" w:ascii="仿宋_GB2312" w:hAnsi="仿宋" w:eastAsia="仿宋_GB2312" w:cs="宋体"/>
          <w:b w:val="0"/>
          <w:bCs w:val="0"/>
          <w:color w:val="auto"/>
          <w:sz w:val="32"/>
          <w:szCs w:val="28"/>
          <w:highlight w:val="none"/>
          <w:u w:val="none"/>
          <w:lang w:val="en-US" w:eastAsia="zh-CN"/>
        </w:rPr>
        <w:t>。</w:t>
      </w:r>
    </w:p>
    <w:p w14:paraId="720217F7">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国有参股公司的国有产权变动履行内部决策程序后，应依法对国有产权进行审计和评估。</w:t>
      </w:r>
    </w:p>
    <w:p w14:paraId="713762E1">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国有参股公司国有股权转让原则上应在深圳市依法设立的产权交易机构公开挂牌交易。确需采取协议转让的，应当履行审批手续。具体程序参照《深圳市光明区企业国有产权变动管理规定》的规定执行</w:t>
      </w:r>
      <w:r>
        <w:rPr>
          <w:rFonts w:hint="default" w:hAnsi="仿宋" w:cs="宋体"/>
          <w:b w:val="0"/>
          <w:bCs w:val="0"/>
          <w:color w:val="auto"/>
          <w:sz w:val="32"/>
          <w:szCs w:val="28"/>
          <w:highlight w:val="none"/>
          <w:u w:val="none"/>
          <w:lang w:val="en"/>
        </w:rPr>
        <w:t>。</w:t>
      </w:r>
    </w:p>
    <w:p w14:paraId="0863B9D0">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根据《关于印发原光明华侨畜牧场房地产历史遗留问题处理方案的通知》（深规土〔2012〕455号）规定，城市更新主管部门要求以企业名义理清经济关系的土地、房屋等不动产的，由</w:t>
      </w:r>
      <w:r>
        <w:rPr>
          <w:rFonts w:hint="eastAsia" w:hAnsi="仿宋" w:cs="宋体"/>
          <w:b w:val="0"/>
          <w:bCs w:val="0"/>
          <w:color w:val="auto"/>
          <w:sz w:val="32"/>
          <w:szCs w:val="28"/>
          <w:highlight w:val="none"/>
          <w:u w:val="none"/>
          <w:lang w:eastAsia="zh-CN"/>
        </w:rPr>
        <w:t>国有参股公司</w:t>
      </w:r>
      <w:r>
        <w:rPr>
          <w:rFonts w:hint="eastAsia" w:ascii="仿宋_GB2312" w:hAnsi="仿宋" w:eastAsia="仿宋_GB2312" w:cs="宋体"/>
          <w:b w:val="0"/>
          <w:bCs w:val="0"/>
          <w:color w:val="auto"/>
          <w:sz w:val="32"/>
          <w:szCs w:val="28"/>
          <w:highlight w:val="none"/>
          <w:u w:val="none"/>
        </w:rPr>
        <w:t>内部决策后，报区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审批。</w:t>
      </w:r>
    </w:p>
    <w:p w14:paraId="60962A93">
      <w:pPr>
        <w:keepNext w:val="0"/>
        <w:keepLines w:val="0"/>
        <w:pageBreakBefore w:val="0"/>
        <w:numPr>
          <w:ilvl w:val="-1"/>
          <w:numId w:val="0"/>
        </w:numPr>
        <w:shd w:val="clear" w:color="auto" w:fill="auto"/>
        <w:kinsoku/>
        <w:wordWrap/>
        <w:overflowPunct/>
        <w:topLinePunct w:val="0"/>
        <w:bidi w:val="0"/>
        <w:spacing w:line="560" w:lineRule="exact"/>
        <w:ind w:left="0" w:leftChars="0" w:firstLine="640" w:firstLineChars="200"/>
        <w:jc w:val="center"/>
        <w:textAlignment w:val="auto"/>
        <w:rPr>
          <w:rFonts w:hint="eastAsia" w:ascii="黑体" w:hAnsi="黑体" w:eastAsia="黑体" w:cs="黑体"/>
          <w:bCs/>
          <w:color w:val="auto"/>
          <w:sz w:val="32"/>
          <w:szCs w:val="32"/>
          <w:highlight w:val="none"/>
          <w:u w:val="none"/>
          <w:lang w:val="en-US" w:eastAsia="zh-CN"/>
        </w:rPr>
      </w:pPr>
    </w:p>
    <w:p w14:paraId="4CF2D5D5">
      <w:pPr>
        <w:keepNext w:val="0"/>
        <w:keepLines w:val="0"/>
        <w:pageBreakBefore w:val="0"/>
        <w:numPr>
          <w:ilvl w:val="-1"/>
          <w:numId w:val="0"/>
        </w:numPr>
        <w:shd w:val="clear" w:color="auto" w:fill="auto"/>
        <w:kinsoku/>
        <w:wordWrap/>
        <w:overflowPunct/>
        <w:topLinePunct w:val="0"/>
        <w:bidi w:val="0"/>
        <w:spacing w:line="560" w:lineRule="exact"/>
        <w:ind w:left="0" w:leftChars="0" w:firstLine="640" w:firstLineChars="200"/>
        <w:jc w:val="center"/>
        <w:textAlignment w:val="auto"/>
        <w:rPr>
          <w:rFonts w:hint="eastAsia" w:ascii="黑体" w:hAnsi="黑体" w:eastAsia="黑体" w:cs="黑体"/>
          <w:bCs/>
          <w:color w:val="auto"/>
          <w:sz w:val="32"/>
          <w:szCs w:val="32"/>
          <w:highlight w:val="none"/>
          <w:u w:val="none"/>
          <w:lang w:val="en-US" w:eastAsia="zh-CN"/>
        </w:rPr>
      </w:pPr>
      <w:r>
        <w:rPr>
          <w:rFonts w:hint="eastAsia" w:ascii="黑体" w:hAnsi="黑体" w:eastAsia="黑体" w:cs="黑体"/>
          <w:bCs/>
          <w:color w:val="auto"/>
          <w:sz w:val="32"/>
          <w:szCs w:val="32"/>
          <w:highlight w:val="none"/>
          <w:u w:val="none"/>
          <w:lang w:val="en-US" w:eastAsia="zh-CN"/>
        </w:rPr>
        <w:t xml:space="preserve">第三章  财务管理 </w:t>
      </w:r>
    </w:p>
    <w:p w14:paraId="3A4961AA">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区政府及区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持股的国有参股公司须将每年的财务预算报告报区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备案，直管企业</w:t>
      </w:r>
      <w:r>
        <w:rPr>
          <w:rFonts w:hint="eastAsia" w:ascii="仿宋_GB2312" w:hAnsi="仿宋" w:eastAsia="仿宋_GB2312" w:cs="宋体"/>
          <w:b w:val="0"/>
          <w:bCs w:val="0"/>
          <w:color w:val="auto"/>
          <w:sz w:val="32"/>
          <w:szCs w:val="28"/>
          <w:highlight w:val="none"/>
          <w:u w:val="none"/>
          <w:lang w:val="en-US" w:eastAsia="zh-CN"/>
        </w:rPr>
        <w:t>和所属企业持股的</w:t>
      </w:r>
      <w:r>
        <w:rPr>
          <w:rFonts w:hint="eastAsia" w:ascii="仿宋_GB2312" w:hAnsi="仿宋" w:eastAsia="仿宋_GB2312" w:cs="宋体"/>
          <w:b w:val="0"/>
          <w:bCs w:val="0"/>
          <w:color w:val="auto"/>
          <w:sz w:val="32"/>
          <w:szCs w:val="28"/>
          <w:highlight w:val="none"/>
          <w:u w:val="none"/>
        </w:rPr>
        <w:t>国有参股公司将每年的财务预算报告报直管企业审核后，由直管企业报区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备案。</w:t>
      </w:r>
    </w:p>
    <w:p w14:paraId="75BC12F7">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区政府及区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持股的国有参股公司，每季度向区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报送财务报告，年初向区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报送上一年度经审计的财务报告。</w:t>
      </w:r>
    </w:p>
    <w:p w14:paraId="63D9124B">
      <w:pPr>
        <w:numPr>
          <w:ilvl w:val="0"/>
          <w:numId w:val="1"/>
        </w:numPr>
        <w:shd w:val="clear" w:color="auto" w:fill="auto"/>
        <w:spacing w:line="560" w:lineRule="exact"/>
        <w:ind w:left="0" w:firstLine="640" w:firstLineChars="200"/>
        <w:jc w:val="left"/>
        <w:rPr>
          <w:rFonts w:hint="eastAsia" w:hAnsi="仿宋"/>
          <w:color w:val="auto"/>
          <w:sz w:val="32"/>
          <w:szCs w:val="28"/>
          <w:highlight w:val="none"/>
          <w:u w:val="none"/>
          <w:lang w:val="en-US" w:eastAsia="zh-CN"/>
        </w:rPr>
      </w:pPr>
      <w:r>
        <w:rPr>
          <w:rFonts w:hint="eastAsia" w:hAnsi="仿宋"/>
          <w:color w:val="auto"/>
          <w:szCs w:val="28"/>
          <w:highlight w:val="none"/>
          <w:u w:val="none"/>
        </w:rPr>
        <w:t>对于投资额大、关联交易占比高、应收账款金额大或账龄长的参股企业，</w:t>
      </w:r>
      <w:r>
        <w:rPr>
          <w:rFonts w:hint="eastAsia" w:hAnsi="仿宋"/>
          <w:color w:val="auto"/>
          <w:szCs w:val="28"/>
          <w:highlight w:val="none"/>
          <w:u w:val="none"/>
          <w:lang w:eastAsia="zh-CN"/>
        </w:rPr>
        <w:t>出资人</w:t>
      </w:r>
      <w:r>
        <w:rPr>
          <w:rFonts w:hint="eastAsia" w:hAnsi="仿宋"/>
          <w:color w:val="auto"/>
          <w:szCs w:val="28"/>
          <w:highlight w:val="none"/>
          <w:u w:val="none"/>
        </w:rPr>
        <w:t>应当加强风险排查</w:t>
      </w:r>
      <w:r>
        <w:rPr>
          <w:rFonts w:hint="eastAsia" w:hAnsi="仿宋"/>
          <w:color w:val="auto"/>
          <w:sz w:val="32"/>
          <w:szCs w:val="28"/>
          <w:highlight w:val="none"/>
          <w:u w:val="none"/>
          <w:lang w:val="en-US" w:eastAsia="zh-CN"/>
        </w:rPr>
        <w:t>。</w:t>
      </w:r>
    </w:p>
    <w:p w14:paraId="7B35B7BF">
      <w:pPr>
        <w:numPr>
          <w:ilvl w:val="0"/>
          <w:numId w:val="1"/>
        </w:numPr>
        <w:shd w:val="clear" w:color="auto" w:fill="auto"/>
        <w:spacing w:line="560" w:lineRule="exact"/>
        <w:ind w:left="0" w:firstLine="640" w:firstLineChars="200"/>
        <w:jc w:val="left"/>
        <w:rPr>
          <w:rFonts w:hint="eastAsia" w:hAnsi="仿宋"/>
          <w:color w:val="auto"/>
          <w:szCs w:val="28"/>
          <w:highlight w:val="none"/>
        </w:rPr>
      </w:pPr>
      <w:r>
        <w:rPr>
          <w:rFonts w:hint="eastAsia" w:hAnsi="仿宋"/>
          <w:color w:val="auto"/>
          <w:sz w:val="32"/>
          <w:szCs w:val="28"/>
          <w:highlight w:val="none"/>
          <w:u w:val="none"/>
          <w:lang w:val="en-US" w:eastAsia="zh-CN"/>
        </w:rPr>
        <w:t>区国有企业</w:t>
      </w:r>
      <w:r>
        <w:rPr>
          <w:rFonts w:hint="eastAsia" w:hAnsi="仿宋"/>
          <w:color w:val="auto"/>
          <w:szCs w:val="28"/>
          <w:highlight w:val="none"/>
        </w:rPr>
        <w:t>不得将字号、经营资质和特许经营权等提供给参股企业使用。产品注册商标确需授权给参股企业使用的，应当严格授权使用条件和</w:t>
      </w:r>
      <w:r>
        <w:rPr>
          <w:rFonts w:hint="eastAsia" w:hAnsi="仿宋"/>
          <w:color w:val="auto"/>
          <w:sz w:val="32"/>
          <w:szCs w:val="28"/>
          <w:highlight w:val="none"/>
          <w:u w:val="none"/>
          <w:lang w:val="en" w:eastAsia="zh-CN"/>
        </w:rPr>
        <w:t>报区国资监管部门审批</w:t>
      </w:r>
      <w:r>
        <w:rPr>
          <w:rFonts w:hint="eastAsia" w:hAnsi="仿宋"/>
          <w:color w:val="auto"/>
          <w:szCs w:val="28"/>
          <w:highlight w:val="none"/>
        </w:rPr>
        <w:t>，并采取市场公允价格。</w:t>
      </w:r>
    </w:p>
    <w:p w14:paraId="2BC8CFAC">
      <w:pPr>
        <w:numPr>
          <w:ilvl w:val="-1"/>
          <w:numId w:val="0"/>
        </w:numPr>
        <w:shd w:val="clear" w:color="auto" w:fill="auto"/>
        <w:spacing w:line="560" w:lineRule="exact"/>
        <w:ind w:left="0" w:leftChars="0" w:firstLine="640" w:firstLineChars="200"/>
        <w:jc w:val="left"/>
        <w:rPr>
          <w:rFonts w:hint="eastAsia" w:hAnsi="仿宋"/>
          <w:color w:val="auto"/>
          <w:sz w:val="32"/>
          <w:szCs w:val="28"/>
          <w:highlight w:val="none"/>
          <w:u w:val="none"/>
          <w:lang w:val="en-US" w:eastAsia="zh-CN"/>
        </w:rPr>
      </w:pPr>
      <w:r>
        <w:rPr>
          <w:rFonts w:hint="eastAsia" w:hAnsi="仿宋"/>
          <w:color w:val="auto"/>
          <w:szCs w:val="28"/>
          <w:highlight w:val="none"/>
        </w:rPr>
        <w:t>产权转让、企业增资导致</w:t>
      </w:r>
      <w:r>
        <w:rPr>
          <w:rFonts w:hint="eastAsia" w:hAnsi="仿宋"/>
          <w:color w:val="auto"/>
          <w:sz w:val="32"/>
          <w:szCs w:val="28"/>
          <w:highlight w:val="none"/>
          <w:u w:val="none"/>
          <w:lang w:val="en-US" w:eastAsia="zh-CN"/>
        </w:rPr>
        <w:t>区国有企业</w:t>
      </w:r>
      <w:r>
        <w:rPr>
          <w:rFonts w:hint="eastAsia" w:hAnsi="仿宋"/>
          <w:color w:val="auto"/>
          <w:szCs w:val="28"/>
          <w:highlight w:val="none"/>
        </w:rPr>
        <w:t>失去标的企业实际控制权的，交易完成后标的企业不得继续使用原国有企业的字号、经营资质和特许经营权等无形资产，不得继续以原国有企业名义开展经营活动。</w:t>
      </w:r>
    </w:p>
    <w:p w14:paraId="7F042E97">
      <w:pPr>
        <w:numPr>
          <w:ilvl w:val="0"/>
          <w:numId w:val="1"/>
        </w:numPr>
        <w:shd w:val="clear" w:color="auto" w:fill="auto"/>
        <w:autoSpaceDE/>
        <w:autoSpaceDN/>
        <w:adjustRightInd/>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除公司章程另有规定外，区政府及区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持股的参股公司当年利润分红应当上缴。</w:t>
      </w:r>
      <w:r>
        <w:rPr>
          <w:rFonts w:hint="eastAsia" w:hAnsi="仿宋" w:cs="宋体"/>
          <w:b w:val="0"/>
          <w:bCs w:val="0"/>
          <w:color w:val="auto"/>
          <w:sz w:val="32"/>
          <w:szCs w:val="28"/>
          <w:highlight w:val="none"/>
          <w:u w:val="none"/>
          <w:lang w:eastAsia="zh-CN"/>
        </w:rPr>
        <w:t>区国有企业</w:t>
      </w:r>
      <w:r>
        <w:rPr>
          <w:rFonts w:hint="eastAsia" w:ascii="仿宋_GB2312" w:hAnsi="仿宋" w:eastAsia="仿宋_GB2312" w:cs="宋体"/>
          <w:b w:val="0"/>
          <w:bCs w:val="0"/>
          <w:color w:val="auto"/>
          <w:sz w:val="32"/>
          <w:szCs w:val="28"/>
          <w:highlight w:val="none"/>
          <w:u w:val="none"/>
        </w:rPr>
        <w:t>持股的国有参股公司每年利润分红，作为直管企业的投资收益合并会计报表后，按照《深圳市光明区国有企业财务管理规定》规定的比例上缴。区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另有规定的，按规定执行。</w:t>
      </w:r>
    </w:p>
    <w:p w14:paraId="59E85222">
      <w:pPr>
        <w:keepNext w:val="0"/>
        <w:keepLines w:val="0"/>
        <w:pageBreakBefore w:val="0"/>
        <w:kinsoku/>
        <w:wordWrap/>
        <w:overflowPunct/>
        <w:topLinePunct w:val="0"/>
        <w:bidi w:val="0"/>
        <w:spacing w:line="560" w:lineRule="exact"/>
        <w:ind w:firstLine="640" w:firstLineChars="200"/>
        <w:jc w:val="center"/>
        <w:textAlignment w:val="auto"/>
        <w:rPr>
          <w:rFonts w:hint="eastAsia" w:ascii="黑体" w:hAnsi="黑体" w:eastAsia="黑体" w:cs="仿宋"/>
          <w:b w:val="0"/>
          <w:bCs/>
          <w:color w:val="auto"/>
          <w:sz w:val="32"/>
          <w:szCs w:val="32"/>
          <w:highlight w:val="none"/>
          <w:u w:val="none"/>
        </w:rPr>
      </w:pPr>
    </w:p>
    <w:p w14:paraId="0714D006">
      <w:pPr>
        <w:keepNext w:val="0"/>
        <w:keepLines w:val="0"/>
        <w:pageBreakBefore w:val="0"/>
        <w:kinsoku/>
        <w:wordWrap/>
        <w:overflowPunct/>
        <w:topLinePunct w:val="0"/>
        <w:bidi w:val="0"/>
        <w:spacing w:line="560" w:lineRule="exact"/>
        <w:ind w:firstLine="640" w:firstLineChars="200"/>
        <w:jc w:val="center"/>
        <w:textAlignment w:val="auto"/>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rPr>
        <w:t>第四章  投融资管理</w:t>
      </w:r>
    </w:p>
    <w:p w14:paraId="3E0BCBE9">
      <w:pPr>
        <w:numPr>
          <w:ilvl w:val="0"/>
          <w:numId w:val="1"/>
        </w:numPr>
        <w:shd w:val="clear" w:color="auto" w:fill="auto"/>
        <w:spacing w:line="560" w:lineRule="exact"/>
        <w:ind w:left="0" w:leftChars="0" w:firstLine="640" w:firstLineChars="200"/>
        <w:jc w:val="left"/>
        <w:rPr>
          <w:rFonts w:hint="eastAsia"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出资人应坚持聚焦主业，严格甄选参股对象，做好充分尽职调查和可行性研究论证，选择管理规范、业绩突出、资质信誉良好的合作方。经风险评估存在重大不确定因素的原则上不得实施。</w:t>
      </w:r>
    </w:p>
    <w:p w14:paraId="679CDBA4">
      <w:pPr>
        <w:numPr>
          <w:ilvl w:val="0"/>
          <w:numId w:val="1"/>
        </w:numPr>
        <w:shd w:val="clear" w:color="auto" w:fill="auto"/>
        <w:spacing w:line="560" w:lineRule="exact"/>
        <w:ind w:left="0" w:firstLine="640" w:firstLineChars="200"/>
        <w:jc w:val="left"/>
        <w:rPr>
          <w:rFonts w:hint="eastAsia"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参股投资金融和类金融企业，应当符合金融行业准入条件，严格执行国有企业金融业务监督管理有关规定。</w:t>
      </w:r>
    </w:p>
    <w:p w14:paraId="4A2C29F3">
      <w:pPr>
        <w:numPr>
          <w:ilvl w:val="0"/>
          <w:numId w:val="1"/>
        </w:numPr>
        <w:shd w:val="clear" w:color="auto" w:fill="auto"/>
        <w:spacing w:line="560" w:lineRule="exact"/>
        <w:ind w:left="0" w:firstLine="640" w:firstLineChars="200"/>
        <w:jc w:val="left"/>
        <w:rPr>
          <w:rFonts w:hint="eastAsia" w:hAnsi="仿宋" w:cs="仿宋"/>
          <w:b w:val="0"/>
          <w:bCs/>
          <w:color w:val="auto"/>
          <w:sz w:val="32"/>
          <w:szCs w:val="32"/>
          <w:highlight w:val="none"/>
          <w:u w:val="none"/>
          <w:lang w:val="en-US" w:eastAsia="zh-CN"/>
        </w:rPr>
      </w:pPr>
      <w:r>
        <w:rPr>
          <w:rFonts w:hint="eastAsia" w:hAnsi="仿宋" w:cs="仿宋"/>
          <w:bCs/>
          <w:color w:val="auto"/>
          <w:highlight w:val="none"/>
          <w:u w:val="none"/>
        </w:rPr>
        <w:t>国有参股公司以其拥有的土地、房产进行开发或城市更新</w:t>
      </w:r>
      <w:r>
        <w:rPr>
          <w:rFonts w:hint="eastAsia" w:ascii="仿宋_GB2312" w:hAnsi="仿宋_GB2312" w:eastAsia="仿宋_GB2312" w:cs="仿宋_GB2312"/>
          <w:color w:val="auto"/>
          <w:highlight w:val="none"/>
        </w:rPr>
        <w:t>（不含综合整治）</w:t>
      </w:r>
      <w:r>
        <w:rPr>
          <w:rFonts w:hint="eastAsia" w:hAnsi="仿宋" w:cs="仿宋"/>
          <w:bCs/>
          <w:color w:val="auto"/>
          <w:highlight w:val="none"/>
          <w:u w:val="none"/>
        </w:rPr>
        <w:t>的，由国有参股公司提出方案，报区国资监管部门审核后，按程序提请区政府常务会议审议；国有参股公司章程有具体约定的，从其约定。</w:t>
      </w:r>
    </w:p>
    <w:p w14:paraId="6820CB80">
      <w:pPr>
        <w:numPr>
          <w:ilvl w:val="0"/>
          <w:numId w:val="1"/>
        </w:numPr>
        <w:shd w:val="clear" w:color="auto" w:fill="auto"/>
        <w:spacing w:line="560" w:lineRule="exact"/>
        <w:ind w:left="0" w:firstLine="640" w:firstLineChars="200"/>
        <w:jc w:val="left"/>
        <w:rPr>
          <w:rFonts w:hint="eastAsia" w:hAnsi="仿宋" w:cs="仿宋"/>
          <w:b w:val="0"/>
          <w:bCs/>
          <w:color w:val="auto"/>
          <w:sz w:val="32"/>
          <w:szCs w:val="32"/>
          <w:highlight w:val="none"/>
          <w:u w:val="none"/>
          <w:lang w:val="en-US" w:eastAsia="zh-CN"/>
        </w:rPr>
      </w:pPr>
      <w:r>
        <w:rPr>
          <w:rFonts w:hint="eastAsia" w:hAnsi="仿宋" w:cs="仿宋"/>
          <w:b w:val="0"/>
          <w:bCs/>
          <w:color w:val="auto"/>
          <w:sz w:val="32"/>
          <w:szCs w:val="32"/>
          <w:highlight w:val="none"/>
          <w:u w:val="none"/>
          <w:lang w:val="en-US" w:eastAsia="zh-CN"/>
        </w:rPr>
        <w:t>出资人不得选择与其各级领导人员之间存在特定关系（指配偶、父母、子女及其配偶等亲属关系，以及共同利益关系等）的合作方参股投资。</w:t>
      </w:r>
    </w:p>
    <w:p w14:paraId="4378B9CD">
      <w:pPr>
        <w:numPr>
          <w:ilvl w:val="0"/>
          <w:numId w:val="1"/>
        </w:numPr>
        <w:shd w:val="clear" w:color="auto" w:fill="auto"/>
        <w:spacing w:line="560" w:lineRule="exact"/>
        <w:ind w:left="0" w:firstLine="640" w:firstLineChars="200"/>
        <w:jc w:val="left"/>
        <w:rPr>
          <w:rFonts w:hint="eastAsia" w:ascii="仿宋_GB2312" w:hAnsi="仿宋" w:eastAsia="仿宋_GB2312"/>
          <w:color w:val="auto"/>
          <w:sz w:val="32"/>
          <w:szCs w:val="32"/>
          <w:highlight w:val="none"/>
          <w:u w:val="none"/>
        </w:rPr>
      </w:pPr>
      <w:r>
        <w:rPr>
          <w:rFonts w:hint="eastAsia" w:hAnsi="仿宋" w:cs="仿宋"/>
          <w:b w:val="0"/>
          <w:bCs/>
          <w:color w:val="auto"/>
          <w:sz w:val="32"/>
          <w:szCs w:val="32"/>
          <w:highlight w:val="none"/>
          <w:u w:val="none"/>
          <w:lang w:val="en-US" w:eastAsia="zh-CN"/>
        </w:rPr>
        <w:t>出资人应合理确定持股比例，</w:t>
      </w:r>
      <w:r>
        <w:rPr>
          <w:rFonts w:hint="eastAsia" w:ascii="仿宋_GB2312" w:hAnsi="仿宋" w:eastAsia="仿宋_GB2312"/>
          <w:color w:val="auto"/>
          <w:sz w:val="32"/>
          <w:szCs w:val="32"/>
          <w:highlight w:val="none"/>
          <w:u w:val="none"/>
        </w:rPr>
        <w:t>与合作方签订合法有效的书面文件，明确各方权利义务及违约责任，制定风险控制措施；关注并跟进合作方义务履行情况，包括认缴资本到位情况、资源及项目导入等承诺条件兑现等</w:t>
      </w:r>
      <w:r>
        <w:rPr>
          <w:rFonts w:hint="eastAsia" w:hAnsi="仿宋"/>
          <w:color w:val="auto"/>
          <w:sz w:val="32"/>
          <w:szCs w:val="32"/>
          <w:highlight w:val="none"/>
          <w:u w:val="none"/>
          <w:lang w:eastAsia="zh-CN"/>
        </w:rPr>
        <w:t>。</w:t>
      </w:r>
    </w:p>
    <w:p w14:paraId="38739D30">
      <w:pPr>
        <w:numPr>
          <w:ilvl w:val="0"/>
          <w:numId w:val="1"/>
        </w:numPr>
        <w:shd w:val="clear" w:color="auto" w:fill="auto"/>
        <w:spacing w:line="560" w:lineRule="exact"/>
        <w:ind w:left="0" w:firstLine="640" w:firstLineChars="200"/>
        <w:jc w:val="left"/>
        <w:rPr>
          <w:rFonts w:hint="eastAsia" w:ascii="仿宋_GB2312" w:hAnsi="仿宋" w:eastAsia="仿宋_GB2312"/>
          <w:color w:val="auto"/>
          <w:sz w:val="32"/>
          <w:szCs w:val="28"/>
          <w:highlight w:val="none"/>
          <w:u w:val="none"/>
          <w:lang w:val="en-US" w:eastAsia="zh-CN"/>
        </w:rPr>
      </w:pPr>
      <w:r>
        <w:rPr>
          <w:rFonts w:hint="eastAsia" w:hAnsi="仿宋" w:cs="仿宋"/>
          <w:bCs/>
          <w:color w:val="auto"/>
          <w:highlight w:val="none"/>
          <w:u w:val="none"/>
        </w:rPr>
        <w:t>出资人不得以股权代持、“名为参股合作，实为借贷融资”的名股实债方式开展参股投资</w:t>
      </w:r>
      <w:r>
        <w:rPr>
          <w:rFonts w:hint="eastAsia" w:ascii="仿宋_GB2312" w:hAnsi="仿宋" w:eastAsia="仿宋_GB2312"/>
          <w:color w:val="auto"/>
          <w:sz w:val="32"/>
          <w:szCs w:val="32"/>
          <w:highlight w:val="none"/>
          <w:u w:val="none"/>
        </w:rPr>
        <w:t>。</w:t>
      </w:r>
    </w:p>
    <w:p w14:paraId="04550058">
      <w:pPr>
        <w:numPr>
          <w:ilvl w:val="0"/>
          <w:numId w:val="1"/>
        </w:numPr>
        <w:shd w:val="clear" w:color="auto" w:fill="auto"/>
        <w:spacing w:line="560" w:lineRule="exact"/>
        <w:ind w:left="0" w:firstLine="640" w:firstLineChars="200"/>
        <w:jc w:val="left"/>
        <w:rPr>
          <w:rFonts w:hint="default" w:ascii="仿宋_GB2312" w:hAnsi="仿宋" w:eastAsia="仿宋_GB2312"/>
          <w:color w:val="auto"/>
          <w:sz w:val="32"/>
          <w:szCs w:val="28"/>
          <w:highlight w:val="none"/>
          <w:u w:val="none"/>
          <w:lang w:val="en-US" w:eastAsia="zh-CN"/>
        </w:rPr>
      </w:pPr>
      <w:r>
        <w:rPr>
          <w:rFonts w:hint="eastAsia" w:hAnsi="仿宋"/>
          <w:color w:val="auto"/>
          <w:sz w:val="32"/>
          <w:szCs w:val="28"/>
          <w:highlight w:val="none"/>
          <w:u w:val="none"/>
          <w:lang w:eastAsia="zh-CN"/>
        </w:rPr>
        <w:t>出资人与合作方共同出资新设企业，不得对合作方出资提供垫资，不得先于合作方缴纳出资，另有规定的除外。</w:t>
      </w:r>
    </w:p>
    <w:p w14:paraId="4283E74A">
      <w:pPr>
        <w:numPr>
          <w:ilvl w:val="0"/>
          <w:numId w:val="1"/>
        </w:numPr>
        <w:shd w:val="clear" w:color="auto" w:fill="auto"/>
        <w:spacing w:line="560" w:lineRule="exact"/>
        <w:ind w:left="0" w:firstLine="640" w:firstLineChars="200"/>
        <w:jc w:val="left"/>
        <w:rPr>
          <w:rFonts w:hint="eastAsia" w:ascii="仿宋_GB2312" w:hAnsi="仿宋" w:eastAsia="仿宋_GB2312"/>
          <w:color w:val="auto"/>
          <w:sz w:val="32"/>
          <w:szCs w:val="28"/>
          <w:highlight w:val="none"/>
          <w:u w:val="none"/>
        </w:rPr>
      </w:pPr>
      <w:r>
        <w:rPr>
          <w:rFonts w:hint="eastAsia" w:hAnsi="仿宋"/>
          <w:color w:val="auto"/>
          <w:sz w:val="32"/>
          <w:szCs w:val="28"/>
          <w:highlight w:val="none"/>
          <w:u w:val="none"/>
          <w:lang w:val="en-US" w:eastAsia="zh-CN"/>
        </w:rPr>
        <w:t>以非货币性资产作价出资的，应当以公允合理的方式确定资产价值。合作方未按约定缴纳出资的，出资人应当及时了解情况，采取有效措施防范风险。</w:t>
      </w:r>
    </w:p>
    <w:p w14:paraId="2B8B6E03">
      <w:pPr>
        <w:numPr>
          <w:ilvl w:val="0"/>
          <w:numId w:val="1"/>
        </w:numPr>
        <w:shd w:val="clear" w:color="auto" w:fill="auto"/>
        <w:spacing w:line="560" w:lineRule="exact"/>
        <w:ind w:left="0" w:firstLine="640" w:firstLineChars="200"/>
        <w:jc w:val="left"/>
        <w:rPr>
          <w:rFonts w:hint="eastAsia" w:hAnsi="仿宋"/>
          <w:color w:val="auto"/>
          <w:szCs w:val="28"/>
          <w:highlight w:val="none"/>
          <w:u w:val="none"/>
        </w:rPr>
      </w:pPr>
      <w:r>
        <w:rPr>
          <w:rFonts w:hint="eastAsia" w:hAnsi="仿宋"/>
          <w:color w:val="auto"/>
          <w:szCs w:val="28"/>
          <w:highlight w:val="none"/>
          <w:u w:val="none"/>
        </w:rPr>
        <w:t>出资人应协同合作方按以下原则签订合作协议或制定公司章程，规范各方权利义务，促进参股企业建立健全中国特色现代企业制度：</w:t>
      </w:r>
    </w:p>
    <w:p w14:paraId="6517DB14">
      <w:pPr>
        <w:numPr>
          <w:ilvl w:val="-1"/>
          <w:numId w:val="0"/>
        </w:numPr>
        <w:shd w:val="clear" w:color="auto" w:fill="auto"/>
        <w:spacing w:line="560" w:lineRule="exact"/>
        <w:ind w:left="0" w:leftChars="0" w:firstLine="640" w:firstLineChars="200"/>
        <w:jc w:val="left"/>
        <w:rPr>
          <w:rFonts w:hint="eastAsia" w:hAnsi="仿宋"/>
          <w:color w:val="auto"/>
          <w:szCs w:val="28"/>
          <w:highlight w:val="none"/>
          <w:u w:val="none"/>
        </w:rPr>
      </w:pPr>
      <w:r>
        <w:rPr>
          <w:rFonts w:hint="eastAsia" w:hAnsi="仿宋"/>
          <w:color w:val="auto"/>
          <w:szCs w:val="28"/>
          <w:highlight w:val="none"/>
          <w:u w:val="none"/>
        </w:rPr>
        <w:t>（一）明确党组织、股东（大）会、董事会、监事会、经理层权责、组成及产生方式，相关席位设置应与所持股权比例相匹配；</w:t>
      </w:r>
    </w:p>
    <w:p w14:paraId="4EFCF0E1">
      <w:pPr>
        <w:numPr>
          <w:ilvl w:val="-1"/>
          <w:numId w:val="0"/>
        </w:numPr>
        <w:shd w:val="clear" w:color="auto" w:fill="auto"/>
        <w:spacing w:line="560" w:lineRule="exact"/>
        <w:ind w:left="0" w:leftChars="0" w:firstLine="640" w:firstLineChars="200"/>
        <w:jc w:val="left"/>
        <w:rPr>
          <w:rFonts w:hint="eastAsia" w:hAnsi="仿宋"/>
          <w:color w:val="auto"/>
          <w:szCs w:val="28"/>
          <w:highlight w:val="none"/>
          <w:u w:val="none"/>
        </w:rPr>
      </w:pPr>
      <w:r>
        <w:rPr>
          <w:rFonts w:hint="eastAsia" w:hAnsi="仿宋"/>
          <w:color w:val="auto"/>
          <w:szCs w:val="28"/>
          <w:highlight w:val="none"/>
          <w:u w:val="none"/>
        </w:rPr>
        <w:t>（二）制定党组织、股东（大）会、董事会、监事会、经理层议事规则；</w:t>
      </w:r>
    </w:p>
    <w:p w14:paraId="6D03C8DF">
      <w:pPr>
        <w:numPr>
          <w:ilvl w:val="-1"/>
          <w:numId w:val="0"/>
        </w:numPr>
        <w:shd w:val="clear" w:color="auto" w:fill="auto"/>
        <w:spacing w:line="560" w:lineRule="exact"/>
        <w:ind w:left="0" w:leftChars="0" w:firstLine="640" w:firstLineChars="200"/>
        <w:jc w:val="left"/>
        <w:rPr>
          <w:rFonts w:hint="eastAsia" w:hAnsi="仿宋"/>
          <w:color w:val="auto"/>
          <w:szCs w:val="28"/>
          <w:highlight w:val="none"/>
          <w:u w:val="none"/>
        </w:rPr>
      </w:pPr>
      <w:r>
        <w:rPr>
          <w:rFonts w:hint="eastAsia" w:hAnsi="仿宋"/>
          <w:color w:val="auto"/>
          <w:szCs w:val="28"/>
          <w:highlight w:val="none"/>
          <w:u w:val="none"/>
        </w:rPr>
        <w:t>（三）设置清晰可行的退出条款，明确退出情形和条件；</w:t>
      </w:r>
    </w:p>
    <w:p w14:paraId="387A8923">
      <w:pPr>
        <w:numPr>
          <w:ilvl w:val="-1"/>
          <w:numId w:val="0"/>
        </w:numPr>
        <w:shd w:val="clear" w:color="auto" w:fill="auto"/>
        <w:spacing w:line="560" w:lineRule="exact"/>
        <w:ind w:left="0" w:leftChars="0" w:firstLine="640" w:firstLineChars="200"/>
        <w:jc w:val="left"/>
        <w:rPr>
          <w:rFonts w:hint="eastAsia" w:hAnsi="仿宋"/>
          <w:color w:val="auto"/>
          <w:szCs w:val="28"/>
          <w:highlight w:val="none"/>
          <w:u w:val="none"/>
        </w:rPr>
      </w:pPr>
      <w:r>
        <w:rPr>
          <w:rFonts w:hint="eastAsia" w:hAnsi="仿宋"/>
          <w:color w:val="auto"/>
          <w:szCs w:val="28"/>
          <w:highlight w:val="none"/>
          <w:u w:val="none"/>
        </w:rPr>
        <w:t>（四）不得约定固定收益作为股东分红；</w:t>
      </w:r>
    </w:p>
    <w:p w14:paraId="45F46DD1">
      <w:pPr>
        <w:numPr>
          <w:ilvl w:val="-1"/>
          <w:numId w:val="0"/>
        </w:numPr>
        <w:shd w:val="clear" w:color="auto" w:fill="auto"/>
        <w:spacing w:line="560" w:lineRule="exact"/>
        <w:ind w:left="0" w:leftChars="0" w:firstLine="640" w:firstLineChars="200"/>
        <w:jc w:val="left"/>
        <w:rPr>
          <w:rFonts w:hint="eastAsia" w:hAnsi="仿宋"/>
          <w:color w:val="auto"/>
          <w:szCs w:val="28"/>
          <w:highlight w:val="none"/>
          <w:u w:val="none"/>
        </w:rPr>
      </w:pPr>
      <w:r>
        <w:rPr>
          <w:rFonts w:hint="eastAsia" w:hAnsi="仿宋"/>
          <w:color w:val="auto"/>
          <w:szCs w:val="28"/>
          <w:highlight w:val="none"/>
          <w:u w:val="none"/>
        </w:rPr>
        <w:t>（五）明确利润分配、人员委派、审计监督、高级管理人员薪酬激励、信息披露、安全生产、特定事项否决权及公司章程修订等具体事项。</w:t>
      </w:r>
    </w:p>
    <w:p w14:paraId="7171A04C">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hAnsi="仿宋"/>
          <w:color w:val="auto"/>
          <w:szCs w:val="28"/>
          <w:highlight w:val="none"/>
          <w:u w:val="none"/>
        </w:rPr>
        <w:t>（六）在参股企业股权结构变动、合作环境变化时主动协商，适时提议修订公司章程。</w:t>
      </w:r>
    </w:p>
    <w:p w14:paraId="7C1B24AC">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val="en-US" w:eastAsia="zh-CN"/>
        </w:rPr>
      </w:pPr>
      <w:r>
        <w:rPr>
          <w:rFonts w:hint="eastAsia" w:hAnsi="仿宋"/>
          <w:color w:val="auto"/>
          <w:szCs w:val="28"/>
          <w:highlight w:val="none"/>
          <w:lang w:eastAsia="zh-CN"/>
        </w:rPr>
        <w:t>出</w:t>
      </w:r>
      <w:r>
        <w:rPr>
          <w:rFonts w:hint="eastAsia" w:hAnsi="仿宋"/>
          <w:color w:val="auto"/>
          <w:szCs w:val="28"/>
          <w:highlight w:val="none"/>
        </w:rPr>
        <w:t>资人原则上不得为其持股的国有参股公司提供融资担保，因特殊情况需要提供融资担保的，应由直管企业报区国资监管部门审批，且应按照企业在国有参股公司中所占的股权比例提供担保，即以被担保人的担保贷款总量与股权比例的乘数为最高担保限额。区政府和区国资监管部门作为出资人不能提供任何融资担保</w:t>
      </w:r>
      <w:r>
        <w:rPr>
          <w:rFonts w:hint="eastAsia" w:hAnsi="仿宋"/>
          <w:color w:val="auto"/>
          <w:szCs w:val="28"/>
          <w:highlight w:val="none"/>
          <w:lang w:eastAsia="zh-CN"/>
        </w:rPr>
        <w:t>。</w:t>
      </w:r>
    </w:p>
    <w:p w14:paraId="519A58B5">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val="en-US" w:eastAsia="zh-CN"/>
        </w:rPr>
      </w:pPr>
      <w:r>
        <w:rPr>
          <w:rFonts w:hint="eastAsia" w:hAnsi="仿宋"/>
          <w:color w:val="auto"/>
          <w:szCs w:val="28"/>
          <w:highlight w:val="none"/>
        </w:rPr>
        <w:t>直管企业为其持股的国有参股公司提供融资贷款的，须将贷款用途、贷款所投项目的可行性研究报告及项目风险控制措施方案报区国资监管部门审批</w:t>
      </w:r>
      <w:r>
        <w:rPr>
          <w:rFonts w:hint="eastAsia" w:hAnsi="仿宋"/>
          <w:color w:val="auto"/>
          <w:szCs w:val="28"/>
          <w:highlight w:val="none"/>
          <w:lang w:eastAsia="zh-CN"/>
        </w:rPr>
        <w:t>。</w:t>
      </w:r>
    </w:p>
    <w:p w14:paraId="0EB20F69">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val="en-US" w:eastAsia="zh-CN"/>
        </w:rPr>
      </w:pPr>
      <w:r>
        <w:rPr>
          <w:rFonts w:hint="eastAsia" w:hAnsi="仿宋"/>
          <w:color w:val="auto"/>
          <w:szCs w:val="28"/>
          <w:highlight w:val="none"/>
        </w:rPr>
        <w:t>所属企业为其持股的国有参股公司提供融资贷款的，须将贷款用途、贷款所投项目的可行性研究报告及项目风险控制措施方案报直管企业审定，并报区国资监管部门备案</w:t>
      </w:r>
      <w:r>
        <w:rPr>
          <w:rFonts w:hint="eastAsia" w:ascii="仿宋_GB2312" w:hAnsi="仿宋" w:eastAsia="仿宋_GB2312" w:cs="宋体"/>
          <w:b w:val="0"/>
          <w:bCs w:val="0"/>
          <w:color w:val="auto"/>
          <w:sz w:val="32"/>
          <w:szCs w:val="28"/>
          <w:highlight w:val="none"/>
          <w:u w:val="none"/>
          <w:lang w:val="en-US" w:eastAsia="zh-CN"/>
        </w:rPr>
        <w:t>。</w:t>
      </w:r>
    </w:p>
    <w:p w14:paraId="73FF50CD">
      <w:pPr>
        <w:keepNext w:val="0"/>
        <w:keepLines w:val="0"/>
        <w:pageBreakBefore w:val="0"/>
        <w:numPr>
          <w:ilvl w:val="-1"/>
          <w:numId w:val="0"/>
        </w:numPr>
        <w:shd w:val="clear" w:color="auto" w:fill="auto"/>
        <w:tabs>
          <w:tab w:val="left" w:pos="1308"/>
        </w:tabs>
        <w:kinsoku/>
        <w:wordWrap/>
        <w:overflowPunct/>
        <w:topLinePunct w:val="0"/>
        <w:bidi w:val="0"/>
        <w:spacing w:line="560" w:lineRule="exact"/>
        <w:ind w:left="0" w:leftChars="0" w:firstLine="0" w:firstLineChars="0"/>
        <w:jc w:val="left"/>
        <w:textAlignment w:val="auto"/>
        <w:rPr>
          <w:rFonts w:hint="eastAsia" w:ascii="黑体" w:hAnsi="黑体" w:eastAsia="黑体" w:cs="黑体"/>
          <w:b w:val="0"/>
          <w:bCs/>
          <w:color w:val="auto"/>
          <w:sz w:val="32"/>
          <w:szCs w:val="32"/>
          <w:highlight w:val="none"/>
          <w:u w:val="none"/>
        </w:rPr>
      </w:pPr>
    </w:p>
    <w:p w14:paraId="06C65C92">
      <w:pPr>
        <w:keepNext w:val="0"/>
        <w:keepLines w:val="0"/>
        <w:pageBreakBefore w:val="0"/>
        <w:kinsoku/>
        <w:wordWrap/>
        <w:overflowPunct/>
        <w:topLinePunct w:val="0"/>
        <w:bidi w:val="0"/>
        <w:spacing w:line="560" w:lineRule="exact"/>
        <w:ind w:firstLine="640" w:firstLineChars="200"/>
        <w:jc w:val="center"/>
        <w:textAlignment w:val="auto"/>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rPr>
        <w:t>第五章  人事委派和</w:t>
      </w:r>
      <w:r>
        <w:rPr>
          <w:rFonts w:hint="eastAsia" w:ascii="黑体" w:hAnsi="黑体" w:eastAsia="黑体" w:cs="仿宋"/>
          <w:b w:val="0"/>
          <w:bCs/>
          <w:color w:val="auto"/>
          <w:sz w:val="32"/>
          <w:szCs w:val="32"/>
          <w:highlight w:val="none"/>
          <w:u w:val="none"/>
          <w:lang w:val="en-US" w:eastAsia="zh-CN"/>
        </w:rPr>
        <w:t>股</w:t>
      </w:r>
      <w:r>
        <w:rPr>
          <w:rFonts w:hint="eastAsia" w:ascii="黑体" w:hAnsi="黑体" w:eastAsia="黑体" w:cs="仿宋"/>
          <w:b w:val="0"/>
          <w:bCs/>
          <w:color w:val="auto"/>
          <w:sz w:val="32"/>
          <w:szCs w:val="32"/>
          <w:highlight w:val="none"/>
          <w:u w:val="none"/>
        </w:rPr>
        <w:t>权代表制度</w:t>
      </w:r>
    </w:p>
    <w:p w14:paraId="6512F482">
      <w:pPr>
        <w:numPr>
          <w:ilvl w:val="0"/>
          <w:numId w:val="1"/>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通过改制、重组、增资等方式导致区国有企业变更为国有参股公司，或与他人合作投资新设立国有参股公司的，须在改制、重组、增资或投资合作协议</w:t>
      </w:r>
      <w:r>
        <w:rPr>
          <w:rFonts w:hint="eastAsia" w:hAnsi="仿宋" w:cs="宋体"/>
          <w:b w:val="0"/>
          <w:bCs w:val="0"/>
          <w:color w:val="auto"/>
          <w:sz w:val="32"/>
          <w:szCs w:val="28"/>
          <w:highlight w:val="none"/>
          <w:u w:val="none"/>
          <w:lang w:eastAsia="zh-CN"/>
        </w:rPr>
        <w:t>或</w:t>
      </w:r>
      <w:r>
        <w:rPr>
          <w:rFonts w:hint="eastAsia" w:ascii="仿宋_GB2312" w:hAnsi="仿宋" w:eastAsia="仿宋_GB2312" w:cs="宋体"/>
          <w:b w:val="0"/>
          <w:bCs w:val="0"/>
          <w:color w:val="auto"/>
          <w:sz w:val="32"/>
          <w:szCs w:val="28"/>
          <w:highlight w:val="none"/>
          <w:u w:val="none"/>
        </w:rPr>
        <w:t>公司章程中约定</w:t>
      </w:r>
      <w:r>
        <w:rPr>
          <w:rFonts w:hint="eastAsia" w:hAnsi="仿宋" w:cs="宋体"/>
          <w:b w:val="0"/>
          <w:bCs w:val="0"/>
          <w:color w:val="auto"/>
          <w:sz w:val="32"/>
          <w:szCs w:val="28"/>
          <w:highlight w:val="none"/>
          <w:u w:val="none"/>
          <w:lang w:eastAsia="zh-CN"/>
        </w:rPr>
        <w:t>出资人</w:t>
      </w:r>
      <w:r>
        <w:rPr>
          <w:rFonts w:hint="eastAsia" w:ascii="仿宋_GB2312" w:hAnsi="仿宋" w:eastAsia="仿宋_GB2312" w:cs="宋体"/>
          <w:b w:val="0"/>
          <w:bCs w:val="0"/>
          <w:color w:val="auto"/>
          <w:sz w:val="32"/>
          <w:szCs w:val="28"/>
          <w:highlight w:val="none"/>
          <w:u w:val="none"/>
        </w:rPr>
        <w:t>有权委派以下人员，以保障国有资产出资人享有知情权、参与决策权、监督管理权、收益权等权利，确保国有资产的保值增值：</w:t>
      </w:r>
    </w:p>
    <w:p w14:paraId="2F27A6A4">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eastAsia="zh-CN"/>
        </w:rPr>
      </w:pPr>
      <w:r>
        <w:rPr>
          <w:rFonts w:hint="eastAsia" w:hAnsi="仿宋" w:cs="宋体"/>
          <w:b w:val="0"/>
          <w:bCs w:val="0"/>
          <w:color w:val="auto"/>
          <w:sz w:val="32"/>
          <w:szCs w:val="28"/>
          <w:highlight w:val="none"/>
          <w:u w:val="none"/>
          <w:lang w:eastAsia="zh-CN"/>
        </w:rPr>
        <w:t>（一）</w:t>
      </w:r>
      <w:r>
        <w:rPr>
          <w:rFonts w:hint="eastAsia" w:ascii="仿宋_GB2312" w:hAnsi="仿宋" w:eastAsia="仿宋_GB2312" w:cs="宋体"/>
          <w:b w:val="0"/>
          <w:bCs w:val="0"/>
          <w:color w:val="auto"/>
          <w:sz w:val="32"/>
          <w:szCs w:val="28"/>
          <w:highlight w:val="none"/>
          <w:u w:val="none"/>
        </w:rPr>
        <w:t>国有参股公司设有党委的，</w:t>
      </w:r>
      <w:r>
        <w:rPr>
          <w:rFonts w:hint="eastAsia" w:hAnsi="仿宋" w:cs="宋体"/>
          <w:b w:val="0"/>
          <w:bCs w:val="0"/>
          <w:color w:val="auto"/>
          <w:sz w:val="32"/>
          <w:szCs w:val="28"/>
          <w:highlight w:val="none"/>
          <w:u w:val="none"/>
          <w:lang w:eastAsia="zh-CN"/>
        </w:rPr>
        <w:t>出资人</w:t>
      </w:r>
      <w:r>
        <w:rPr>
          <w:rFonts w:hint="eastAsia" w:ascii="仿宋_GB2312" w:hAnsi="仿宋" w:eastAsia="仿宋_GB2312" w:cs="宋体"/>
          <w:b w:val="0"/>
          <w:bCs w:val="0"/>
          <w:color w:val="auto"/>
          <w:sz w:val="32"/>
          <w:szCs w:val="28"/>
          <w:highlight w:val="none"/>
          <w:u w:val="none"/>
        </w:rPr>
        <w:t>有权根据《中国共产党章程》和有关</w:t>
      </w:r>
      <w:r>
        <w:rPr>
          <w:rFonts w:hint="eastAsia" w:hAnsi="仿宋" w:cs="宋体"/>
          <w:b w:val="0"/>
          <w:bCs w:val="0"/>
          <w:color w:val="auto"/>
          <w:sz w:val="32"/>
          <w:szCs w:val="28"/>
          <w:highlight w:val="none"/>
          <w:u w:val="none"/>
          <w:lang w:eastAsia="zh-CN"/>
        </w:rPr>
        <w:t>协议约定</w:t>
      </w:r>
      <w:r>
        <w:rPr>
          <w:rFonts w:hint="eastAsia" w:ascii="仿宋_GB2312" w:hAnsi="仿宋" w:eastAsia="仿宋_GB2312" w:cs="宋体"/>
          <w:b w:val="0"/>
          <w:bCs w:val="0"/>
          <w:color w:val="auto"/>
          <w:sz w:val="32"/>
          <w:szCs w:val="28"/>
          <w:highlight w:val="none"/>
          <w:u w:val="none"/>
        </w:rPr>
        <w:t>委派人员进入参股公司党委</w:t>
      </w:r>
      <w:r>
        <w:rPr>
          <w:rFonts w:hint="eastAsia" w:hAnsi="仿宋" w:cs="宋体"/>
          <w:b w:val="0"/>
          <w:bCs w:val="0"/>
          <w:color w:val="auto"/>
          <w:sz w:val="32"/>
          <w:szCs w:val="28"/>
          <w:highlight w:val="none"/>
          <w:u w:val="none"/>
          <w:lang w:eastAsia="zh-CN"/>
        </w:rPr>
        <w:t>；</w:t>
      </w:r>
    </w:p>
    <w:p w14:paraId="4C46FF97">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（二）国有参股公司设有董事会的，</w:t>
      </w:r>
      <w:r>
        <w:rPr>
          <w:rFonts w:hint="eastAsia" w:hAnsi="仿宋" w:cs="宋体"/>
          <w:b w:val="0"/>
          <w:bCs w:val="0"/>
          <w:color w:val="auto"/>
          <w:sz w:val="32"/>
          <w:szCs w:val="28"/>
          <w:highlight w:val="none"/>
          <w:u w:val="none"/>
          <w:lang w:eastAsia="zh-CN"/>
        </w:rPr>
        <w:t>出资人</w:t>
      </w:r>
      <w:r>
        <w:rPr>
          <w:rFonts w:hint="eastAsia" w:ascii="仿宋_GB2312" w:hAnsi="仿宋" w:eastAsia="仿宋_GB2312" w:cs="宋体"/>
          <w:b w:val="0"/>
          <w:bCs w:val="0"/>
          <w:color w:val="auto"/>
          <w:sz w:val="32"/>
          <w:szCs w:val="28"/>
          <w:highlight w:val="none"/>
          <w:u w:val="none"/>
        </w:rPr>
        <w:t>有权按照参股比例向国有参股公司委派董事会成员</w:t>
      </w:r>
      <w:r>
        <w:rPr>
          <w:rFonts w:hint="eastAsia" w:hAnsi="仿宋" w:cs="宋体"/>
          <w:b w:val="0"/>
          <w:bCs w:val="0"/>
          <w:color w:val="auto"/>
          <w:sz w:val="32"/>
          <w:szCs w:val="28"/>
          <w:highlight w:val="none"/>
          <w:u w:val="none"/>
          <w:lang w:eastAsia="zh-CN"/>
        </w:rPr>
        <w:t>；</w:t>
      </w:r>
    </w:p>
    <w:p w14:paraId="2A6C11AD">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（三）国有参股公司设有监事会的，</w:t>
      </w:r>
      <w:r>
        <w:rPr>
          <w:rFonts w:hint="eastAsia" w:hAnsi="仿宋" w:cs="宋体"/>
          <w:b w:val="0"/>
          <w:bCs w:val="0"/>
          <w:color w:val="auto"/>
          <w:sz w:val="32"/>
          <w:szCs w:val="28"/>
          <w:highlight w:val="none"/>
          <w:u w:val="none"/>
          <w:lang w:eastAsia="zh-CN"/>
        </w:rPr>
        <w:t>出资人</w:t>
      </w:r>
      <w:r>
        <w:rPr>
          <w:rFonts w:hint="eastAsia" w:ascii="仿宋_GB2312" w:hAnsi="仿宋" w:eastAsia="仿宋_GB2312" w:cs="宋体"/>
          <w:b w:val="0"/>
          <w:bCs w:val="0"/>
          <w:color w:val="auto"/>
          <w:sz w:val="32"/>
          <w:szCs w:val="28"/>
          <w:highlight w:val="none"/>
          <w:u w:val="none"/>
        </w:rPr>
        <w:t>有权向国有参股公司委派监事会主席或相应参股比例的监事</w:t>
      </w:r>
      <w:r>
        <w:rPr>
          <w:rFonts w:hint="eastAsia" w:hAnsi="仿宋" w:cs="宋体"/>
          <w:b w:val="0"/>
          <w:bCs w:val="0"/>
          <w:color w:val="auto"/>
          <w:sz w:val="32"/>
          <w:szCs w:val="28"/>
          <w:highlight w:val="none"/>
          <w:u w:val="none"/>
          <w:lang w:eastAsia="zh-CN"/>
        </w:rPr>
        <w:t>；</w:t>
      </w:r>
    </w:p>
    <w:p w14:paraId="6D20E2EB">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（四）</w:t>
      </w:r>
      <w:r>
        <w:rPr>
          <w:rFonts w:hint="eastAsia" w:hAnsi="仿宋" w:cs="宋体"/>
          <w:b w:val="0"/>
          <w:bCs w:val="0"/>
          <w:color w:val="auto"/>
          <w:sz w:val="32"/>
          <w:szCs w:val="28"/>
          <w:highlight w:val="none"/>
          <w:u w:val="none"/>
          <w:lang w:eastAsia="zh-CN"/>
        </w:rPr>
        <w:t>出资人</w:t>
      </w:r>
      <w:r>
        <w:rPr>
          <w:rFonts w:hint="eastAsia" w:ascii="仿宋_GB2312" w:hAnsi="仿宋" w:eastAsia="仿宋_GB2312" w:cs="宋体"/>
          <w:b w:val="0"/>
          <w:bCs w:val="0"/>
          <w:color w:val="auto"/>
          <w:sz w:val="32"/>
          <w:szCs w:val="28"/>
          <w:highlight w:val="none"/>
          <w:u w:val="none"/>
        </w:rPr>
        <w:t>有权向国有参股公司委派一定比例的经营管理或监督管理人员，包括</w:t>
      </w:r>
      <w:r>
        <w:rPr>
          <w:rFonts w:hint="eastAsia" w:hAnsi="仿宋" w:cs="宋体"/>
          <w:b w:val="0"/>
          <w:bCs w:val="0"/>
          <w:color w:val="auto"/>
          <w:sz w:val="32"/>
          <w:szCs w:val="28"/>
          <w:highlight w:val="none"/>
          <w:u w:val="none"/>
          <w:lang w:eastAsia="zh-CN"/>
        </w:rPr>
        <w:t>经理</w:t>
      </w:r>
      <w:r>
        <w:rPr>
          <w:rFonts w:hint="eastAsia" w:ascii="仿宋_GB2312" w:hAnsi="仿宋" w:eastAsia="仿宋_GB2312" w:cs="宋体"/>
          <w:b w:val="0"/>
          <w:bCs w:val="0"/>
          <w:color w:val="auto"/>
          <w:sz w:val="32"/>
          <w:szCs w:val="28"/>
          <w:highlight w:val="none"/>
          <w:u w:val="none"/>
        </w:rPr>
        <w:t>、副</w:t>
      </w:r>
      <w:r>
        <w:rPr>
          <w:rFonts w:hint="eastAsia" w:hAnsi="仿宋" w:cs="宋体"/>
          <w:b w:val="0"/>
          <w:bCs w:val="0"/>
          <w:color w:val="auto"/>
          <w:sz w:val="32"/>
          <w:szCs w:val="28"/>
          <w:highlight w:val="none"/>
          <w:u w:val="none"/>
          <w:lang w:eastAsia="zh-CN"/>
        </w:rPr>
        <w:t>经理</w:t>
      </w:r>
      <w:r>
        <w:rPr>
          <w:rFonts w:hint="eastAsia" w:ascii="仿宋_GB2312" w:hAnsi="仿宋" w:eastAsia="仿宋_GB2312" w:cs="宋体"/>
          <w:b w:val="0"/>
          <w:bCs w:val="0"/>
          <w:color w:val="auto"/>
          <w:sz w:val="32"/>
          <w:szCs w:val="28"/>
          <w:highlight w:val="none"/>
          <w:u w:val="none"/>
        </w:rPr>
        <w:t>、财务总监等。</w:t>
      </w:r>
    </w:p>
    <w:p w14:paraId="1587FF8B">
      <w:pPr>
        <w:numPr>
          <w:ilvl w:val="0"/>
          <w:numId w:val="1"/>
        </w:numPr>
        <w:shd w:val="clear" w:color="auto" w:fill="auto"/>
        <w:spacing w:line="560" w:lineRule="exact"/>
        <w:ind w:left="0" w:firstLine="640" w:firstLineChars="200"/>
        <w:jc w:val="left"/>
        <w:rPr>
          <w:rFonts w:hint="eastAsia" w:hAnsi="仿宋" w:cs="宋体"/>
          <w:b w:val="0"/>
          <w:bCs w:val="0"/>
          <w:color w:val="auto"/>
          <w:sz w:val="32"/>
          <w:szCs w:val="28"/>
          <w:highlight w:val="none"/>
          <w:u w:val="none"/>
          <w:lang w:val="en-US" w:eastAsia="zh-CN"/>
        </w:rPr>
      </w:pPr>
      <w:r>
        <w:rPr>
          <w:rFonts w:hint="eastAsia" w:hAnsi="仿宋" w:cs="宋体"/>
          <w:b w:val="0"/>
          <w:bCs w:val="0"/>
          <w:color w:val="auto"/>
          <w:sz w:val="32"/>
          <w:szCs w:val="28"/>
          <w:highlight w:val="none"/>
          <w:u w:val="none"/>
          <w:lang w:val="en-US" w:eastAsia="zh-CN"/>
        </w:rPr>
        <w:t>委派人员应当具备以下条件：</w:t>
      </w:r>
    </w:p>
    <w:p w14:paraId="3C46F9A2">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val="en-US" w:eastAsia="zh-CN"/>
        </w:rPr>
      </w:pPr>
      <w:r>
        <w:rPr>
          <w:rFonts w:hint="eastAsia" w:hAnsi="仿宋" w:cs="宋体"/>
          <w:b w:val="0"/>
          <w:bCs w:val="0"/>
          <w:color w:val="auto"/>
          <w:sz w:val="32"/>
          <w:szCs w:val="28"/>
          <w:highlight w:val="none"/>
          <w:u w:val="none"/>
          <w:lang w:val="en-US" w:eastAsia="zh-CN"/>
        </w:rPr>
        <w:t>（一）有良好的品行；</w:t>
      </w:r>
    </w:p>
    <w:p w14:paraId="3C3451A6">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val="en-US" w:eastAsia="zh-CN"/>
        </w:rPr>
      </w:pPr>
      <w:r>
        <w:rPr>
          <w:rFonts w:hint="eastAsia" w:hAnsi="仿宋" w:cs="宋体"/>
          <w:b w:val="0"/>
          <w:bCs w:val="0"/>
          <w:color w:val="auto"/>
          <w:sz w:val="32"/>
          <w:szCs w:val="28"/>
          <w:highlight w:val="none"/>
          <w:u w:val="none"/>
          <w:lang w:val="en-US" w:eastAsia="zh-CN"/>
        </w:rPr>
        <w:t>（二）有符合职位要求的专业知识和工作能力；</w:t>
      </w:r>
    </w:p>
    <w:p w14:paraId="49CF302E">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val="en-US" w:eastAsia="zh-CN"/>
        </w:rPr>
      </w:pPr>
      <w:r>
        <w:rPr>
          <w:rFonts w:hint="eastAsia" w:hAnsi="仿宋" w:cs="宋体"/>
          <w:b w:val="0"/>
          <w:bCs w:val="0"/>
          <w:color w:val="auto"/>
          <w:sz w:val="32"/>
          <w:szCs w:val="28"/>
          <w:highlight w:val="none"/>
          <w:u w:val="none"/>
          <w:lang w:val="en-US" w:eastAsia="zh-CN"/>
        </w:rPr>
        <w:t>（三）有能够正常履行职责的身体条件；</w:t>
      </w:r>
    </w:p>
    <w:p w14:paraId="4856C197">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val="en-US" w:eastAsia="zh-CN"/>
        </w:rPr>
      </w:pPr>
      <w:r>
        <w:rPr>
          <w:rFonts w:hint="eastAsia" w:hAnsi="仿宋" w:cs="宋体"/>
          <w:b w:val="0"/>
          <w:bCs w:val="0"/>
          <w:color w:val="auto"/>
          <w:sz w:val="32"/>
          <w:szCs w:val="28"/>
          <w:highlight w:val="none"/>
          <w:u w:val="none"/>
          <w:lang w:val="en-US" w:eastAsia="zh-CN"/>
        </w:rPr>
        <w:t>（四）符合相关回避规定；</w:t>
      </w:r>
    </w:p>
    <w:p w14:paraId="76FCD5E3">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hAnsi="仿宋" w:cs="宋体"/>
          <w:b w:val="0"/>
          <w:bCs w:val="0"/>
          <w:color w:val="auto"/>
          <w:sz w:val="32"/>
          <w:szCs w:val="28"/>
          <w:highlight w:val="none"/>
          <w:u w:val="none"/>
          <w:lang w:val="en-US" w:eastAsia="zh-CN"/>
        </w:rPr>
        <w:t>（五）法律、行政法规规定的其他条件。</w:t>
      </w:r>
    </w:p>
    <w:p w14:paraId="4679D6EF">
      <w:pPr>
        <w:numPr>
          <w:ilvl w:val="0"/>
          <w:numId w:val="1"/>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委派到国有参股公司任职的下列人员为国有</w:t>
      </w:r>
      <w:r>
        <w:rPr>
          <w:rFonts w:hint="eastAsia" w:hAnsi="仿宋" w:cs="宋体"/>
          <w:b w:val="0"/>
          <w:bCs w:val="0"/>
          <w:color w:val="auto"/>
          <w:sz w:val="32"/>
          <w:szCs w:val="28"/>
          <w:highlight w:val="none"/>
          <w:u w:val="none"/>
          <w:lang w:val="en-US" w:eastAsia="zh-CN"/>
        </w:rPr>
        <w:t>股</w:t>
      </w:r>
      <w:r>
        <w:rPr>
          <w:rFonts w:hint="eastAsia" w:ascii="仿宋_GB2312" w:hAnsi="仿宋" w:eastAsia="仿宋_GB2312" w:cs="宋体"/>
          <w:b w:val="0"/>
          <w:bCs w:val="0"/>
          <w:color w:val="auto"/>
          <w:sz w:val="32"/>
          <w:szCs w:val="28"/>
          <w:highlight w:val="none"/>
          <w:u w:val="none"/>
        </w:rPr>
        <w:t>权代表：</w:t>
      </w:r>
    </w:p>
    <w:p w14:paraId="0F59EBE6">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（一）国有参股公司设董事会的董事长、副董事长、董事。</w:t>
      </w:r>
    </w:p>
    <w:p w14:paraId="63D71DB7">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hAnsi="仿宋" w:cs="宋体"/>
          <w:b w:val="0"/>
          <w:bCs w:val="0"/>
          <w:color w:val="auto"/>
          <w:sz w:val="32"/>
          <w:szCs w:val="28"/>
          <w:highlight w:val="none"/>
          <w:u w:val="none"/>
          <w:lang w:eastAsia="zh-CN"/>
        </w:rPr>
        <w:t>（二）</w:t>
      </w:r>
      <w:r>
        <w:rPr>
          <w:rFonts w:hint="eastAsia" w:ascii="仿宋_GB2312" w:hAnsi="仿宋" w:eastAsia="仿宋_GB2312" w:cs="宋体"/>
          <w:b w:val="0"/>
          <w:bCs w:val="0"/>
          <w:color w:val="auto"/>
          <w:sz w:val="32"/>
          <w:szCs w:val="28"/>
          <w:highlight w:val="none"/>
          <w:u w:val="none"/>
        </w:rPr>
        <w:t>国有参股公司设董事会</w:t>
      </w:r>
      <w:r>
        <w:rPr>
          <w:rFonts w:hint="eastAsia" w:hAnsi="仿宋" w:cs="宋体"/>
          <w:b w:val="0"/>
          <w:bCs w:val="0"/>
          <w:color w:val="auto"/>
          <w:sz w:val="32"/>
          <w:szCs w:val="28"/>
          <w:highlight w:val="none"/>
          <w:u w:val="none"/>
          <w:lang w:eastAsia="zh-CN"/>
        </w:rPr>
        <w:t>，但出资人作为参股方没有董事委派权限或暂未委派董事的经理、副经理。</w:t>
      </w:r>
    </w:p>
    <w:p w14:paraId="40A8A2B9">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w:t>
      </w:r>
      <w:r>
        <w:rPr>
          <w:rFonts w:hint="eastAsia" w:hAnsi="仿宋" w:cs="宋体"/>
          <w:b w:val="0"/>
          <w:bCs w:val="0"/>
          <w:color w:val="auto"/>
          <w:sz w:val="32"/>
          <w:szCs w:val="28"/>
          <w:highlight w:val="none"/>
          <w:u w:val="none"/>
          <w:lang w:eastAsia="zh-CN"/>
        </w:rPr>
        <w:t>三</w:t>
      </w:r>
      <w:r>
        <w:rPr>
          <w:rFonts w:hint="eastAsia" w:ascii="仿宋_GB2312" w:hAnsi="仿宋" w:eastAsia="仿宋_GB2312" w:cs="宋体"/>
          <w:b w:val="0"/>
          <w:bCs w:val="0"/>
          <w:color w:val="auto"/>
          <w:sz w:val="32"/>
          <w:szCs w:val="28"/>
          <w:highlight w:val="none"/>
          <w:u w:val="none"/>
        </w:rPr>
        <w:t>）国有参股公司不设董事会的</w:t>
      </w:r>
      <w:r>
        <w:rPr>
          <w:rFonts w:hint="eastAsia" w:hAnsi="仿宋" w:cs="宋体"/>
          <w:b w:val="0"/>
          <w:bCs w:val="0"/>
          <w:color w:val="auto"/>
          <w:sz w:val="32"/>
          <w:szCs w:val="28"/>
          <w:highlight w:val="none"/>
          <w:u w:val="none"/>
          <w:lang w:eastAsia="zh-CN"/>
        </w:rPr>
        <w:t>董事、经理</w:t>
      </w:r>
      <w:r>
        <w:rPr>
          <w:rFonts w:hint="eastAsia" w:ascii="仿宋_GB2312" w:hAnsi="仿宋" w:eastAsia="仿宋_GB2312" w:cs="宋体"/>
          <w:b w:val="0"/>
          <w:bCs w:val="0"/>
          <w:color w:val="auto"/>
          <w:sz w:val="32"/>
          <w:szCs w:val="28"/>
          <w:highlight w:val="none"/>
          <w:u w:val="none"/>
        </w:rPr>
        <w:t>、副</w:t>
      </w:r>
      <w:r>
        <w:rPr>
          <w:rFonts w:hint="eastAsia" w:hAnsi="仿宋" w:cs="宋体"/>
          <w:b w:val="0"/>
          <w:bCs w:val="0"/>
          <w:color w:val="auto"/>
          <w:sz w:val="32"/>
          <w:szCs w:val="28"/>
          <w:highlight w:val="none"/>
          <w:u w:val="none"/>
          <w:lang w:eastAsia="zh-CN"/>
        </w:rPr>
        <w:t>经理</w:t>
      </w:r>
      <w:r>
        <w:rPr>
          <w:rFonts w:hint="eastAsia" w:ascii="仿宋_GB2312" w:hAnsi="仿宋" w:eastAsia="仿宋_GB2312" w:cs="宋体"/>
          <w:b w:val="0"/>
          <w:bCs w:val="0"/>
          <w:color w:val="auto"/>
          <w:sz w:val="32"/>
          <w:szCs w:val="28"/>
          <w:highlight w:val="none"/>
          <w:u w:val="none"/>
        </w:rPr>
        <w:t>。</w:t>
      </w:r>
    </w:p>
    <w:p w14:paraId="79F8BF5E">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val="en-US" w:eastAsia="zh-CN"/>
        </w:rPr>
      </w:pPr>
      <w:r>
        <w:rPr>
          <w:rFonts w:hint="eastAsia" w:ascii="仿宋_GB2312" w:hAnsi="仿宋" w:eastAsia="仿宋_GB2312" w:cs="宋体"/>
          <w:b w:val="0"/>
          <w:bCs w:val="0"/>
          <w:color w:val="auto"/>
          <w:sz w:val="32"/>
          <w:szCs w:val="28"/>
          <w:highlight w:val="none"/>
          <w:u w:val="none"/>
          <w:lang w:val="en-US" w:eastAsia="zh-CN"/>
        </w:rPr>
        <w:t>出资人可向参股公司委派1名或多名</w:t>
      </w:r>
      <w:r>
        <w:rPr>
          <w:rFonts w:hint="eastAsia" w:hAnsi="仿宋" w:cs="宋体"/>
          <w:b w:val="0"/>
          <w:bCs w:val="0"/>
          <w:color w:val="auto"/>
          <w:sz w:val="32"/>
          <w:szCs w:val="28"/>
          <w:highlight w:val="none"/>
          <w:u w:val="none"/>
          <w:lang w:val="en-US" w:eastAsia="zh-CN"/>
        </w:rPr>
        <w:t>股权代表，</w:t>
      </w:r>
      <w:r>
        <w:rPr>
          <w:rFonts w:hint="eastAsia" w:ascii="仿宋_GB2312" w:hAnsi="仿宋" w:eastAsia="仿宋_GB2312" w:cs="宋体"/>
          <w:b w:val="0"/>
          <w:bCs w:val="0"/>
          <w:color w:val="auto"/>
          <w:sz w:val="32"/>
          <w:szCs w:val="28"/>
          <w:highlight w:val="none"/>
          <w:u w:val="none"/>
          <w:lang w:val="en-US" w:eastAsia="zh-CN"/>
        </w:rPr>
        <w:t>当委派人员为2名以上的，</w:t>
      </w:r>
      <w:r>
        <w:rPr>
          <w:rFonts w:hint="eastAsia" w:hAnsi="仿宋" w:cs="宋体"/>
          <w:b w:val="0"/>
          <w:bCs w:val="0"/>
          <w:color w:val="auto"/>
          <w:sz w:val="32"/>
          <w:szCs w:val="28"/>
          <w:highlight w:val="none"/>
          <w:u w:val="none"/>
          <w:lang w:val="en-US" w:eastAsia="zh-CN"/>
        </w:rPr>
        <w:t>职务最高人员为</w:t>
      </w:r>
      <w:r>
        <w:rPr>
          <w:rFonts w:hint="eastAsia" w:ascii="仿宋_GB2312" w:hAnsi="仿宋" w:eastAsia="仿宋_GB2312" w:cs="宋体"/>
          <w:b w:val="0"/>
          <w:bCs w:val="0"/>
          <w:color w:val="auto"/>
          <w:sz w:val="32"/>
          <w:szCs w:val="28"/>
          <w:highlight w:val="none"/>
          <w:u w:val="none"/>
          <w:lang w:val="en-US" w:eastAsia="zh-CN"/>
        </w:rPr>
        <w:t>首席</w:t>
      </w:r>
      <w:r>
        <w:rPr>
          <w:rFonts w:hint="eastAsia" w:hAnsi="仿宋" w:cs="宋体"/>
          <w:b w:val="0"/>
          <w:bCs w:val="0"/>
          <w:color w:val="auto"/>
          <w:sz w:val="32"/>
          <w:szCs w:val="28"/>
          <w:highlight w:val="none"/>
          <w:u w:val="none"/>
          <w:lang w:val="en-US" w:eastAsia="zh-CN"/>
        </w:rPr>
        <w:t>股</w:t>
      </w:r>
      <w:r>
        <w:rPr>
          <w:rFonts w:hint="eastAsia" w:ascii="仿宋_GB2312" w:hAnsi="仿宋" w:eastAsia="仿宋_GB2312" w:cs="宋体"/>
          <w:b w:val="0"/>
          <w:bCs w:val="0"/>
          <w:color w:val="auto"/>
          <w:sz w:val="32"/>
          <w:szCs w:val="28"/>
          <w:highlight w:val="none"/>
          <w:u w:val="none"/>
          <w:lang w:val="en-US" w:eastAsia="zh-CN"/>
        </w:rPr>
        <w:t>权代表，只委派1名的直接作为首席</w:t>
      </w:r>
      <w:r>
        <w:rPr>
          <w:rFonts w:hint="eastAsia" w:hAnsi="仿宋" w:cs="宋体"/>
          <w:b w:val="0"/>
          <w:bCs w:val="0"/>
          <w:color w:val="auto"/>
          <w:sz w:val="32"/>
          <w:szCs w:val="28"/>
          <w:highlight w:val="none"/>
          <w:u w:val="none"/>
          <w:lang w:val="en-US" w:eastAsia="zh-CN"/>
        </w:rPr>
        <w:t>股</w:t>
      </w:r>
      <w:r>
        <w:rPr>
          <w:rFonts w:hint="eastAsia" w:ascii="仿宋_GB2312" w:hAnsi="仿宋" w:eastAsia="仿宋_GB2312" w:cs="宋体"/>
          <w:b w:val="0"/>
          <w:bCs w:val="0"/>
          <w:color w:val="auto"/>
          <w:sz w:val="32"/>
          <w:szCs w:val="28"/>
          <w:highlight w:val="none"/>
          <w:u w:val="none"/>
          <w:lang w:val="en-US" w:eastAsia="zh-CN"/>
        </w:rPr>
        <w:t>权代表。</w:t>
      </w:r>
    </w:p>
    <w:p w14:paraId="631DD8B5">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hAnsi="仿宋"/>
          <w:color w:val="auto"/>
          <w:sz w:val="32"/>
          <w:szCs w:val="28"/>
          <w:highlight w:val="none"/>
          <w:u w:val="none"/>
          <w:lang w:val="en-US" w:eastAsia="zh-CN"/>
        </w:rPr>
        <w:t>区国有企业领导人员在参股企业兼职，应当符合领导人员任职回避有关规定，根据工作需要从严掌握，一般不跨级兼职，不兼“挂名”职务；确需兼职的，按照管理权限审批，且不得在兼职企业领取工资、奖金、津贴等任何形式的报酬，不得获取股权和其他额外利益；任期届满需要连任的，应当重新履行相关程序。</w:t>
      </w:r>
    </w:p>
    <w:p w14:paraId="60610CF9">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hAnsi="仿宋" w:cs="宋体"/>
          <w:b w:val="0"/>
          <w:bCs w:val="0"/>
          <w:color w:val="auto"/>
          <w:sz w:val="32"/>
          <w:szCs w:val="28"/>
          <w:highlight w:val="none"/>
          <w:u w:val="none"/>
          <w:lang w:val="en-US" w:eastAsia="zh-CN"/>
        </w:rPr>
        <w:t>股</w:t>
      </w:r>
      <w:r>
        <w:rPr>
          <w:rFonts w:hint="eastAsia" w:ascii="仿宋_GB2312" w:hAnsi="仿宋" w:eastAsia="仿宋_GB2312" w:cs="宋体"/>
          <w:b w:val="0"/>
          <w:bCs w:val="0"/>
          <w:color w:val="auto"/>
          <w:sz w:val="32"/>
          <w:szCs w:val="28"/>
          <w:highlight w:val="none"/>
          <w:u w:val="none"/>
        </w:rPr>
        <w:t>权代表应认真贯彻执行国家有关</w:t>
      </w:r>
      <w:r>
        <w:rPr>
          <w:rFonts w:hint="eastAsia" w:hAnsi="仿宋" w:cs="宋体"/>
          <w:b w:val="0"/>
          <w:bCs w:val="0"/>
          <w:color w:val="auto"/>
          <w:sz w:val="32"/>
          <w:szCs w:val="28"/>
          <w:highlight w:val="none"/>
          <w:u w:val="none"/>
          <w:lang w:eastAsia="zh-CN"/>
        </w:rPr>
        <w:t>法律</w:t>
      </w:r>
      <w:r>
        <w:rPr>
          <w:rFonts w:hint="eastAsia" w:ascii="仿宋_GB2312" w:hAnsi="仿宋" w:eastAsia="仿宋_GB2312" w:cs="宋体"/>
          <w:b w:val="0"/>
          <w:bCs w:val="0"/>
          <w:color w:val="auto"/>
          <w:sz w:val="32"/>
          <w:szCs w:val="28"/>
          <w:highlight w:val="none"/>
          <w:u w:val="none"/>
        </w:rPr>
        <w:t>法规和</w:t>
      </w:r>
      <w:r>
        <w:rPr>
          <w:rFonts w:hint="eastAsia" w:hAnsi="仿宋" w:cs="宋体"/>
          <w:b w:val="0"/>
          <w:bCs w:val="0"/>
          <w:color w:val="auto"/>
          <w:sz w:val="32"/>
          <w:szCs w:val="28"/>
          <w:highlight w:val="none"/>
          <w:u w:val="none"/>
          <w:lang w:eastAsia="zh-CN"/>
        </w:rPr>
        <w:t>规章</w:t>
      </w:r>
      <w:r>
        <w:rPr>
          <w:rFonts w:hint="eastAsia" w:ascii="仿宋_GB2312" w:hAnsi="仿宋" w:eastAsia="仿宋_GB2312" w:cs="宋体"/>
          <w:b w:val="0"/>
          <w:bCs w:val="0"/>
          <w:color w:val="auto"/>
          <w:sz w:val="32"/>
          <w:szCs w:val="28"/>
          <w:highlight w:val="none"/>
          <w:u w:val="none"/>
        </w:rPr>
        <w:t>制度，依据出资人的决定、指示和建议，在任职国有参股公司董事会或其他内部决策机构会议上发表意见和主张，行使表决权。会议结束</w:t>
      </w:r>
      <w:r>
        <w:rPr>
          <w:rFonts w:hint="eastAsia" w:ascii="仿宋_GB2312" w:hAnsi="仿宋" w:eastAsia="仿宋_GB2312" w:cs="宋体"/>
          <w:b w:val="0"/>
          <w:bCs w:val="0"/>
          <w:color w:val="auto"/>
          <w:sz w:val="32"/>
          <w:szCs w:val="28"/>
          <w:highlight w:val="none"/>
          <w:u w:val="none"/>
          <w:lang w:val="en-US" w:eastAsia="zh-CN"/>
        </w:rPr>
        <w:t>之日起</w:t>
      </w:r>
      <w:r>
        <w:rPr>
          <w:rFonts w:hint="eastAsia" w:hAnsi="仿宋" w:cs="宋体"/>
          <w:b w:val="0"/>
          <w:bCs w:val="0"/>
          <w:color w:val="auto"/>
          <w:sz w:val="32"/>
          <w:szCs w:val="28"/>
          <w:highlight w:val="none"/>
          <w:u w:val="none"/>
          <w:lang w:val="en-US" w:eastAsia="zh-CN"/>
        </w:rPr>
        <w:t>1个月</w:t>
      </w:r>
      <w:r>
        <w:rPr>
          <w:rFonts w:hint="eastAsia" w:ascii="仿宋_GB2312" w:hAnsi="仿宋" w:eastAsia="仿宋_GB2312" w:cs="宋体"/>
          <w:b w:val="0"/>
          <w:bCs w:val="0"/>
          <w:color w:val="auto"/>
          <w:sz w:val="32"/>
          <w:szCs w:val="28"/>
          <w:highlight w:val="none"/>
          <w:u w:val="none"/>
          <w:lang w:val="en-US" w:eastAsia="zh-CN"/>
        </w:rPr>
        <w:t>内，应</w:t>
      </w:r>
      <w:r>
        <w:rPr>
          <w:rFonts w:hint="eastAsia" w:ascii="仿宋_GB2312" w:hAnsi="仿宋" w:eastAsia="仿宋_GB2312" w:cs="宋体"/>
          <w:b w:val="0"/>
          <w:bCs w:val="0"/>
          <w:color w:val="auto"/>
          <w:sz w:val="32"/>
          <w:szCs w:val="28"/>
          <w:highlight w:val="none"/>
          <w:u w:val="none"/>
        </w:rPr>
        <w:t>向</w:t>
      </w:r>
      <w:r>
        <w:rPr>
          <w:rFonts w:hint="eastAsia" w:hAnsi="仿宋" w:cs="宋体"/>
          <w:b w:val="0"/>
          <w:bCs w:val="0"/>
          <w:color w:val="auto"/>
          <w:sz w:val="32"/>
          <w:szCs w:val="28"/>
          <w:highlight w:val="none"/>
          <w:u w:val="none"/>
          <w:lang w:val="en-US"/>
        </w:rPr>
        <w:t>出资人</w:t>
      </w:r>
      <w:r>
        <w:rPr>
          <w:rFonts w:hint="eastAsia" w:ascii="仿宋_GB2312" w:hAnsi="仿宋" w:eastAsia="仿宋_GB2312" w:cs="宋体"/>
          <w:b w:val="0"/>
          <w:bCs w:val="0"/>
          <w:color w:val="auto"/>
          <w:sz w:val="32"/>
          <w:szCs w:val="28"/>
          <w:highlight w:val="none"/>
          <w:u w:val="none"/>
        </w:rPr>
        <w:t>书面报告表决结果。报告中应写明会议的主要情况及对决策事项的表决意见，并签署本人的姓名。</w:t>
      </w:r>
      <w:r>
        <w:rPr>
          <w:rFonts w:hint="eastAsia" w:hAnsi="仿宋"/>
          <w:color w:val="auto"/>
          <w:szCs w:val="28"/>
          <w:highlight w:val="none"/>
        </w:rPr>
        <w:t>企业或者企业董事会已上报</w:t>
      </w:r>
      <w:r>
        <w:rPr>
          <w:rFonts w:hint="eastAsia" w:hAnsi="仿宋" w:cs="宋体"/>
          <w:bCs w:val="0"/>
          <w:color w:val="auto"/>
          <w:szCs w:val="28"/>
          <w:highlight w:val="none"/>
          <w:lang w:eastAsia="zh-CN"/>
        </w:rPr>
        <w:t>出资人</w:t>
      </w:r>
      <w:r>
        <w:rPr>
          <w:rFonts w:hint="eastAsia" w:hAnsi="仿宋"/>
          <w:color w:val="auto"/>
          <w:szCs w:val="28"/>
          <w:highlight w:val="none"/>
        </w:rPr>
        <w:t>的事后备案事项不再重复报备。</w:t>
      </w:r>
    </w:p>
    <w:p w14:paraId="021A2A6A">
      <w:pPr>
        <w:numPr>
          <w:ilvl w:val="0"/>
          <w:numId w:val="1"/>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首席</w:t>
      </w:r>
      <w:r>
        <w:rPr>
          <w:rFonts w:hint="eastAsia" w:hAnsi="仿宋" w:cs="宋体"/>
          <w:b w:val="0"/>
          <w:bCs w:val="0"/>
          <w:color w:val="auto"/>
          <w:sz w:val="32"/>
          <w:szCs w:val="28"/>
          <w:highlight w:val="none"/>
          <w:u w:val="none"/>
          <w:lang w:eastAsia="zh-CN"/>
        </w:rPr>
        <w:t>股权代表</w:t>
      </w:r>
      <w:r>
        <w:rPr>
          <w:rFonts w:hint="eastAsia" w:ascii="仿宋_GB2312" w:hAnsi="仿宋" w:eastAsia="仿宋_GB2312" w:cs="宋体"/>
          <w:b w:val="0"/>
          <w:bCs w:val="0"/>
          <w:color w:val="auto"/>
          <w:sz w:val="32"/>
          <w:szCs w:val="28"/>
          <w:highlight w:val="none"/>
          <w:u w:val="none"/>
        </w:rPr>
        <w:t>负责重大事项请示和定期报告。</w:t>
      </w:r>
    </w:p>
    <w:p w14:paraId="55C45A17">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（一）重大事项请示</w:t>
      </w:r>
    </w:p>
    <w:p w14:paraId="5582B1ED">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国有参股公司发生的下列重大事项，应在董事会或其他内部决策机构会议作出决定前向</w:t>
      </w:r>
      <w:r>
        <w:rPr>
          <w:rFonts w:hint="eastAsia" w:hAnsi="仿宋" w:cs="宋体"/>
          <w:b w:val="0"/>
          <w:bCs w:val="0"/>
          <w:color w:val="auto"/>
          <w:sz w:val="32"/>
          <w:szCs w:val="28"/>
          <w:highlight w:val="none"/>
          <w:u w:val="none"/>
          <w:lang w:val="en-US"/>
        </w:rPr>
        <w:t>出资人</w:t>
      </w:r>
      <w:r>
        <w:rPr>
          <w:rFonts w:hint="eastAsia" w:ascii="仿宋_GB2312" w:hAnsi="仿宋" w:eastAsia="仿宋_GB2312" w:cs="宋体"/>
          <w:b w:val="0"/>
          <w:bCs w:val="0"/>
          <w:color w:val="auto"/>
          <w:sz w:val="32"/>
          <w:szCs w:val="28"/>
          <w:highlight w:val="none"/>
          <w:u w:val="none"/>
        </w:rPr>
        <w:t>请示：</w:t>
      </w:r>
    </w:p>
    <w:p w14:paraId="1EE567AE">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1.国有参股公司及其所属企业的资产重组、股份制改造方案和公司章程变更、非国有股权转让、股东变化</w:t>
      </w:r>
      <w:r>
        <w:rPr>
          <w:rFonts w:hint="eastAsia" w:hAnsi="仿宋" w:cs="宋体"/>
          <w:b w:val="0"/>
          <w:bCs w:val="0"/>
          <w:color w:val="auto"/>
          <w:sz w:val="32"/>
          <w:szCs w:val="28"/>
          <w:highlight w:val="none"/>
          <w:u w:val="none"/>
          <w:lang w:eastAsia="zh-CN"/>
        </w:rPr>
        <w:t>；</w:t>
      </w:r>
    </w:p>
    <w:p w14:paraId="63EF390A">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2.国有参股公司及其所属企业发生分立、兼并或被兼并、破产、解散、增减资本、发行公司债券等事项</w:t>
      </w:r>
      <w:r>
        <w:rPr>
          <w:rFonts w:hint="eastAsia" w:hAnsi="仿宋" w:cs="宋体"/>
          <w:b w:val="0"/>
          <w:bCs w:val="0"/>
          <w:color w:val="auto"/>
          <w:sz w:val="32"/>
          <w:szCs w:val="28"/>
          <w:highlight w:val="none"/>
          <w:u w:val="none"/>
          <w:lang w:eastAsia="zh-CN"/>
        </w:rPr>
        <w:t>；</w:t>
      </w:r>
    </w:p>
    <w:p w14:paraId="5870368B">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3.国有参股公司及其所属企业为他人提供担保、抵押、质押事项</w:t>
      </w:r>
      <w:r>
        <w:rPr>
          <w:rFonts w:hint="eastAsia" w:hAnsi="仿宋" w:cs="宋体"/>
          <w:b w:val="0"/>
          <w:bCs w:val="0"/>
          <w:color w:val="auto"/>
          <w:sz w:val="32"/>
          <w:szCs w:val="28"/>
          <w:highlight w:val="none"/>
          <w:u w:val="none"/>
          <w:lang w:eastAsia="zh-CN"/>
        </w:rPr>
        <w:t>；</w:t>
      </w:r>
    </w:p>
    <w:p w14:paraId="7BFDAF9E">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4.国有参股公司及其所属企业拟投资人民币3000万元以上的投资事项</w:t>
      </w:r>
      <w:r>
        <w:rPr>
          <w:rFonts w:hint="eastAsia" w:hAnsi="仿宋" w:cs="宋体"/>
          <w:b w:val="0"/>
          <w:bCs w:val="0"/>
          <w:color w:val="auto"/>
          <w:sz w:val="32"/>
          <w:szCs w:val="28"/>
          <w:highlight w:val="none"/>
          <w:u w:val="none"/>
          <w:lang w:eastAsia="zh-CN"/>
        </w:rPr>
        <w:t>；</w:t>
      </w:r>
    </w:p>
    <w:p w14:paraId="0DBCFCEB">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5.国有参股公司及其所属企业单笔金额或总金额超过公</w:t>
      </w:r>
      <w:r>
        <w:rPr>
          <w:rFonts w:hint="eastAsia" w:hAnsi="仿宋" w:cs="宋体"/>
          <w:b w:val="0"/>
          <w:bCs w:val="0"/>
          <w:color w:val="auto"/>
          <w:sz w:val="32"/>
          <w:szCs w:val="28"/>
          <w:highlight w:val="none"/>
          <w:u w:val="none"/>
          <w:lang w:eastAsia="zh-CN"/>
        </w:rPr>
        <w:t>司</w:t>
      </w:r>
      <w:r>
        <w:rPr>
          <w:rFonts w:hint="eastAsia" w:ascii="仿宋_GB2312" w:hAnsi="仿宋" w:eastAsia="仿宋_GB2312" w:cs="宋体"/>
          <w:b w:val="0"/>
          <w:bCs w:val="0"/>
          <w:color w:val="auto"/>
          <w:sz w:val="32"/>
          <w:szCs w:val="28"/>
          <w:highlight w:val="none"/>
          <w:u w:val="none"/>
        </w:rPr>
        <w:t>章程约定额度的关联交易事项</w:t>
      </w:r>
      <w:r>
        <w:rPr>
          <w:rFonts w:hint="eastAsia" w:hAnsi="仿宋" w:cs="宋体"/>
          <w:b w:val="0"/>
          <w:bCs w:val="0"/>
          <w:color w:val="auto"/>
          <w:sz w:val="32"/>
          <w:szCs w:val="28"/>
          <w:highlight w:val="none"/>
          <w:u w:val="none"/>
          <w:lang w:eastAsia="zh-CN"/>
        </w:rPr>
        <w:t>；</w:t>
      </w:r>
    </w:p>
    <w:p w14:paraId="7883081E">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6.国有参股公司任免企业负责人</w:t>
      </w:r>
      <w:r>
        <w:rPr>
          <w:rFonts w:hint="eastAsia" w:hAnsi="仿宋" w:cs="宋体"/>
          <w:b w:val="0"/>
          <w:bCs w:val="0"/>
          <w:color w:val="auto"/>
          <w:sz w:val="32"/>
          <w:szCs w:val="28"/>
          <w:highlight w:val="none"/>
          <w:u w:val="none"/>
          <w:lang w:eastAsia="zh-CN"/>
        </w:rPr>
        <w:t>；</w:t>
      </w:r>
    </w:p>
    <w:p w14:paraId="6A36DA24">
      <w:pPr>
        <w:numPr>
          <w:ilvl w:val="-1"/>
          <w:numId w:val="0"/>
        </w:numPr>
        <w:shd w:val="clear" w:color="auto" w:fill="auto"/>
        <w:spacing w:line="560" w:lineRule="exact"/>
        <w:ind w:left="0" w:leftChars="0" w:firstLine="640" w:firstLineChars="200"/>
        <w:jc w:val="left"/>
        <w:rPr>
          <w:rFonts w:hint="eastAsia" w:hAnsi="仿宋"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7.国有参股公司员工薪酬分配方案、利润分配方案及变动情况</w:t>
      </w:r>
      <w:r>
        <w:rPr>
          <w:rFonts w:hint="eastAsia" w:hAnsi="仿宋" w:cs="宋体"/>
          <w:b w:val="0"/>
          <w:bCs w:val="0"/>
          <w:color w:val="auto"/>
          <w:sz w:val="32"/>
          <w:szCs w:val="28"/>
          <w:highlight w:val="none"/>
          <w:u w:val="none"/>
          <w:lang w:eastAsia="zh-CN"/>
        </w:rPr>
        <w:t>；</w:t>
      </w:r>
    </w:p>
    <w:p w14:paraId="67BDC671">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8.其他对国有资产出资人权益有重大影响的决策事项或区</w:t>
      </w:r>
      <w:r>
        <w:rPr>
          <w:rFonts w:hint="eastAsia" w:hAnsi="仿宋" w:cs="宋体"/>
          <w:b w:val="0"/>
          <w:bCs w:val="0"/>
          <w:color w:val="auto"/>
          <w:sz w:val="32"/>
          <w:szCs w:val="28"/>
          <w:highlight w:val="none"/>
          <w:u w:val="none"/>
          <w:lang w:val="en-US"/>
        </w:rPr>
        <w:t>国资监管部门</w:t>
      </w:r>
      <w:r>
        <w:rPr>
          <w:rFonts w:hint="eastAsia" w:ascii="仿宋_GB2312" w:hAnsi="仿宋" w:eastAsia="仿宋_GB2312" w:cs="宋体"/>
          <w:b w:val="0"/>
          <w:bCs w:val="0"/>
          <w:color w:val="auto"/>
          <w:sz w:val="32"/>
          <w:szCs w:val="28"/>
          <w:highlight w:val="none"/>
          <w:u w:val="none"/>
        </w:rPr>
        <w:t>或直管企业要求需要报告的其他事项。</w:t>
      </w:r>
    </w:p>
    <w:p w14:paraId="76920F74">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lang w:val="en-US" w:eastAsia="zh-CN"/>
        </w:rPr>
        <w:t>出资人</w:t>
      </w:r>
      <w:r>
        <w:rPr>
          <w:rFonts w:hint="eastAsia" w:ascii="仿宋_GB2312" w:hAnsi="仿宋" w:eastAsia="仿宋_GB2312" w:cs="宋体"/>
          <w:b w:val="0"/>
          <w:bCs w:val="0"/>
          <w:color w:val="auto"/>
          <w:sz w:val="32"/>
          <w:szCs w:val="28"/>
          <w:highlight w:val="none"/>
          <w:u w:val="none"/>
          <w:lang w:eastAsia="zh-CN"/>
        </w:rPr>
        <w:t>收到请示后须在表决前一个工作日给予批复，</w:t>
      </w:r>
      <w:r>
        <w:rPr>
          <w:rFonts w:hint="eastAsia" w:hAnsi="仿宋" w:cs="宋体"/>
          <w:b w:val="0"/>
          <w:bCs w:val="0"/>
          <w:color w:val="auto"/>
          <w:sz w:val="32"/>
          <w:szCs w:val="28"/>
          <w:highlight w:val="none"/>
          <w:u w:val="none"/>
          <w:lang w:eastAsia="zh-CN"/>
        </w:rPr>
        <w:t>首席股权代表</w:t>
      </w:r>
      <w:r>
        <w:rPr>
          <w:rFonts w:hint="eastAsia" w:ascii="仿宋_GB2312" w:hAnsi="仿宋" w:eastAsia="仿宋_GB2312" w:cs="宋体"/>
          <w:b w:val="0"/>
          <w:bCs w:val="0"/>
          <w:color w:val="auto"/>
          <w:sz w:val="32"/>
          <w:szCs w:val="28"/>
          <w:highlight w:val="none"/>
          <w:u w:val="none"/>
        </w:rPr>
        <w:t>必须按批复意见参与表决。</w:t>
      </w:r>
    </w:p>
    <w:p w14:paraId="2E8D3C77">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（二）定期报告</w:t>
      </w:r>
    </w:p>
    <w:p w14:paraId="2179B7E7">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hAnsi="仿宋" w:cs="宋体"/>
          <w:b w:val="0"/>
          <w:bCs w:val="0"/>
          <w:color w:val="auto"/>
          <w:sz w:val="32"/>
          <w:szCs w:val="28"/>
          <w:highlight w:val="none"/>
          <w:u w:val="none"/>
          <w:lang w:val="en-US" w:eastAsia="zh-CN"/>
        </w:rPr>
        <w:t>1.</w:t>
      </w:r>
      <w:r>
        <w:rPr>
          <w:rFonts w:hint="eastAsia" w:ascii="仿宋_GB2312" w:hAnsi="仿宋" w:eastAsia="仿宋_GB2312" w:cs="宋体"/>
          <w:b w:val="0"/>
          <w:bCs w:val="0"/>
          <w:color w:val="auto"/>
          <w:sz w:val="32"/>
          <w:szCs w:val="28"/>
          <w:highlight w:val="none"/>
          <w:u w:val="none"/>
        </w:rPr>
        <w:t>每半年向</w:t>
      </w:r>
      <w:r>
        <w:rPr>
          <w:rFonts w:hint="eastAsia" w:hAnsi="仿宋" w:cs="宋体"/>
          <w:b w:val="0"/>
          <w:bCs w:val="0"/>
          <w:color w:val="auto"/>
          <w:sz w:val="32"/>
          <w:szCs w:val="28"/>
          <w:highlight w:val="none"/>
          <w:u w:val="none"/>
          <w:lang w:eastAsia="zh-CN"/>
        </w:rPr>
        <w:t>出资人</w:t>
      </w:r>
      <w:r>
        <w:rPr>
          <w:rFonts w:hint="eastAsia" w:ascii="仿宋_GB2312" w:hAnsi="仿宋" w:eastAsia="仿宋_GB2312" w:cs="宋体"/>
          <w:b w:val="0"/>
          <w:bCs w:val="0"/>
          <w:color w:val="auto"/>
          <w:sz w:val="32"/>
          <w:szCs w:val="28"/>
          <w:highlight w:val="none"/>
          <w:u w:val="none"/>
        </w:rPr>
        <w:t>书面报告参股公司的经营情况、财务状况和重大事项的实施进展情况。</w:t>
      </w:r>
    </w:p>
    <w:p w14:paraId="06B3E217">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hAnsi="仿宋" w:cs="宋体"/>
          <w:b w:val="0"/>
          <w:bCs w:val="0"/>
          <w:color w:val="auto"/>
          <w:sz w:val="32"/>
          <w:szCs w:val="28"/>
          <w:highlight w:val="none"/>
          <w:u w:val="none"/>
          <w:lang w:val="en-US" w:eastAsia="zh-CN"/>
        </w:rPr>
        <w:t>2.</w:t>
      </w:r>
      <w:r>
        <w:rPr>
          <w:rFonts w:hint="eastAsia" w:ascii="仿宋_GB2312" w:hAnsi="仿宋" w:eastAsia="仿宋_GB2312" w:cs="宋体"/>
          <w:b w:val="0"/>
          <w:bCs w:val="0"/>
          <w:color w:val="auto"/>
          <w:sz w:val="32"/>
          <w:szCs w:val="28"/>
          <w:highlight w:val="none"/>
          <w:u w:val="none"/>
          <w:lang w:eastAsia="zh-CN"/>
        </w:rPr>
        <w:t>每年参股公司审计报告出具后两周内，向</w:t>
      </w:r>
      <w:r>
        <w:rPr>
          <w:rFonts w:hint="eastAsia" w:ascii="仿宋_GB2312" w:hAnsi="仿宋" w:eastAsia="仿宋_GB2312" w:cs="宋体"/>
          <w:b w:val="0"/>
          <w:bCs w:val="0"/>
          <w:color w:val="auto"/>
          <w:sz w:val="32"/>
          <w:szCs w:val="28"/>
          <w:highlight w:val="none"/>
          <w:u w:val="none"/>
          <w:lang w:val="en-US" w:eastAsia="zh-CN"/>
        </w:rPr>
        <w:t>出资人</w:t>
      </w:r>
      <w:r>
        <w:rPr>
          <w:rFonts w:hint="eastAsia" w:ascii="仿宋_GB2312" w:hAnsi="仿宋" w:eastAsia="仿宋_GB2312" w:cs="宋体"/>
          <w:b w:val="0"/>
          <w:bCs w:val="0"/>
          <w:color w:val="auto"/>
          <w:sz w:val="32"/>
          <w:szCs w:val="28"/>
          <w:highlight w:val="none"/>
          <w:u w:val="none"/>
          <w:lang w:eastAsia="zh-CN"/>
        </w:rPr>
        <w:t>报送年度履职报告，内容包括但不限于参股企业全年生产经营及主要财务指标情况、规范董事会运作情况、提升企业竞争力措施、强化内部治理与风险管控情况等。</w:t>
      </w:r>
    </w:p>
    <w:p w14:paraId="73E04543">
      <w:pPr>
        <w:pStyle w:val="2"/>
        <w:spacing w:line="560" w:lineRule="exact"/>
        <w:rPr>
          <w:rFonts w:hint="eastAsia" w:ascii="仿宋_GB2312" w:hAnsi="仿宋" w:eastAsia="仿宋_GB2312"/>
          <w:color w:val="auto"/>
          <w:szCs w:val="28"/>
          <w:highlight w:val="none"/>
          <w:u w:val="none"/>
          <w:lang w:eastAsia="zh-CN"/>
        </w:rPr>
      </w:pPr>
      <w:r>
        <w:rPr>
          <w:rFonts w:hint="eastAsia" w:ascii="仿宋_GB2312" w:hAnsi="仿宋" w:eastAsia="仿宋_GB2312"/>
          <w:color w:val="auto"/>
          <w:szCs w:val="28"/>
          <w:highlight w:val="none"/>
          <w:u w:val="none"/>
        </w:rPr>
        <w:t>区政府或区国资监管部门向参股企业派出的股权代表，应当同步向区国资</w:t>
      </w:r>
      <w:r>
        <w:rPr>
          <w:rFonts w:hint="eastAsia" w:ascii="仿宋_GB2312" w:hAnsi="仿宋" w:eastAsia="仿宋_GB2312"/>
          <w:color w:val="auto"/>
          <w:szCs w:val="28"/>
          <w:highlight w:val="none"/>
          <w:u w:val="none"/>
          <w:lang w:val="en-US" w:eastAsia="zh-CN"/>
        </w:rPr>
        <w:t>监管部门</w:t>
      </w:r>
      <w:r>
        <w:rPr>
          <w:rFonts w:hint="eastAsia" w:ascii="仿宋_GB2312" w:hAnsi="仿宋" w:eastAsia="仿宋_GB2312"/>
          <w:color w:val="auto"/>
          <w:szCs w:val="28"/>
          <w:highlight w:val="none"/>
          <w:u w:val="none"/>
        </w:rPr>
        <w:t>报告相关情况。</w:t>
      </w:r>
    </w:p>
    <w:p w14:paraId="2E58DB65">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val="en-US" w:eastAsia="zh-CN"/>
        </w:rPr>
      </w:pPr>
      <w:r>
        <w:rPr>
          <w:rFonts w:hint="eastAsia" w:ascii="仿宋_GB2312" w:hAnsi="仿宋" w:eastAsia="仿宋_GB2312" w:cs="宋体"/>
          <w:b w:val="0"/>
          <w:bCs w:val="0"/>
          <w:color w:val="auto"/>
          <w:sz w:val="32"/>
          <w:szCs w:val="28"/>
          <w:highlight w:val="none"/>
          <w:u w:val="none"/>
          <w:lang w:val="en-US" w:eastAsia="zh-CN"/>
        </w:rPr>
        <w:t>同一参股公司有2名以上</w:t>
      </w:r>
      <w:r>
        <w:rPr>
          <w:rFonts w:hint="eastAsia" w:hAnsi="仿宋" w:cs="宋体"/>
          <w:b w:val="0"/>
          <w:bCs w:val="0"/>
          <w:color w:val="auto"/>
          <w:sz w:val="32"/>
          <w:szCs w:val="28"/>
          <w:highlight w:val="none"/>
          <w:u w:val="none"/>
          <w:lang w:val="en-US" w:eastAsia="zh-CN"/>
        </w:rPr>
        <w:t>股权代表</w:t>
      </w:r>
      <w:r>
        <w:rPr>
          <w:rFonts w:hint="eastAsia" w:ascii="仿宋_GB2312" w:hAnsi="仿宋" w:eastAsia="仿宋_GB2312" w:cs="宋体"/>
          <w:b w:val="0"/>
          <w:bCs w:val="0"/>
          <w:color w:val="auto"/>
          <w:sz w:val="32"/>
          <w:szCs w:val="28"/>
          <w:highlight w:val="none"/>
          <w:u w:val="none"/>
          <w:lang w:val="en-US" w:eastAsia="zh-CN"/>
        </w:rPr>
        <w:t>的，首席</w:t>
      </w:r>
      <w:r>
        <w:rPr>
          <w:rFonts w:hint="eastAsia" w:hAnsi="仿宋" w:cs="宋体"/>
          <w:b w:val="0"/>
          <w:bCs w:val="0"/>
          <w:color w:val="auto"/>
          <w:sz w:val="32"/>
          <w:szCs w:val="28"/>
          <w:highlight w:val="none"/>
          <w:u w:val="none"/>
          <w:lang w:val="en-US" w:eastAsia="zh-CN"/>
        </w:rPr>
        <w:t>股权代表</w:t>
      </w:r>
      <w:r>
        <w:rPr>
          <w:rFonts w:hint="eastAsia" w:ascii="仿宋_GB2312" w:hAnsi="仿宋" w:eastAsia="仿宋_GB2312" w:cs="宋体"/>
          <w:b w:val="0"/>
          <w:bCs w:val="0"/>
          <w:color w:val="auto"/>
          <w:sz w:val="32"/>
          <w:szCs w:val="28"/>
          <w:highlight w:val="none"/>
          <w:u w:val="none"/>
          <w:lang w:val="en-US" w:eastAsia="zh-CN"/>
        </w:rPr>
        <w:t>的请示报告事项应与其他</w:t>
      </w:r>
      <w:r>
        <w:rPr>
          <w:rFonts w:hint="eastAsia" w:hAnsi="仿宋" w:cs="宋体"/>
          <w:b w:val="0"/>
          <w:bCs w:val="0"/>
          <w:color w:val="auto"/>
          <w:sz w:val="32"/>
          <w:szCs w:val="28"/>
          <w:highlight w:val="none"/>
          <w:u w:val="none"/>
          <w:lang w:val="en-US" w:eastAsia="zh-CN"/>
        </w:rPr>
        <w:t>股权代表</w:t>
      </w:r>
      <w:r>
        <w:rPr>
          <w:rFonts w:hint="eastAsia" w:ascii="仿宋_GB2312" w:hAnsi="仿宋" w:eastAsia="仿宋_GB2312" w:cs="宋体"/>
          <w:b w:val="0"/>
          <w:bCs w:val="0"/>
          <w:color w:val="auto"/>
          <w:sz w:val="32"/>
          <w:szCs w:val="28"/>
          <w:highlight w:val="none"/>
          <w:u w:val="none"/>
          <w:lang w:val="en-US" w:eastAsia="zh-CN"/>
        </w:rPr>
        <w:t>共同讨论，共同签署。其余</w:t>
      </w:r>
      <w:r>
        <w:rPr>
          <w:rFonts w:hint="eastAsia" w:hAnsi="仿宋" w:cs="宋体"/>
          <w:b w:val="0"/>
          <w:bCs w:val="0"/>
          <w:color w:val="auto"/>
          <w:sz w:val="32"/>
          <w:szCs w:val="28"/>
          <w:highlight w:val="none"/>
          <w:u w:val="none"/>
          <w:lang w:val="en-US" w:eastAsia="zh-CN"/>
        </w:rPr>
        <w:t>股权代表</w:t>
      </w:r>
      <w:r>
        <w:rPr>
          <w:rFonts w:hint="eastAsia" w:ascii="仿宋_GB2312" w:hAnsi="仿宋" w:eastAsia="仿宋_GB2312" w:cs="宋体"/>
          <w:b w:val="0"/>
          <w:bCs w:val="0"/>
          <w:color w:val="auto"/>
          <w:sz w:val="32"/>
          <w:szCs w:val="28"/>
          <w:highlight w:val="none"/>
          <w:u w:val="none"/>
          <w:lang w:val="en-US" w:eastAsia="zh-CN"/>
        </w:rPr>
        <w:t>对首席</w:t>
      </w:r>
      <w:r>
        <w:rPr>
          <w:rFonts w:hint="eastAsia" w:hAnsi="仿宋" w:cs="宋体"/>
          <w:b w:val="0"/>
          <w:bCs w:val="0"/>
          <w:color w:val="auto"/>
          <w:sz w:val="32"/>
          <w:szCs w:val="28"/>
          <w:highlight w:val="none"/>
          <w:u w:val="none"/>
          <w:lang w:val="en-US" w:eastAsia="zh-CN"/>
        </w:rPr>
        <w:t>股权代表</w:t>
      </w:r>
      <w:r>
        <w:rPr>
          <w:rFonts w:hint="eastAsia" w:ascii="仿宋_GB2312" w:hAnsi="仿宋" w:eastAsia="仿宋_GB2312" w:cs="宋体"/>
          <w:b w:val="0"/>
          <w:bCs w:val="0"/>
          <w:color w:val="auto"/>
          <w:sz w:val="32"/>
          <w:szCs w:val="28"/>
          <w:highlight w:val="none"/>
          <w:u w:val="none"/>
          <w:lang w:val="en-US" w:eastAsia="zh-CN"/>
        </w:rPr>
        <w:t>拟定的请示报告内容存有异议的可以拒签或直接向出资人反映。</w:t>
      </w:r>
    </w:p>
    <w:p w14:paraId="2D5AC82A">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hAnsi="仿宋" w:cs="宋体"/>
          <w:b w:val="0"/>
          <w:bCs w:val="0"/>
          <w:color w:val="auto"/>
          <w:sz w:val="32"/>
          <w:szCs w:val="28"/>
          <w:highlight w:val="none"/>
          <w:u w:val="none"/>
          <w:lang w:eastAsia="zh-CN"/>
        </w:rPr>
        <w:t>首席股权代表</w:t>
      </w:r>
      <w:r>
        <w:rPr>
          <w:rFonts w:hint="eastAsia" w:ascii="仿宋_GB2312" w:hAnsi="仿宋" w:eastAsia="仿宋_GB2312" w:cs="宋体"/>
          <w:b w:val="0"/>
          <w:bCs w:val="0"/>
          <w:color w:val="auto"/>
          <w:sz w:val="32"/>
          <w:szCs w:val="28"/>
          <w:highlight w:val="none"/>
          <w:u w:val="none"/>
        </w:rPr>
        <w:t>不按规定请示报告的，由</w:t>
      </w:r>
      <w:r>
        <w:rPr>
          <w:rFonts w:hint="eastAsia" w:hAnsi="仿宋" w:cs="宋体"/>
          <w:b w:val="0"/>
          <w:bCs w:val="0"/>
          <w:color w:val="auto"/>
          <w:sz w:val="32"/>
          <w:szCs w:val="28"/>
          <w:highlight w:val="none"/>
          <w:u w:val="none"/>
          <w:lang w:val="en-US"/>
        </w:rPr>
        <w:t>出资人</w:t>
      </w:r>
      <w:r>
        <w:rPr>
          <w:rFonts w:hint="eastAsia" w:ascii="仿宋_GB2312" w:hAnsi="仿宋" w:eastAsia="仿宋_GB2312" w:cs="宋体"/>
          <w:b w:val="0"/>
          <w:bCs w:val="0"/>
          <w:color w:val="auto"/>
          <w:sz w:val="32"/>
          <w:szCs w:val="28"/>
          <w:highlight w:val="none"/>
          <w:u w:val="none"/>
        </w:rPr>
        <w:t>对其进行谈话提醒、批评教育、责令检查，或者予以诫勉，仍不能胜任的，按照管理权限作出免职、交流的决定或建议</w:t>
      </w:r>
      <w:r>
        <w:rPr>
          <w:rFonts w:hint="eastAsia" w:ascii="仿宋_GB2312" w:hAnsi="仿宋" w:eastAsia="仿宋_GB2312" w:cs="宋体"/>
          <w:b w:val="0"/>
          <w:bCs w:val="0"/>
          <w:color w:val="auto"/>
          <w:sz w:val="32"/>
          <w:szCs w:val="28"/>
          <w:highlight w:val="none"/>
          <w:u w:val="none"/>
          <w:lang w:eastAsia="zh-CN"/>
        </w:rPr>
        <w:t>。</w:t>
      </w:r>
    </w:p>
    <w:p w14:paraId="40595459">
      <w:pPr>
        <w:numPr>
          <w:ilvl w:val="0"/>
          <w:numId w:val="1"/>
        </w:numPr>
        <w:shd w:val="clear" w:color="auto" w:fill="auto"/>
        <w:spacing w:line="560" w:lineRule="exact"/>
        <w:ind w:left="0" w:firstLine="640" w:firstLineChars="200"/>
        <w:jc w:val="left"/>
        <w:rPr>
          <w:rFonts w:hint="eastAsia" w:hAnsi="仿宋"/>
          <w:color w:val="auto"/>
          <w:sz w:val="32"/>
          <w:szCs w:val="28"/>
          <w:highlight w:val="none"/>
          <w:u w:val="none"/>
          <w:lang w:val="en-US" w:eastAsia="zh-CN"/>
        </w:rPr>
      </w:pPr>
      <w:r>
        <w:rPr>
          <w:rFonts w:hint="eastAsia" w:ascii="仿宋_GB2312" w:hAnsi="仿宋" w:eastAsia="仿宋_GB2312" w:cs="宋体"/>
          <w:b w:val="0"/>
          <w:bCs w:val="0"/>
          <w:color w:val="auto"/>
          <w:sz w:val="32"/>
          <w:szCs w:val="28"/>
          <w:highlight w:val="none"/>
          <w:u w:val="none"/>
        </w:rPr>
        <w:t>区政府或区</w:t>
      </w:r>
      <w:r>
        <w:rPr>
          <w:rFonts w:hint="eastAsia" w:hAnsi="仿宋" w:cs="宋体"/>
          <w:b w:val="0"/>
          <w:bCs w:val="0"/>
          <w:color w:val="auto"/>
          <w:sz w:val="32"/>
          <w:szCs w:val="28"/>
          <w:highlight w:val="none"/>
          <w:u w:val="none"/>
          <w:lang w:val="en-US"/>
        </w:rPr>
        <w:t>国资监管部门</w:t>
      </w:r>
      <w:r>
        <w:rPr>
          <w:rFonts w:hint="eastAsia" w:ascii="仿宋_GB2312" w:hAnsi="仿宋" w:eastAsia="仿宋_GB2312" w:cs="宋体"/>
          <w:b w:val="0"/>
          <w:bCs w:val="0"/>
          <w:color w:val="auto"/>
          <w:sz w:val="32"/>
          <w:szCs w:val="28"/>
          <w:highlight w:val="none"/>
          <w:u w:val="none"/>
        </w:rPr>
        <w:t>推荐或委派到国有参股公司</w:t>
      </w:r>
      <w:r>
        <w:rPr>
          <w:rFonts w:hint="eastAsia" w:hAnsi="仿宋" w:cs="宋体"/>
          <w:b w:val="0"/>
          <w:bCs w:val="0"/>
          <w:color w:val="auto"/>
          <w:sz w:val="32"/>
          <w:szCs w:val="28"/>
          <w:highlight w:val="none"/>
          <w:u w:val="none"/>
          <w:lang w:eastAsia="zh-CN"/>
        </w:rPr>
        <w:t>股权代表</w:t>
      </w:r>
      <w:r>
        <w:rPr>
          <w:rFonts w:hint="eastAsia" w:ascii="仿宋_GB2312" w:hAnsi="仿宋" w:eastAsia="仿宋_GB2312" w:cs="宋体"/>
          <w:b w:val="0"/>
          <w:bCs w:val="0"/>
          <w:color w:val="auto"/>
          <w:sz w:val="32"/>
          <w:szCs w:val="28"/>
          <w:highlight w:val="none"/>
          <w:u w:val="none"/>
        </w:rPr>
        <w:t>的薪酬待遇，一般由所任职参股公司按同类职位标准发放并承担费用。如区政府、区</w:t>
      </w:r>
      <w:r>
        <w:rPr>
          <w:rFonts w:hint="eastAsia" w:hAnsi="仿宋" w:cs="宋体"/>
          <w:b w:val="0"/>
          <w:bCs w:val="0"/>
          <w:color w:val="auto"/>
          <w:sz w:val="32"/>
          <w:szCs w:val="28"/>
          <w:highlight w:val="none"/>
          <w:u w:val="none"/>
          <w:lang w:val="en-US"/>
        </w:rPr>
        <w:t>国资监管部门</w:t>
      </w:r>
      <w:r>
        <w:rPr>
          <w:rFonts w:hint="eastAsia" w:ascii="仿宋_GB2312" w:hAnsi="仿宋" w:eastAsia="仿宋_GB2312" w:cs="宋体"/>
          <w:b w:val="0"/>
          <w:bCs w:val="0"/>
          <w:color w:val="auto"/>
          <w:sz w:val="32"/>
          <w:szCs w:val="28"/>
          <w:highlight w:val="none"/>
          <w:u w:val="none"/>
        </w:rPr>
        <w:t>或公司章程另有规定的，从其规定。</w:t>
      </w:r>
    </w:p>
    <w:p w14:paraId="018748E9">
      <w:pPr>
        <w:numPr>
          <w:ilvl w:val="0"/>
          <w:numId w:val="1"/>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区政府或区</w:t>
      </w:r>
      <w:r>
        <w:rPr>
          <w:rFonts w:hint="eastAsia" w:hAnsi="仿宋" w:cs="宋体"/>
          <w:b w:val="0"/>
          <w:bCs w:val="0"/>
          <w:color w:val="auto"/>
          <w:sz w:val="32"/>
          <w:szCs w:val="28"/>
          <w:highlight w:val="none"/>
          <w:u w:val="none"/>
          <w:lang w:val="en-US"/>
        </w:rPr>
        <w:t>国资监管部门</w:t>
      </w:r>
      <w:r>
        <w:rPr>
          <w:rFonts w:hint="eastAsia" w:ascii="仿宋_GB2312" w:hAnsi="仿宋" w:eastAsia="仿宋_GB2312" w:cs="宋体"/>
          <w:b w:val="0"/>
          <w:bCs w:val="0"/>
          <w:color w:val="auto"/>
          <w:sz w:val="32"/>
          <w:szCs w:val="28"/>
          <w:highlight w:val="none"/>
          <w:u w:val="none"/>
        </w:rPr>
        <w:t>推荐或委派到国有参股公司</w:t>
      </w:r>
      <w:r>
        <w:rPr>
          <w:rFonts w:hint="eastAsia" w:hAnsi="仿宋" w:cs="宋体"/>
          <w:b w:val="0"/>
          <w:bCs w:val="0"/>
          <w:color w:val="auto"/>
          <w:sz w:val="32"/>
          <w:szCs w:val="28"/>
          <w:highlight w:val="none"/>
          <w:u w:val="none"/>
          <w:lang w:eastAsia="zh-CN"/>
        </w:rPr>
        <w:t>股权代表</w:t>
      </w:r>
      <w:r>
        <w:rPr>
          <w:rFonts w:hint="eastAsia" w:ascii="仿宋_GB2312" w:hAnsi="仿宋" w:eastAsia="仿宋_GB2312" w:cs="宋体"/>
          <w:b w:val="0"/>
          <w:bCs w:val="0"/>
          <w:color w:val="auto"/>
          <w:sz w:val="32"/>
          <w:szCs w:val="28"/>
          <w:highlight w:val="none"/>
          <w:u w:val="none"/>
        </w:rPr>
        <w:t>的年度履职评价考核和任期履职评价考核，由区</w:t>
      </w:r>
      <w:r>
        <w:rPr>
          <w:rFonts w:hint="eastAsia" w:hAnsi="仿宋" w:cs="宋体"/>
          <w:b w:val="0"/>
          <w:bCs w:val="0"/>
          <w:color w:val="auto"/>
          <w:sz w:val="32"/>
          <w:szCs w:val="28"/>
          <w:highlight w:val="none"/>
          <w:u w:val="none"/>
          <w:lang w:val="en-US"/>
        </w:rPr>
        <w:t>国资监管部门</w:t>
      </w:r>
      <w:r>
        <w:rPr>
          <w:rFonts w:hint="eastAsia" w:ascii="仿宋_GB2312" w:hAnsi="仿宋" w:eastAsia="仿宋_GB2312" w:cs="宋体"/>
          <w:b w:val="0"/>
          <w:bCs w:val="0"/>
          <w:color w:val="auto"/>
          <w:sz w:val="32"/>
          <w:szCs w:val="28"/>
          <w:highlight w:val="none"/>
          <w:u w:val="none"/>
        </w:rPr>
        <w:t>负责，并根据其考核结果提出任职交流意见。</w:t>
      </w:r>
    </w:p>
    <w:p w14:paraId="445FD9DF">
      <w:pPr>
        <w:numPr>
          <w:ilvl w:val="0"/>
          <w:numId w:val="1"/>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直管企业</w:t>
      </w:r>
      <w:r>
        <w:rPr>
          <w:rFonts w:hint="eastAsia" w:hAnsi="仿宋" w:cs="宋体"/>
          <w:b w:val="0"/>
          <w:bCs w:val="0"/>
          <w:color w:val="auto"/>
          <w:sz w:val="32"/>
          <w:szCs w:val="28"/>
          <w:highlight w:val="none"/>
          <w:u w:val="none"/>
          <w:lang w:val="en-US"/>
        </w:rPr>
        <w:t>和</w:t>
      </w:r>
      <w:r>
        <w:rPr>
          <w:rFonts w:hint="eastAsia" w:hAnsi="仿宋" w:cs="宋体"/>
          <w:b w:val="0"/>
          <w:bCs w:val="0"/>
          <w:color w:val="auto"/>
          <w:sz w:val="32"/>
          <w:szCs w:val="28"/>
          <w:highlight w:val="none"/>
          <w:u w:val="none"/>
          <w:lang w:eastAsia="zh-CN"/>
        </w:rPr>
        <w:t>所属企业</w:t>
      </w:r>
      <w:r>
        <w:rPr>
          <w:rFonts w:hint="eastAsia" w:ascii="仿宋_GB2312" w:hAnsi="仿宋" w:eastAsia="仿宋_GB2312" w:cs="宋体"/>
          <w:b w:val="0"/>
          <w:bCs w:val="0"/>
          <w:color w:val="auto"/>
          <w:sz w:val="32"/>
          <w:szCs w:val="28"/>
          <w:highlight w:val="none"/>
          <w:u w:val="none"/>
        </w:rPr>
        <w:t>推荐或委派到国有参股公司</w:t>
      </w:r>
      <w:r>
        <w:rPr>
          <w:rFonts w:hint="eastAsia" w:hAnsi="仿宋" w:cs="宋体"/>
          <w:b w:val="0"/>
          <w:bCs w:val="0"/>
          <w:color w:val="auto"/>
          <w:sz w:val="32"/>
          <w:szCs w:val="28"/>
          <w:highlight w:val="none"/>
          <w:u w:val="none"/>
          <w:lang w:eastAsia="zh-CN"/>
        </w:rPr>
        <w:t>股权代表</w:t>
      </w:r>
      <w:r>
        <w:rPr>
          <w:rFonts w:hint="eastAsia" w:ascii="仿宋_GB2312" w:hAnsi="仿宋" w:eastAsia="仿宋_GB2312" w:cs="宋体"/>
          <w:b w:val="0"/>
          <w:bCs w:val="0"/>
          <w:color w:val="auto"/>
          <w:sz w:val="32"/>
          <w:szCs w:val="28"/>
          <w:highlight w:val="none"/>
          <w:u w:val="none"/>
        </w:rPr>
        <w:t>的管理</w:t>
      </w:r>
      <w:r>
        <w:rPr>
          <w:rFonts w:hint="eastAsia" w:hAnsi="仿宋" w:cs="宋体"/>
          <w:b w:val="0"/>
          <w:bCs w:val="0"/>
          <w:color w:val="auto"/>
          <w:sz w:val="32"/>
          <w:szCs w:val="28"/>
          <w:highlight w:val="none"/>
          <w:u w:val="none"/>
          <w:lang w:eastAsia="zh-CN"/>
        </w:rPr>
        <w:t>和考核</w:t>
      </w:r>
      <w:r>
        <w:rPr>
          <w:rFonts w:hint="eastAsia" w:ascii="仿宋_GB2312" w:hAnsi="仿宋" w:eastAsia="仿宋_GB2312" w:cs="宋体"/>
          <w:b w:val="0"/>
          <w:bCs w:val="0"/>
          <w:color w:val="auto"/>
          <w:sz w:val="32"/>
          <w:szCs w:val="28"/>
          <w:highlight w:val="none"/>
          <w:u w:val="none"/>
        </w:rPr>
        <w:t>，由直管企业参照本规定另行制定</w:t>
      </w:r>
      <w:r>
        <w:rPr>
          <w:rFonts w:hint="eastAsia" w:hAnsi="仿宋" w:cs="宋体"/>
          <w:b w:val="0"/>
          <w:bCs w:val="0"/>
          <w:color w:val="auto"/>
          <w:sz w:val="32"/>
          <w:szCs w:val="28"/>
          <w:highlight w:val="none"/>
          <w:u w:val="none"/>
          <w:lang w:eastAsia="zh-CN"/>
        </w:rPr>
        <w:t>。</w:t>
      </w:r>
    </w:p>
    <w:p w14:paraId="65B97C7D">
      <w:pPr>
        <w:keepNext w:val="0"/>
        <w:keepLines w:val="0"/>
        <w:pageBreakBefore w:val="0"/>
        <w:numPr>
          <w:ilvl w:val="-1"/>
          <w:numId w:val="0"/>
        </w:numPr>
        <w:shd w:val="clear" w:color="auto" w:fill="auto"/>
        <w:kinsoku/>
        <w:wordWrap/>
        <w:overflowPunct/>
        <w:topLinePunct w:val="0"/>
        <w:bidi w:val="0"/>
        <w:spacing w:line="560" w:lineRule="exact"/>
        <w:ind w:left="0" w:leftChars="0" w:firstLine="640" w:firstLineChars="200"/>
        <w:jc w:val="center"/>
        <w:textAlignment w:val="auto"/>
        <w:rPr>
          <w:rFonts w:hint="eastAsia" w:ascii="黑体" w:hAnsi="黑体" w:eastAsia="黑体" w:cs="黑体"/>
          <w:b w:val="0"/>
          <w:bCs/>
          <w:color w:val="auto"/>
          <w:sz w:val="32"/>
          <w:szCs w:val="32"/>
          <w:highlight w:val="none"/>
          <w:u w:val="none"/>
        </w:rPr>
      </w:pPr>
    </w:p>
    <w:p w14:paraId="11B55BA9">
      <w:pPr>
        <w:numPr>
          <w:ilvl w:val="0"/>
          <w:numId w:val="0"/>
        </w:numPr>
        <w:shd w:val="clear" w:color="auto" w:fill="auto"/>
        <w:spacing w:line="560" w:lineRule="exact"/>
        <w:ind w:leftChars="0" w:firstLine="640" w:firstLineChars="200"/>
        <w:jc w:val="center"/>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lang w:eastAsia="zh-CN"/>
        </w:rPr>
        <w:t>第</w:t>
      </w:r>
      <w:r>
        <w:rPr>
          <w:rFonts w:hint="eastAsia" w:ascii="黑体" w:hAnsi="黑体" w:eastAsia="黑体" w:cs="仿宋"/>
          <w:b w:val="0"/>
          <w:bCs/>
          <w:color w:val="auto"/>
          <w:sz w:val="32"/>
          <w:szCs w:val="32"/>
          <w:highlight w:val="none"/>
          <w:u w:val="none"/>
          <w:lang w:val="en-US" w:eastAsia="zh-CN"/>
        </w:rPr>
        <w:t>六</w:t>
      </w:r>
      <w:r>
        <w:rPr>
          <w:rFonts w:hint="eastAsia" w:ascii="黑体" w:hAnsi="黑体" w:eastAsia="黑体" w:cs="仿宋"/>
          <w:b w:val="0"/>
          <w:bCs/>
          <w:color w:val="auto"/>
          <w:sz w:val="32"/>
          <w:szCs w:val="32"/>
          <w:highlight w:val="none"/>
          <w:u w:val="none"/>
          <w:lang w:eastAsia="zh-CN"/>
        </w:rPr>
        <w:t>章</w:t>
      </w:r>
      <w:r>
        <w:rPr>
          <w:rFonts w:hint="eastAsia" w:ascii="黑体" w:hAnsi="黑体" w:eastAsia="黑体" w:cs="仿宋"/>
          <w:b w:val="0"/>
          <w:bCs/>
          <w:color w:val="auto"/>
          <w:sz w:val="32"/>
          <w:szCs w:val="32"/>
          <w:highlight w:val="none"/>
          <w:u w:val="none"/>
          <w:lang w:val="en-US" w:eastAsia="zh-CN"/>
        </w:rPr>
        <w:t xml:space="preserve"> </w:t>
      </w:r>
      <w:r>
        <w:rPr>
          <w:rFonts w:hint="eastAsia" w:ascii="黑体" w:hAnsi="黑体" w:eastAsia="黑体" w:cs="仿宋"/>
          <w:b w:val="0"/>
          <w:bCs/>
          <w:color w:val="auto"/>
          <w:sz w:val="32"/>
          <w:szCs w:val="32"/>
          <w:highlight w:val="none"/>
          <w:u w:val="none"/>
          <w:lang w:eastAsia="zh-CN"/>
        </w:rPr>
        <w:t>退出管理</w:t>
      </w:r>
    </w:p>
    <w:p w14:paraId="4E7838C4">
      <w:pPr>
        <w:numPr>
          <w:ilvl w:val="0"/>
          <w:numId w:val="1"/>
        </w:numPr>
        <w:shd w:val="clear" w:color="auto" w:fill="auto"/>
        <w:spacing w:line="560" w:lineRule="exact"/>
        <w:ind w:left="0" w:firstLine="640" w:firstLineChars="200"/>
        <w:jc w:val="left"/>
        <w:rPr>
          <w:rFonts w:hint="eastAsia" w:ascii="仿宋_GB2312" w:hAnsi="仿宋" w:eastAsia="仿宋_GB2312" w:cs="宋体"/>
          <w:b w:val="0"/>
          <w:color w:val="auto"/>
          <w:sz w:val="32"/>
          <w:szCs w:val="28"/>
          <w:highlight w:val="none"/>
          <w:u w:val="none"/>
        </w:rPr>
      </w:pPr>
      <w:r>
        <w:rPr>
          <w:rFonts w:hint="eastAsia" w:hAnsi="仿宋" w:cs="宋体"/>
          <w:color w:val="auto"/>
          <w:szCs w:val="28"/>
          <w:highlight w:val="none"/>
          <w:u w:val="none"/>
        </w:rPr>
        <w:t>除战略性持有或培育期的参股股权外</w:t>
      </w:r>
      <w:r>
        <w:rPr>
          <w:rFonts w:hint="eastAsia" w:hAnsi="仿宋" w:cs="宋体"/>
          <w:color w:val="auto"/>
          <w:szCs w:val="28"/>
          <w:highlight w:val="none"/>
          <w:u w:val="none"/>
          <w:lang w:eastAsia="zh-CN"/>
        </w:rPr>
        <w:t>，</w:t>
      </w:r>
      <w:r>
        <w:rPr>
          <w:rFonts w:hint="eastAsia" w:ascii="仿宋_GB2312" w:hAnsi="仿宋" w:eastAsia="仿宋_GB2312" w:cs="宋体"/>
          <w:color w:val="auto"/>
          <w:sz w:val="32"/>
          <w:szCs w:val="28"/>
          <w:highlight w:val="none"/>
          <w:u w:val="none"/>
        </w:rPr>
        <w:t>出现以下情形之一的，</w:t>
      </w:r>
      <w:r>
        <w:rPr>
          <w:rFonts w:hint="eastAsia" w:hAnsi="仿宋" w:cs="宋体"/>
          <w:color w:val="auto"/>
          <w:sz w:val="32"/>
          <w:szCs w:val="28"/>
          <w:highlight w:val="none"/>
          <w:u w:val="none"/>
          <w:lang w:eastAsia="zh-CN"/>
        </w:rPr>
        <w:t>出资人</w:t>
      </w:r>
      <w:r>
        <w:rPr>
          <w:rFonts w:hint="eastAsia" w:ascii="仿宋_GB2312" w:hAnsi="仿宋" w:eastAsia="仿宋_GB2312" w:cs="宋体"/>
          <w:color w:val="auto"/>
          <w:sz w:val="32"/>
          <w:szCs w:val="28"/>
          <w:highlight w:val="none"/>
          <w:u w:val="none"/>
        </w:rPr>
        <w:t>应及时退出：</w:t>
      </w:r>
    </w:p>
    <w:p w14:paraId="01209E46">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eastAsia="zh-CN"/>
        </w:rPr>
        <w:t>（一）</w:t>
      </w:r>
      <w:r>
        <w:rPr>
          <w:rFonts w:hint="eastAsia" w:ascii="仿宋_GB2312" w:hAnsi="仿宋" w:eastAsia="仿宋_GB2312" w:cs="宋体"/>
          <w:color w:val="auto"/>
          <w:sz w:val="32"/>
          <w:szCs w:val="28"/>
          <w:highlight w:val="none"/>
          <w:u w:val="none"/>
        </w:rPr>
        <w:t>僵尸企业、吊销营业执照或非持续经营；</w:t>
      </w:r>
    </w:p>
    <w:p w14:paraId="251185B1">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eastAsia="zh-CN"/>
        </w:rPr>
        <w:t>（二）五年以上未分红、</w:t>
      </w:r>
      <w:r>
        <w:rPr>
          <w:rFonts w:hint="eastAsia" w:ascii="仿宋_GB2312" w:hAnsi="仿宋" w:eastAsia="仿宋_GB2312" w:cs="宋体"/>
          <w:color w:val="auto"/>
          <w:sz w:val="32"/>
          <w:szCs w:val="28"/>
          <w:highlight w:val="none"/>
          <w:u w:val="none"/>
        </w:rPr>
        <w:t>长期亏损、</w:t>
      </w:r>
      <w:r>
        <w:rPr>
          <w:rFonts w:hint="eastAsia" w:hAnsi="仿宋" w:cs="宋体"/>
          <w:color w:val="auto"/>
          <w:sz w:val="32"/>
          <w:szCs w:val="28"/>
          <w:highlight w:val="none"/>
          <w:u w:val="none"/>
          <w:lang w:eastAsia="zh-CN"/>
        </w:rPr>
        <w:t>资不抵债</w:t>
      </w:r>
      <w:r>
        <w:rPr>
          <w:rFonts w:hint="eastAsia" w:ascii="仿宋_GB2312" w:hAnsi="仿宋" w:eastAsia="仿宋_GB2312" w:cs="宋体"/>
          <w:color w:val="auto"/>
          <w:sz w:val="32"/>
          <w:szCs w:val="28"/>
          <w:highlight w:val="none"/>
          <w:u w:val="none"/>
        </w:rPr>
        <w:t>；</w:t>
      </w:r>
    </w:p>
    <w:p w14:paraId="7A4EC8EA">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eastAsia="zh-CN"/>
        </w:rPr>
        <w:t>（三）与国有企业职责定位严重不符且不具备竞争优势、风险较大、经营情况难以掌握；</w:t>
      </w:r>
    </w:p>
    <w:p w14:paraId="645730C2">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eastAsia="zh-CN"/>
        </w:rPr>
        <w:t>（四）</w:t>
      </w:r>
      <w:r>
        <w:rPr>
          <w:rFonts w:hint="eastAsia" w:ascii="仿宋_GB2312" w:hAnsi="仿宋" w:eastAsia="仿宋_GB2312" w:cs="宋体"/>
          <w:color w:val="auto"/>
          <w:sz w:val="32"/>
          <w:szCs w:val="28"/>
          <w:highlight w:val="none"/>
          <w:u w:val="none"/>
        </w:rPr>
        <w:t>及时退出的其他情形。</w:t>
      </w:r>
    </w:p>
    <w:p w14:paraId="6AB72DD4">
      <w:pPr>
        <w:numPr>
          <w:ilvl w:val="0"/>
          <w:numId w:val="1"/>
        </w:numPr>
        <w:shd w:val="clear" w:color="auto" w:fill="auto"/>
        <w:spacing w:line="560" w:lineRule="exact"/>
        <w:ind w:left="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val="en" w:eastAsia="zh-CN"/>
        </w:rPr>
        <w:t>除战略性持有或培育期的参股股权外，</w:t>
      </w:r>
      <w:r>
        <w:rPr>
          <w:rFonts w:hint="eastAsia" w:ascii="仿宋_GB2312" w:hAnsi="仿宋" w:eastAsia="仿宋_GB2312" w:cs="宋体"/>
          <w:color w:val="auto"/>
          <w:sz w:val="32"/>
          <w:szCs w:val="28"/>
          <w:highlight w:val="none"/>
          <w:u w:val="none"/>
        </w:rPr>
        <w:t>出现以下情形之一的，</w:t>
      </w:r>
      <w:r>
        <w:rPr>
          <w:rFonts w:hint="eastAsia" w:hAnsi="仿宋" w:cs="宋体"/>
          <w:color w:val="auto"/>
          <w:sz w:val="32"/>
          <w:szCs w:val="28"/>
          <w:highlight w:val="none"/>
          <w:u w:val="none"/>
          <w:lang w:eastAsia="zh-CN"/>
        </w:rPr>
        <w:t>出资人</w:t>
      </w:r>
      <w:r>
        <w:rPr>
          <w:rFonts w:hint="eastAsia" w:ascii="仿宋_GB2312" w:hAnsi="仿宋" w:eastAsia="仿宋_GB2312" w:cs="宋体"/>
          <w:color w:val="auto"/>
          <w:sz w:val="32"/>
          <w:szCs w:val="28"/>
          <w:highlight w:val="none"/>
          <w:u w:val="none"/>
        </w:rPr>
        <w:t xml:space="preserve">应适时退出： </w:t>
      </w:r>
    </w:p>
    <w:p w14:paraId="12978B11">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eastAsia="zh-CN"/>
        </w:rPr>
        <w:t>（一）</w:t>
      </w:r>
      <w:r>
        <w:rPr>
          <w:rFonts w:hint="eastAsia" w:ascii="仿宋_GB2312" w:hAnsi="仿宋" w:eastAsia="仿宋_GB2312" w:cs="宋体"/>
          <w:color w:val="auto"/>
          <w:sz w:val="32"/>
          <w:szCs w:val="28"/>
          <w:highlight w:val="none"/>
          <w:u w:val="none"/>
        </w:rPr>
        <w:t>发生重大法律纠纷或诉讼，影响持续经营；</w:t>
      </w:r>
    </w:p>
    <w:p w14:paraId="528AB1CF">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val="en-US" w:eastAsia="zh-CN"/>
        </w:rPr>
        <w:t>（二）</w:t>
      </w:r>
      <w:r>
        <w:rPr>
          <w:rFonts w:hint="eastAsia" w:ascii="仿宋_GB2312" w:hAnsi="仿宋" w:eastAsia="仿宋_GB2312" w:cs="宋体"/>
          <w:color w:val="auto"/>
          <w:sz w:val="32"/>
          <w:szCs w:val="28"/>
          <w:highlight w:val="none"/>
          <w:u w:val="none"/>
        </w:rPr>
        <w:t>符合合资合作协议、公司章程等约定的退出情形出现；</w:t>
      </w:r>
    </w:p>
    <w:p w14:paraId="4C91DAED">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val="en-US" w:eastAsia="zh-CN"/>
        </w:rPr>
        <w:t>（三）</w:t>
      </w:r>
      <w:r>
        <w:rPr>
          <w:rFonts w:hint="eastAsia" w:ascii="仿宋_GB2312" w:hAnsi="仿宋" w:eastAsia="仿宋_GB2312" w:cs="宋体"/>
          <w:color w:val="auto"/>
          <w:sz w:val="32"/>
          <w:szCs w:val="28"/>
          <w:highlight w:val="none"/>
          <w:u w:val="none"/>
        </w:rPr>
        <w:t>合作条件发生重大变化且退出有利于维护</w:t>
      </w:r>
      <w:r>
        <w:rPr>
          <w:rFonts w:hint="eastAsia" w:hAnsi="仿宋" w:cs="宋体"/>
          <w:color w:val="auto"/>
          <w:sz w:val="32"/>
          <w:szCs w:val="28"/>
          <w:highlight w:val="none"/>
          <w:u w:val="none"/>
          <w:lang w:eastAsia="zh-CN"/>
        </w:rPr>
        <w:t>国有资本</w:t>
      </w:r>
      <w:r>
        <w:rPr>
          <w:rFonts w:hint="eastAsia" w:ascii="仿宋_GB2312" w:hAnsi="仿宋" w:eastAsia="仿宋_GB2312" w:cs="宋体"/>
          <w:color w:val="auto"/>
          <w:sz w:val="32"/>
          <w:szCs w:val="28"/>
          <w:highlight w:val="none"/>
          <w:u w:val="none"/>
        </w:rPr>
        <w:t>权益；</w:t>
      </w:r>
    </w:p>
    <w:p w14:paraId="5D8A004E">
      <w:pPr>
        <w:numPr>
          <w:ilvl w:val="-1"/>
          <w:numId w:val="0"/>
        </w:numPr>
        <w:shd w:val="clear" w:color="auto" w:fill="auto"/>
        <w:spacing w:line="560" w:lineRule="exact"/>
        <w:ind w:left="0" w:leftChars="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val="en-US" w:eastAsia="zh-CN"/>
        </w:rPr>
        <w:t>（四）</w:t>
      </w:r>
      <w:r>
        <w:rPr>
          <w:rFonts w:hint="eastAsia" w:ascii="仿宋_GB2312" w:hAnsi="仿宋" w:eastAsia="仿宋_GB2312" w:cs="宋体"/>
          <w:color w:val="auto"/>
          <w:sz w:val="32"/>
          <w:szCs w:val="28"/>
          <w:highlight w:val="none"/>
          <w:u w:val="none"/>
        </w:rPr>
        <w:t>适时退出的其他情形。</w:t>
      </w:r>
    </w:p>
    <w:p w14:paraId="0FEBF0B5">
      <w:pPr>
        <w:numPr>
          <w:ilvl w:val="0"/>
          <w:numId w:val="1"/>
        </w:numPr>
        <w:shd w:val="clear" w:color="auto" w:fill="auto"/>
        <w:spacing w:line="560" w:lineRule="exact"/>
        <w:ind w:left="0" w:firstLine="640" w:firstLineChars="200"/>
        <w:jc w:val="left"/>
        <w:rPr>
          <w:rFonts w:hint="eastAsia" w:ascii="仿宋_GB2312" w:hAnsi="仿宋" w:eastAsia="仿宋_GB2312" w:cs="宋体"/>
          <w:b w:val="0"/>
          <w:color w:val="auto"/>
          <w:sz w:val="32"/>
          <w:szCs w:val="28"/>
          <w:highlight w:val="none"/>
          <w:u w:val="none"/>
        </w:rPr>
      </w:pPr>
      <w:r>
        <w:rPr>
          <w:rFonts w:hint="eastAsia" w:hAnsi="仿宋" w:cs="宋体"/>
          <w:color w:val="auto"/>
          <w:sz w:val="32"/>
          <w:szCs w:val="28"/>
          <w:highlight w:val="none"/>
          <w:u w:val="none"/>
          <w:lang w:eastAsia="zh-CN"/>
        </w:rPr>
        <w:t>出资人</w:t>
      </w:r>
      <w:r>
        <w:rPr>
          <w:rFonts w:hint="eastAsia" w:ascii="仿宋_GB2312" w:hAnsi="仿宋" w:eastAsia="仿宋_GB2312" w:cs="宋体"/>
          <w:color w:val="auto"/>
          <w:sz w:val="32"/>
          <w:szCs w:val="28"/>
          <w:highlight w:val="none"/>
          <w:u w:val="none"/>
        </w:rPr>
        <w:t>应充分论证、合理选择退出方式，确保顺利退出，包括股东回购、股权转让、股权置换、注销清算等，符合条件的优先通过资本市场退出。</w:t>
      </w:r>
    </w:p>
    <w:p w14:paraId="1A84C3D4">
      <w:pPr>
        <w:numPr>
          <w:ilvl w:val="0"/>
          <w:numId w:val="1"/>
        </w:numPr>
        <w:shd w:val="clear" w:color="auto" w:fill="auto"/>
        <w:spacing w:line="560" w:lineRule="exact"/>
        <w:ind w:left="0" w:firstLine="640" w:firstLineChars="200"/>
        <w:jc w:val="left"/>
        <w:rPr>
          <w:rFonts w:hint="eastAsia" w:ascii="仿宋_GB2312" w:hAnsi="仿宋" w:eastAsia="仿宋_GB2312" w:cs="宋体"/>
          <w:color w:val="auto"/>
          <w:sz w:val="32"/>
          <w:szCs w:val="28"/>
          <w:highlight w:val="none"/>
          <w:u w:val="none"/>
        </w:rPr>
      </w:pPr>
      <w:r>
        <w:rPr>
          <w:rFonts w:hint="eastAsia" w:ascii="仿宋_GB2312" w:hAnsi="仿宋" w:eastAsia="仿宋_GB2312" w:cs="宋体"/>
          <w:color w:val="auto"/>
          <w:sz w:val="32"/>
          <w:szCs w:val="28"/>
          <w:highlight w:val="none"/>
          <w:u w:val="none"/>
          <w:lang w:val="en-US" w:eastAsia="zh-CN"/>
        </w:rPr>
        <w:t>出资人</w:t>
      </w:r>
      <w:r>
        <w:rPr>
          <w:rFonts w:hint="eastAsia" w:ascii="仿宋_GB2312" w:hAnsi="仿宋" w:eastAsia="仿宋_GB2312" w:cs="宋体"/>
          <w:color w:val="auto"/>
          <w:sz w:val="32"/>
          <w:szCs w:val="28"/>
          <w:highlight w:val="none"/>
          <w:u w:val="none"/>
        </w:rPr>
        <w:t>应严格执行</w:t>
      </w:r>
      <w:r>
        <w:rPr>
          <w:rFonts w:hint="eastAsia" w:hAnsi="仿宋" w:cs="宋体"/>
          <w:color w:val="auto"/>
          <w:sz w:val="32"/>
          <w:szCs w:val="28"/>
          <w:highlight w:val="none"/>
          <w:u w:val="none"/>
          <w:lang w:eastAsia="zh-CN"/>
        </w:rPr>
        <w:t>《深圳市光明区企业国有产权变动管理规定》</w:t>
      </w:r>
      <w:r>
        <w:rPr>
          <w:rFonts w:hint="eastAsia" w:ascii="仿宋_GB2312" w:hAnsi="仿宋" w:eastAsia="仿宋_GB2312" w:cs="宋体"/>
          <w:color w:val="auto"/>
          <w:sz w:val="32"/>
          <w:szCs w:val="28"/>
          <w:highlight w:val="none"/>
          <w:u w:val="none"/>
        </w:rPr>
        <w:t>等制度，按要求完成决策审批、财务审计、资产评估及公开</w:t>
      </w:r>
      <w:r>
        <w:rPr>
          <w:rFonts w:hint="eastAsia" w:hAnsi="仿宋" w:cs="宋体"/>
          <w:color w:val="auto"/>
          <w:sz w:val="32"/>
          <w:szCs w:val="28"/>
          <w:highlight w:val="none"/>
          <w:u w:val="none"/>
          <w:lang w:eastAsia="zh-CN"/>
        </w:rPr>
        <w:t>交易</w:t>
      </w:r>
      <w:r>
        <w:rPr>
          <w:rFonts w:hint="eastAsia" w:ascii="仿宋_GB2312" w:hAnsi="仿宋" w:eastAsia="仿宋_GB2312" w:cs="宋体"/>
          <w:color w:val="auto"/>
          <w:sz w:val="32"/>
          <w:szCs w:val="28"/>
          <w:highlight w:val="none"/>
          <w:u w:val="none"/>
        </w:rPr>
        <w:t>等。</w:t>
      </w:r>
    </w:p>
    <w:p w14:paraId="7CE0D0F6">
      <w:pPr>
        <w:numPr>
          <w:ilvl w:val="0"/>
          <w:numId w:val="1"/>
        </w:numPr>
        <w:shd w:val="clear" w:color="auto" w:fill="auto"/>
        <w:spacing w:line="560" w:lineRule="exact"/>
        <w:ind w:left="0" w:firstLine="640" w:firstLineChars="200"/>
        <w:jc w:val="left"/>
        <w:rPr>
          <w:rFonts w:hint="eastAsia" w:ascii="仿宋_GB2312" w:hAnsi="仿宋" w:eastAsia="仿宋_GB2312" w:cs="宋体"/>
          <w:color w:val="auto"/>
          <w:sz w:val="32"/>
          <w:szCs w:val="28"/>
          <w:highlight w:val="none"/>
          <w:u w:val="none"/>
        </w:rPr>
      </w:pPr>
      <w:r>
        <w:rPr>
          <w:rFonts w:hint="eastAsia" w:hAnsi="仿宋" w:cs="宋体"/>
          <w:color w:val="auto"/>
          <w:sz w:val="32"/>
          <w:szCs w:val="28"/>
          <w:highlight w:val="none"/>
          <w:u w:val="none"/>
          <w:lang w:eastAsia="zh-CN"/>
        </w:rPr>
        <w:t>出资人</w:t>
      </w:r>
      <w:r>
        <w:rPr>
          <w:rFonts w:hint="eastAsia" w:ascii="仿宋_GB2312" w:hAnsi="仿宋" w:eastAsia="仿宋_GB2312" w:cs="宋体"/>
          <w:color w:val="auto"/>
          <w:sz w:val="32"/>
          <w:szCs w:val="28"/>
          <w:highlight w:val="none"/>
          <w:u w:val="none"/>
        </w:rPr>
        <w:t>退出时，应</w:t>
      </w:r>
      <w:r>
        <w:rPr>
          <w:rFonts w:hint="eastAsia" w:hAnsi="仿宋"/>
          <w:color w:val="auto"/>
          <w:szCs w:val="28"/>
          <w:highlight w:val="none"/>
          <w:u w:val="none"/>
        </w:rPr>
        <w:t>依法合规履行财务审计、资产评估和产权交易等程序</w:t>
      </w:r>
      <w:r>
        <w:rPr>
          <w:rFonts w:hint="eastAsia" w:ascii="仿宋_GB2312" w:hAnsi="仿宋" w:eastAsia="仿宋_GB2312" w:cs="宋体"/>
          <w:color w:val="auto"/>
          <w:sz w:val="32"/>
          <w:szCs w:val="28"/>
          <w:highlight w:val="none"/>
          <w:u w:val="none"/>
        </w:rPr>
        <w:t>，完成工商变更登记。</w:t>
      </w:r>
    </w:p>
    <w:p w14:paraId="4A38BC8D">
      <w:pPr>
        <w:numPr>
          <w:ilvl w:val="0"/>
          <w:numId w:val="0"/>
        </w:numPr>
        <w:shd w:val="clear" w:color="auto" w:fill="auto"/>
        <w:spacing w:line="560" w:lineRule="exact"/>
        <w:ind w:leftChars="0" w:firstLine="640" w:firstLineChars="200"/>
        <w:jc w:val="both"/>
        <w:rPr>
          <w:rFonts w:ascii="黑体" w:hAnsi="黑体" w:eastAsia="黑体" w:cs="仿宋"/>
          <w:b w:val="0"/>
          <w:bCs/>
          <w:color w:val="auto"/>
          <w:sz w:val="32"/>
          <w:szCs w:val="32"/>
          <w:highlight w:val="none"/>
          <w:u w:val="none"/>
        </w:rPr>
      </w:pPr>
    </w:p>
    <w:p w14:paraId="4F29F336">
      <w:pPr>
        <w:numPr>
          <w:ilvl w:val="-1"/>
          <w:numId w:val="0"/>
        </w:numPr>
        <w:shd w:val="clear" w:color="auto" w:fill="auto"/>
        <w:spacing w:line="560" w:lineRule="exact"/>
        <w:ind w:left="0" w:leftChars="0" w:firstLine="640" w:firstLineChars="200"/>
        <w:jc w:val="center"/>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lang w:eastAsia="zh-CN"/>
        </w:rPr>
        <w:t>第</w:t>
      </w:r>
      <w:r>
        <w:rPr>
          <w:rFonts w:hint="default" w:ascii="黑体" w:hAnsi="黑体" w:eastAsia="黑体" w:cs="仿宋"/>
          <w:b w:val="0"/>
          <w:bCs/>
          <w:color w:val="auto"/>
          <w:sz w:val="32"/>
          <w:szCs w:val="32"/>
          <w:highlight w:val="none"/>
          <w:u w:val="none"/>
          <w:lang w:val="en" w:eastAsia="zh-CN"/>
        </w:rPr>
        <w:t>五</w:t>
      </w:r>
      <w:r>
        <w:rPr>
          <w:rFonts w:hint="eastAsia" w:ascii="黑体" w:hAnsi="黑体" w:eastAsia="黑体" w:cs="仿宋"/>
          <w:b w:val="0"/>
          <w:bCs/>
          <w:color w:val="auto"/>
          <w:sz w:val="32"/>
          <w:szCs w:val="32"/>
          <w:highlight w:val="none"/>
          <w:u w:val="none"/>
          <w:lang w:eastAsia="zh-CN"/>
        </w:rPr>
        <w:t>章</w:t>
      </w:r>
      <w:r>
        <w:rPr>
          <w:rFonts w:hint="eastAsia" w:ascii="黑体" w:hAnsi="黑体" w:eastAsia="黑体" w:cs="仿宋"/>
          <w:b w:val="0"/>
          <w:bCs/>
          <w:color w:val="auto"/>
          <w:sz w:val="32"/>
          <w:szCs w:val="32"/>
          <w:highlight w:val="none"/>
          <w:u w:val="none"/>
          <w:lang w:val="en-US" w:eastAsia="zh-CN"/>
        </w:rPr>
        <w:t xml:space="preserve"> </w:t>
      </w:r>
      <w:r>
        <w:rPr>
          <w:rFonts w:hint="eastAsia" w:ascii="黑体" w:hAnsi="黑体" w:eastAsia="黑体" w:cs="仿宋"/>
          <w:b w:val="0"/>
          <w:bCs/>
          <w:color w:val="auto"/>
          <w:sz w:val="32"/>
          <w:szCs w:val="32"/>
          <w:highlight w:val="none"/>
          <w:u w:val="none"/>
          <w:lang w:eastAsia="zh-CN"/>
        </w:rPr>
        <w:t>责任追究</w:t>
      </w:r>
    </w:p>
    <w:p w14:paraId="26C530DD">
      <w:pPr>
        <w:numPr>
          <w:ilvl w:val="0"/>
          <w:numId w:val="1"/>
        </w:numPr>
        <w:shd w:val="clear" w:color="auto" w:fill="auto"/>
        <w:spacing w:line="560" w:lineRule="exact"/>
        <w:ind w:left="0" w:firstLine="640" w:firstLineChars="200"/>
        <w:jc w:val="left"/>
        <w:rPr>
          <w:rFonts w:hint="eastAsia" w:ascii="仿宋_GB2312" w:hAnsi="仿宋" w:eastAsia="仿宋_GB2312"/>
          <w:color w:val="auto"/>
          <w:sz w:val="32"/>
          <w:szCs w:val="28"/>
          <w:highlight w:val="none"/>
          <w:u w:val="none"/>
        </w:rPr>
      </w:pPr>
      <w:r>
        <w:rPr>
          <w:rFonts w:hint="eastAsia" w:hAnsi="仿宋"/>
          <w:color w:val="auto"/>
          <w:sz w:val="32"/>
          <w:szCs w:val="28"/>
          <w:highlight w:val="none"/>
          <w:u w:val="none"/>
          <w:lang w:val="en" w:eastAsia="zh-CN"/>
        </w:rPr>
        <w:t>直管企业和所属企业</w:t>
      </w:r>
      <w:r>
        <w:rPr>
          <w:rFonts w:hint="eastAsia" w:hAnsi="仿宋"/>
          <w:color w:val="auto"/>
          <w:sz w:val="32"/>
          <w:szCs w:val="28"/>
          <w:highlight w:val="none"/>
          <w:u w:val="none"/>
          <w:lang w:eastAsia="zh-CN"/>
        </w:rPr>
        <w:t>有</w:t>
      </w:r>
      <w:r>
        <w:rPr>
          <w:rFonts w:hint="eastAsia" w:ascii="仿宋_GB2312" w:hAnsi="仿宋" w:eastAsia="仿宋_GB2312"/>
          <w:color w:val="auto"/>
          <w:sz w:val="32"/>
          <w:szCs w:val="28"/>
          <w:highlight w:val="none"/>
          <w:u w:val="none"/>
        </w:rPr>
        <w:t>以下行为的，将</w:t>
      </w:r>
      <w:r>
        <w:rPr>
          <w:rFonts w:hint="eastAsia" w:hAnsi="仿宋"/>
          <w:color w:val="auto"/>
          <w:sz w:val="32"/>
          <w:szCs w:val="28"/>
          <w:highlight w:val="none"/>
          <w:u w:val="none"/>
          <w:lang w:eastAsia="zh-CN"/>
        </w:rPr>
        <w:t>由</w:t>
      </w:r>
      <w:r>
        <w:rPr>
          <w:rFonts w:hint="eastAsia" w:ascii="仿宋_GB2312" w:hAnsi="仿宋" w:eastAsia="仿宋_GB2312" w:cs="仿宋"/>
          <w:b w:val="0"/>
          <w:bCs/>
          <w:color w:val="auto"/>
          <w:sz w:val="32"/>
          <w:szCs w:val="32"/>
          <w:highlight w:val="none"/>
          <w:u w:val="none"/>
        </w:rPr>
        <w:t>区纪委监委</w:t>
      </w:r>
      <w:r>
        <w:rPr>
          <w:rFonts w:hint="eastAsia" w:hAnsi="仿宋" w:cs="仿宋"/>
          <w:b w:val="0"/>
          <w:bCs/>
          <w:color w:val="auto"/>
          <w:sz w:val="32"/>
          <w:szCs w:val="32"/>
          <w:highlight w:val="none"/>
          <w:u w:val="none"/>
          <w:lang w:eastAsia="zh-CN"/>
        </w:rPr>
        <w:t>、</w:t>
      </w:r>
      <w:r>
        <w:rPr>
          <w:rFonts w:hint="eastAsia" w:hAnsi="仿宋"/>
          <w:color w:val="auto"/>
          <w:sz w:val="32"/>
          <w:szCs w:val="28"/>
          <w:highlight w:val="none"/>
          <w:u w:val="none"/>
          <w:lang w:eastAsia="zh-CN"/>
        </w:rPr>
        <w:t>区</w:t>
      </w:r>
      <w:r>
        <w:rPr>
          <w:rFonts w:hint="eastAsia" w:hAnsi="仿宋"/>
          <w:color w:val="auto"/>
          <w:sz w:val="32"/>
          <w:szCs w:val="28"/>
          <w:highlight w:val="none"/>
          <w:u w:val="none"/>
          <w:lang w:val="en" w:eastAsia="zh-CN"/>
        </w:rPr>
        <w:t>国资监管部门、</w:t>
      </w:r>
      <w:r>
        <w:rPr>
          <w:rFonts w:hint="eastAsia" w:hAnsi="仿宋"/>
          <w:color w:val="auto"/>
          <w:sz w:val="32"/>
          <w:szCs w:val="28"/>
          <w:highlight w:val="none"/>
          <w:u w:val="none"/>
          <w:lang w:val="en-US" w:eastAsia="zh-CN"/>
        </w:rPr>
        <w:t>直管企业</w:t>
      </w:r>
      <w:r>
        <w:rPr>
          <w:rFonts w:hint="eastAsia" w:ascii="仿宋_GB2312" w:hAnsi="仿宋" w:eastAsia="仿宋_GB2312"/>
          <w:color w:val="auto"/>
          <w:sz w:val="32"/>
          <w:szCs w:val="28"/>
          <w:highlight w:val="none"/>
          <w:u w:val="none"/>
        </w:rPr>
        <w:t>依据</w:t>
      </w:r>
      <w:r>
        <w:rPr>
          <w:rFonts w:hint="eastAsia" w:hAnsi="仿宋"/>
          <w:color w:val="auto"/>
          <w:sz w:val="32"/>
          <w:szCs w:val="28"/>
          <w:highlight w:val="none"/>
          <w:u w:val="none"/>
          <w:lang w:eastAsia="zh-CN"/>
        </w:rPr>
        <w:t>法律法规和规章制度追究责任</w:t>
      </w:r>
      <w:r>
        <w:rPr>
          <w:rFonts w:hint="eastAsia" w:ascii="仿宋_GB2312" w:hAnsi="仿宋" w:eastAsia="仿宋_GB2312"/>
          <w:color w:val="auto"/>
          <w:sz w:val="32"/>
          <w:szCs w:val="28"/>
          <w:highlight w:val="none"/>
          <w:u w:val="none"/>
        </w:rPr>
        <w:t>；涉嫌违纪的，移交纪检监察部门处理；涉嫌犯罪的，依法移送监察或司法部门处理。</w:t>
      </w:r>
    </w:p>
    <w:p w14:paraId="43720041">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hAnsi="仿宋"/>
          <w:color w:val="auto"/>
          <w:sz w:val="32"/>
          <w:szCs w:val="28"/>
          <w:highlight w:val="none"/>
          <w:u w:val="none"/>
          <w:lang w:eastAsia="zh-CN"/>
        </w:rPr>
        <w:t>（一）</w:t>
      </w:r>
      <w:r>
        <w:rPr>
          <w:rFonts w:hint="eastAsia" w:ascii="仿宋_GB2312" w:hAnsi="仿宋" w:eastAsia="仿宋_GB2312"/>
          <w:color w:val="auto"/>
          <w:sz w:val="32"/>
          <w:szCs w:val="28"/>
          <w:highlight w:val="none"/>
          <w:u w:val="none"/>
        </w:rPr>
        <w:t>违反规定从事非主业、境外或其他禁止投资参股的；</w:t>
      </w:r>
    </w:p>
    <w:p w14:paraId="5CE809FB">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ascii="仿宋_GB2312" w:hAnsi="仿宋" w:eastAsia="仿宋_GB2312"/>
          <w:color w:val="auto"/>
          <w:sz w:val="32"/>
          <w:szCs w:val="28"/>
          <w:highlight w:val="none"/>
          <w:u w:val="none"/>
        </w:rPr>
        <w:t>（二）未按规定履行决策和审批程序或超越权限决策，决策未充分考虑重大风险因素，未制定风险防控方案，造成重大影响的；</w:t>
      </w:r>
    </w:p>
    <w:p w14:paraId="664C077F">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ascii="仿宋_GB2312" w:hAnsi="仿宋" w:eastAsia="仿宋_GB2312"/>
          <w:color w:val="auto"/>
          <w:sz w:val="32"/>
          <w:szCs w:val="28"/>
          <w:highlight w:val="none"/>
          <w:u w:val="none"/>
        </w:rPr>
        <w:t>（三）未按规定开展尽职调查、可行性研究及项目评审，未进行风险分析、法律审核的；合资合作协议、公司章程等法律文件存在明显有损</w:t>
      </w:r>
      <w:r>
        <w:rPr>
          <w:rFonts w:hint="eastAsia" w:hAnsi="仿宋"/>
          <w:color w:val="auto"/>
          <w:sz w:val="32"/>
          <w:szCs w:val="28"/>
          <w:highlight w:val="none"/>
          <w:u w:val="none"/>
          <w:lang w:eastAsia="zh-CN"/>
        </w:rPr>
        <w:t>国有资本</w:t>
      </w:r>
      <w:r>
        <w:rPr>
          <w:rFonts w:hint="eastAsia" w:ascii="仿宋_GB2312" w:hAnsi="仿宋" w:eastAsia="仿宋_GB2312"/>
          <w:color w:val="auto"/>
          <w:sz w:val="32"/>
          <w:szCs w:val="28"/>
          <w:highlight w:val="none"/>
          <w:u w:val="none"/>
        </w:rPr>
        <w:t>权益的条款，致使发生重大风险的；</w:t>
      </w:r>
    </w:p>
    <w:p w14:paraId="6A366E38">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ascii="仿宋_GB2312" w:hAnsi="仿宋" w:eastAsia="仿宋_GB2312"/>
          <w:color w:val="auto"/>
          <w:sz w:val="32"/>
          <w:szCs w:val="28"/>
          <w:highlight w:val="none"/>
          <w:u w:val="none"/>
        </w:rPr>
        <w:t>（四）未行使或未按规定行使相应股东权利，造成国有资产损失的；</w:t>
      </w:r>
    </w:p>
    <w:p w14:paraId="743708C6">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ascii="仿宋_GB2312" w:hAnsi="仿宋" w:eastAsia="仿宋_GB2312"/>
          <w:color w:val="auto"/>
          <w:sz w:val="32"/>
          <w:szCs w:val="28"/>
          <w:highlight w:val="none"/>
          <w:u w:val="none"/>
        </w:rPr>
        <w:t>（五）对参股企业重大风险隐患、内控缺陷等失察，或虽然发现但未及时报告、处置，造成国有资产损失的；</w:t>
      </w:r>
    </w:p>
    <w:p w14:paraId="7618F098">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rPr>
      </w:pPr>
      <w:r>
        <w:rPr>
          <w:rFonts w:hint="eastAsia" w:ascii="仿宋_GB2312" w:hAnsi="仿宋" w:eastAsia="仿宋_GB2312"/>
          <w:color w:val="auto"/>
          <w:sz w:val="32"/>
          <w:szCs w:val="28"/>
          <w:highlight w:val="none"/>
          <w:u w:val="none"/>
        </w:rPr>
        <w:t>（六）未按规定退出，造成国有资产损失的；</w:t>
      </w:r>
    </w:p>
    <w:p w14:paraId="035A5DEC">
      <w:pPr>
        <w:numPr>
          <w:ilvl w:val="-1"/>
          <w:numId w:val="0"/>
        </w:numPr>
        <w:shd w:val="clear" w:color="auto" w:fill="auto"/>
        <w:spacing w:line="560" w:lineRule="exact"/>
        <w:ind w:left="0" w:leftChars="0" w:firstLine="640" w:firstLineChars="200"/>
        <w:jc w:val="left"/>
        <w:rPr>
          <w:rFonts w:hint="eastAsia" w:ascii="仿宋_GB2312" w:hAnsi="仿宋" w:eastAsia="仿宋_GB2312"/>
          <w:color w:val="auto"/>
          <w:sz w:val="32"/>
          <w:szCs w:val="28"/>
          <w:highlight w:val="none"/>
          <w:u w:val="none"/>
          <w:lang w:eastAsia="zh-CN"/>
        </w:rPr>
      </w:pPr>
      <w:r>
        <w:rPr>
          <w:rFonts w:hint="eastAsia" w:hAnsi="仿宋"/>
          <w:color w:val="auto"/>
          <w:sz w:val="32"/>
          <w:szCs w:val="28"/>
          <w:highlight w:val="none"/>
          <w:u w:val="none"/>
          <w:lang w:eastAsia="zh-CN"/>
        </w:rPr>
        <w:t>（七）违规对外提供担保的；</w:t>
      </w:r>
    </w:p>
    <w:p w14:paraId="4340960F">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olor w:val="auto"/>
          <w:sz w:val="32"/>
          <w:szCs w:val="28"/>
          <w:highlight w:val="none"/>
          <w:u w:val="none"/>
        </w:rPr>
        <w:t>（</w:t>
      </w:r>
      <w:r>
        <w:rPr>
          <w:rFonts w:hint="eastAsia" w:hAnsi="仿宋"/>
          <w:color w:val="auto"/>
          <w:sz w:val="32"/>
          <w:szCs w:val="28"/>
          <w:highlight w:val="none"/>
          <w:u w:val="none"/>
          <w:lang w:eastAsia="zh-CN"/>
        </w:rPr>
        <w:t>八</w:t>
      </w:r>
      <w:r>
        <w:rPr>
          <w:rFonts w:hint="eastAsia" w:ascii="仿宋_GB2312" w:hAnsi="仿宋" w:eastAsia="仿宋_GB2312"/>
          <w:color w:val="auto"/>
          <w:sz w:val="32"/>
          <w:szCs w:val="28"/>
          <w:highlight w:val="none"/>
          <w:u w:val="none"/>
        </w:rPr>
        <w:t>）造成国有资产损失的其他情形。</w:t>
      </w:r>
    </w:p>
    <w:p w14:paraId="12B26677">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委派人员有下列行为之一的，由委派单位予以免职或解聘：</w:t>
      </w:r>
    </w:p>
    <w:p w14:paraId="36F27AB9">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（一）未按出资人意见在董事会、监事会上正确行使表决权的</w:t>
      </w:r>
      <w:r>
        <w:rPr>
          <w:rFonts w:hint="eastAsia" w:hAnsi="仿宋" w:cs="宋体"/>
          <w:b w:val="0"/>
          <w:bCs w:val="0"/>
          <w:color w:val="auto"/>
          <w:sz w:val="32"/>
          <w:szCs w:val="28"/>
          <w:highlight w:val="none"/>
          <w:u w:val="none"/>
          <w:lang w:eastAsia="zh-CN"/>
        </w:rPr>
        <w:t>；</w:t>
      </w:r>
    </w:p>
    <w:p w14:paraId="16091609">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（二）未按规定向出资人报告情况或报告不实，经警告无效的</w:t>
      </w:r>
      <w:r>
        <w:rPr>
          <w:rFonts w:hint="eastAsia" w:hAnsi="仿宋" w:cs="宋体"/>
          <w:b w:val="0"/>
          <w:bCs w:val="0"/>
          <w:color w:val="auto"/>
          <w:sz w:val="32"/>
          <w:szCs w:val="28"/>
          <w:highlight w:val="none"/>
          <w:u w:val="none"/>
          <w:lang w:eastAsia="zh-CN"/>
        </w:rPr>
        <w:t>；</w:t>
      </w:r>
    </w:p>
    <w:p w14:paraId="370F4C38">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val="en-US" w:eastAsia="zh-CN"/>
        </w:rPr>
      </w:pPr>
      <w:r>
        <w:rPr>
          <w:rFonts w:hint="eastAsia" w:ascii="仿宋_GB2312" w:hAnsi="仿宋" w:eastAsia="仿宋_GB2312" w:cs="宋体"/>
          <w:b w:val="0"/>
          <w:bCs w:val="0"/>
          <w:color w:val="auto"/>
          <w:sz w:val="32"/>
          <w:szCs w:val="28"/>
          <w:highlight w:val="none"/>
          <w:u w:val="none"/>
          <w:lang w:val="en-US" w:eastAsia="zh-CN"/>
        </w:rPr>
        <w:t>（三）对任职企业的重大风险隐患、内控缺陷等失察，或虽然发现但未及时报告、处置，造成国有资产损失的；</w:t>
      </w:r>
    </w:p>
    <w:p w14:paraId="647E074C">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w:t>
      </w:r>
      <w:r>
        <w:rPr>
          <w:rFonts w:hint="eastAsia" w:hAnsi="仿宋" w:cs="宋体"/>
          <w:b w:val="0"/>
          <w:bCs w:val="0"/>
          <w:color w:val="auto"/>
          <w:sz w:val="32"/>
          <w:szCs w:val="28"/>
          <w:highlight w:val="none"/>
          <w:u w:val="none"/>
          <w:lang w:eastAsia="zh-CN"/>
        </w:rPr>
        <w:t>四</w:t>
      </w:r>
      <w:r>
        <w:rPr>
          <w:rFonts w:hint="eastAsia" w:ascii="仿宋_GB2312" w:hAnsi="仿宋" w:eastAsia="仿宋_GB2312" w:cs="宋体"/>
          <w:b w:val="0"/>
          <w:bCs w:val="0"/>
          <w:color w:val="auto"/>
          <w:sz w:val="32"/>
          <w:szCs w:val="28"/>
          <w:highlight w:val="none"/>
          <w:u w:val="none"/>
        </w:rPr>
        <w:t>）考核不能胜任现职工作的</w:t>
      </w:r>
      <w:r>
        <w:rPr>
          <w:rFonts w:hint="eastAsia" w:hAnsi="仿宋" w:cs="宋体"/>
          <w:b w:val="0"/>
          <w:bCs w:val="0"/>
          <w:color w:val="auto"/>
          <w:sz w:val="32"/>
          <w:szCs w:val="28"/>
          <w:highlight w:val="none"/>
          <w:u w:val="none"/>
          <w:lang w:eastAsia="zh-CN"/>
        </w:rPr>
        <w:t>；</w:t>
      </w:r>
    </w:p>
    <w:p w14:paraId="0CF23A18">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w:t>
      </w:r>
      <w:r>
        <w:rPr>
          <w:rFonts w:hint="eastAsia" w:hAnsi="仿宋" w:cs="宋体"/>
          <w:b w:val="0"/>
          <w:bCs w:val="0"/>
          <w:color w:val="auto"/>
          <w:sz w:val="32"/>
          <w:szCs w:val="28"/>
          <w:highlight w:val="none"/>
          <w:u w:val="none"/>
          <w:lang w:eastAsia="zh-CN"/>
        </w:rPr>
        <w:t>五</w:t>
      </w:r>
      <w:r>
        <w:rPr>
          <w:rFonts w:hint="eastAsia" w:ascii="仿宋_GB2312" w:hAnsi="仿宋" w:eastAsia="仿宋_GB2312" w:cs="宋体"/>
          <w:b w:val="0"/>
          <w:bCs w:val="0"/>
          <w:color w:val="auto"/>
          <w:sz w:val="32"/>
          <w:szCs w:val="28"/>
          <w:highlight w:val="none"/>
          <w:u w:val="none"/>
        </w:rPr>
        <w:t>）未经批准不出席董事、监事会议的</w:t>
      </w:r>
      <w:r>
        <w:rPr>
          <w:rFonts w:hint="eastAsia" w:hAnsi="仿宋" w:cs="宋体"/>
          <w:b w:val="0"/>
          <w:bCs w:val="0"/>
          <w:color w:val="auto"/>
          <w:sz w:val="32"/>
          <w:szCs w:val="28"/>
          <w:highlight w:val="none"/>
          <w:u w:val="none"/>
          <w:lang w:eastAsia="zh-CN"/>
        </w:rPr>
        <w:t>；</w:t>
      </w:r>
    </w:p>
    <w:p w14:paraId="7532F641">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b w:val="0"/>
          <w:bCs w:val="0"/>
          <w:color w:val="auto"/>
          <w:sz w:val="32"/>
          <w:szCs w:val="28"/>
          <w:highlight w:val="none"/>
          <w:u w:val="none"/>
        </w:rPr>
        <w:t>（</w:t>
      </w:r>
      <w:r>
        <w:rPr>
          <w:rFonts w:hint="eastAsia" w:hAnsi="仿宋" w:cs="宋体"/>
          <w:b w:val="0"/>
          <w:bCs w:val="0"/>
          <w:color w:val="auto"/>
          <w:sz w:val="32"/>
          <w:szCs w:val="28"/>
          <w:highlight w:val="none"/>
          <w:u w:val="none"/>
          <w:lang w:eastAsia="zh-CN"/>
        </w:rPr>
        <w:t>六</w:t>
      </w:r>
      <w:r>
        <w:rPr>
          <w:rFonts w:hint="eastAsia" w:ascii="仿宋_GB2312" w:hAnsi="仿宋" w:eastAsia="仿宋_GB2312" w:cs="宋体"/>
          <w:b w:val="0"/>
          <w:bCs w:val="0"/>
          <w:color w:val="auto"/>
          <w:sz w:val="32"/>
          <w:szCs w:val="28"/>
          <w:highlight w:val="none"/>
          <w:u w:val="none"/>
        </w:rPr>
        <w:t>）因工作需要或</w:t>
      </w:r>
      <w:r>
        <w:rPr>
          <w:rFonts w:hint="eastAsia" w:hAnsi="仿宋" w:cs="宋体"/>
          <w:b w:val="0"/>
          <w:bCs w:val="0"/>
          <w:color w:val="auto"/>
          <w:sz w:val="32"/>
          <w:szCs w:val="28"/>
          <w:highlight w:val="none"/>
          <w:u w:val="none"/>
          <w:lang w:eastAsia="zh-CN"/>
        </w:rPr>
        <w:t>其他</w:t>
      </w:r>
      <w:r>
        <w:rPr>
          <w:rFonts w:hint="eastAsia" w:ascii="仿宋_GB2312" w:hAnsi="仿宋" w:eastAsia="仿宋_GB2312" w:cs="宋体"/>
          <w:b w:val="0"/>
          <w:bCs w:val="0"/>
          <w:color w:val="auto"/>
          <w:sz w:val="32"/>
          <w:szCs w:val="28"/>
          <w:highlight w:val="none"/>
          <w:u w:val="none"/>
        </w:rPr>
        <w:t>各种原因不宜继续任职的</w:t>
      </w:r>
      <w:r>
        <w:rPr>
          <w:rFonts w:hint="eastAsia" w:hAnsi="仿宋" w:cs="宋体"/>
          <w:b w:val="0"/>
          <w:bCs w:val="0"/>
          <w:color w:val="auto"/>
          <w:sz w:val="32"/>
          <w:szCs w:val="28"/>
          <w:highlight w:val="none"/>
          <w:u w:val="none"/>
          <w:lang w:eastAsia="zh-CN"/>
        </w:rPr>
        <w:t>；</w:t>
      </w:r>
    </w:p>
    <w:p w14:paraId="114DA7A5">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w:t>
      </w:r>
      <w:r>
        <w:rPr>
          <w:rFonts w:hint="eastAsia" w:hAnsi="仿宋" w:cs="宋体"/>
          <w:b w:val="0"/>
          <w:bCs w:val="0"/>
          <w:color w:val="auto"/>
          <w:sz w:val="32"/>
          <w:szCs w:val="28"/>
          <w:highlight w:val="none"/>
          <w:u w:val="none"/>
          <w:lang w:eastAsia="zh-CN"/>
        </w:rPr>
        <w:t>七</w:t>
      </w:r>
      <w:r>
        <w:rPr>
          <w:rFonts w:hint="eastAsia" w:ascii="仿宋_GB2312" w:hAnsi="仿宋" w:eastAsia="仿宋_GB2312" w:cs="宋体"/>
          <w:b w:val="0"/>
          <w:bCs w:val="0"/>
          <w:color w:val="auto"/>
          <w:sz w:val="32"/>
          <w:szCs w:val="28"/>
          <w:highlight w:val="none"/>
          <w:u w:val="none"/>
        </w:rPr>
        <w:t>）违反《中华人民共和国公司法》、公司章程和其他法律法规、规章规定禁止的其他行为。</w:t>
      </w:r>
    </w:p>
    <w:p w14:paraId="0303984E">
      <w:pPr>
        <w:numPr>
          <w:ilvl w:val="-1"/>
          <w:numId w:val="0"/>
        </w:numPr>
        <w:shd w:val="clear" w:color="auto" w:fill="auto"/>
        <w:spacing w:line="560" w:lineRule="exact"/>
        <w:ind w:left="0" w:leftChars="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委派人员违反国家法律法规、国资监管有关规定以及参股公司章程和其他内部管理制度，未履行或未正确履行职责，造成国有资产直接或者间接损失的，按照《深圳市光明区企业国有资产监督管理办法》和相关法律法规的规定追究责任。</w:t>
      </w:r>
    </w:p>
    <w:p w14:paraId="2D84FDC3">
      <w:pPr>
        <w:shd w:val="clear" w:color="auto" w:fill="auto"/>
        <w:spacing w:line="560" w:lineRule="exact"/>
        <w:ind w:firstLine="640" w:firstLineChars="200"/>
        <w:rPr>
          <w:rFonts w:ascii="仿宋_GB2312" w:hAnsi="仿宋" w:eastAsia="仿宋_GB2312" w:cs="仿宋"/>
          <w:b w:val="0"/>
          <w:bCs/>
          <w:color w:val="auto"/>
          <w:sz w:val="32"/>
          <w:szCs w:val="32"/>
          <w:highlight w:val="none"/>
          <w:u w:val="none"/>
        </w:rPr>
      </w:pPr>
    </w:p>
    <w:p w14:paraId="2E3628B1">
      <w:pPr>
        <w:numPr>
          <w:ilvl w:val="-1"/>
          <w:numId w:val="0"/>
        </w:numPr>
        <w:shd w:val="clear" w:color="auto" w:fill="auto"/>
        <w:spacing w:line="560" w:lineRule="exact"/>
        <w:ind w:left="0" w:firstLine="640" w:firstLineChars="200"/>
        <w:jc w:val="center"/>
        <w:rPr>
          <w:rFonts w:ascii="黑体" w:hAnsi="黑体" w:eastAsia="黑体" w:cs="仿宋"/>
          <w:b w:val="0"/>
          <w:bCs/>
          <w:color w:val="auto"/>
          <w:sz w:val="32"/>
          <w:szCs w:val="32"/>
          <w:highlight w:val="none"/>
          <w:u w:val="none"/>
        </w:rPr>
      </w:pPr>
      <w:r>
        <w:rPr>
          <w:rFonts w:hint="eastAsia" w:ascii="黑体" w:hAnsi="黑体" w:eastAsia="黑体" w:cs="仿宋"/>
          <w:b w:val="0"/>
          <w:bCs/>
          <w:color w:val="auto"/>
          <w:sz w:val="32"/>
          <w:szCs w:val="32"/>
          <w:highlight w:val="none"/>
          <w:u w:val="none"/>
        </w:rPr>
        <w:t>第</w:t>
      </w:r>
      <w:r>
        <w:rPr>
          <w:rFonts w:hint="default" w:ascii="黑体" w:hAnsi="黑体" w:eastAsia="黑体" w:cs="仿宋"/>
          <w:b w:val="0"/>
          <w:bCs/>
          <w:color w:val="auto"/>
          <w:sz w:val="32"/>
          <w:szCs w:val="32"/>
          <w:highlight w:val="none"/>
          <w:u w:val="none"/>
          <w:lang w:val="en"/>
        </w:rPr>
        <w:t>六</w:t>
      </w:r>
      <w:r>
        <w:rPr>
          <w:rFonts w:hint="eastAsia" w:ascii="黑体" w:hAnsi="黑体" w:eastAsia="黑体" w:cs="仿宋"/>
          <w:b w:val="0"/>
          <w:bCs/>
          <w:color w:val="auto"/>
          <w:sz w:val="32"/>
          <w:szCs w:val="32"/>
          <w:highlight w:val="none"/>
          <w:u w:val="none"/>
        </w:rPr>
        <w:t>章  附则</w:t>
      </w:r>
    </w:p>
    <w:p w14:paraId="0FF01099">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本规定所称“以上”含本数，“以下”不含本数；金额币别为人民币。</w:t>
      </w:r>
    </w:p>
    <w:p w14:paraId="00CE58A7">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rPr>
      </w:pPr>
      <w:r>
        <w:rPr>
          <w:rFonts w:hint="eastAsia" w:ascii="仿宋_GB2312" w:hAnsi="仿宋" w:eastAsia="仿宋_GB2312" w:cs="宋体"/>
          <w:b w:val="0"/>
          <w:bCs w:val="0"/>
          <w:color w:val="auto"/>
          <w:sz w:val="32"/>
          <w:szCs w:val="28"/>
          <w:highlight w:val="none"/>
          <w:u w:val="none"/>
        </w:rPr>
        <w:t>本规定由区</w:t>
      </w:r>
      <w:r>
        <w:rPr>
          <w:rFonts w:hint="eastAsia" w:hAnsi="仿宋" w:cs="宋体"/>
          <w:b w:val="0"/>
          <w:bCs w:val="0"/>
          <w:color w:val="auto"/>
          <w:sz w:val="32"/>
          <w:szCs w:val="28"/>
          <w:highlight w:val="none"/>
          <w:u w:val="none"/>
          <w:lang w:val="en"/>
        </w:rPr>
        <w:t>国资监管部门</w:t>
      </w:r>
      <w:r>
        <w:rPr>
          <w:rFonts w:hint="eastAsia" w:ascii="仿宋_GB2312" w:hAnsi="仿宋" w:eastAsia="仿宋_GB2312" w:cs="宋体"/>
          <w:b w:val="0"/>
          <w:bCs w:val="0"/>
          <w:color w:val="auto"/>
          <w:sz w:val="32"/>
          <w:szCs w:val="28"/>
          <w:highlight w:val="none"/>
          <w:u w:val="none"/>
        </w:rPr>
        <w:t>负责解释。</w:t>
      </w:r>
      <w:r>
        <w:rPr>
          <w:rFonts w:hint="eastAsia" w:ascii="仿宋_GB2312" w:hAnsi="仿宋" w:eastAsia="仿宋_GB2312" w:cs="宋体"/>
          <w:bCs w:val="0"/>
          <w:color w:val="auto"/>
          <w:sz w:val="32"/>
          <w:szCs w:val="28"/>
          <w:highlight w:val="none"/>
          <w:u w:val="none"/>
        </w:rPr>
        <w:t>本规定未尽事宜，由区</w:t>
      </w:r>
      <w:r>
        <w:rPr>
          <w:rFonts w:hint="eastAsia" w:hAnsi="仿宋" w:cs="宋体"/>
          <w:bCs w:val="0"/>
          <w:color w:val="auto"/>
          <w:sz w:val="32"/>
          <w:szCs w:val="28"/>
          <w:highlight w:val="none"/>
          <w:u w:val="none"/>
          <w:lang w:val="en"/>
        </w:rPr>
        <w:t>国资监管部门</w:t>
      </w:r>
      <w:r>
        <w:rPr>
          <w:rFonts w:hint="eastAsia" w:ascii="仿宋_GB2312" w:hAnsi="仿宋" w:eastAsia="仿宋_GB2312" w:cs="宋体"/>
          <w:bCs w:val="0"/>
          <w:color w:val="auto"/>
          <w:sz w:val="32"/>
          <w:szCs w:val="28"/>
          <w:highlight w:val="none"/>
          <w:u w:val="none"/>
        </w:rPr>
        <w:t>另行制定相关制度规范。</w:t>
      </w:r>
    </w:p>
    <w:p w14:paraId="6B842A20">
      <w:pPr>
        <w:numPr>
          <w:ilvl w:val="0"/>
          <w:numId w:val="1"/>
        </w:numPr>
        <w:shd w:val="clear" w:color="auto" w:fill="auto"/>
        <w:spacing w:line="560" w:lineRule="exact"/>
        <w:ind w:left="0" w:firstLine="640" w:firstLineChars="200"/>
        <w:jc w:val="left"/>
        <w:rPr>
          <w:rFonts w:hint="eastAsia" w:ascii="仿宋_GB2312" w:hAnsi="仿宋" w:eastAsia="仿宋_GB2312" w:cs="宋体"/>
          <w:b w:val="0"/>
          <w:bCs w:val="0"/>
          <w:color w:val="auto"/>
          <w:sz w:val="32"/>
          <w:szCs w:val="28"/>
          <w:highlight w:val="none"/>
          <w:u w:val="none"/>
          <w:lang w:eastAsia="zh-CN"/>
        </w:rPr>
      </w:pPr>
      <w:r>
        <w:rPr>
          <w:rFonts w:hint="eastAsia" w:ascii="仿宋_GB2312" w:hAnsi="仿宋" w:eastAsia="仿宋_GB2312" w:cs="宋体"/>
          <w:color w:val="auto"/>
          <w:sz w:val="32"/>
          <w:szCs w:val="28"/>
          <w:highlight w:val="none"/>
          <w:u w:val="none"/>
        </w:rPr>
        <w:t>本</w:t>
      </w:r>
      <w:r>
        <w:rPr>
          <w:rFonts w:hint="eastAsia" w:ascii="仿宋_GB2312" w:hAnsi="仿宋" w:eastAsia="仿宋_GB2312" w:cs="宋体"/>
          <w:color w:val="auto"/>
          <w:sz w:val="32"/>
          <w:szCs w:val="28"/>
          <w:highlight w:val="none"/>
          <w:u w:val="none"/>
          <w:lang w:val="en-US" w:eastAsia="zh-CN"/>
        </w:rPr>
        <w:t>规定</w:t>
      </w:r>
      <w:r>
        <w:rPr>
          <w:rFonts w:hint="eastAsia" w:ascii="仿宋_GB2312" w:hAnsi="仿宋" w:eastAsia="仿宋_GB2312" w:cs="宋体"/>
          <w:color w:val="auto"/>
          <w:sz w:val="32"/>
          <w:szCs w:val="28"/>
          <w:highlight w:val="none"/>
          <w:u w:val="none"/>
        </w:rPr>
        <w:t>自</w:t>
      </w:r>
      <w:r>
        <w:rPr>
          <w:rFonts w:hint="eastAsia" w:ascii="仿宋_GB2312" w:hAnsi="仿宋" w:eastAsia="仿宋_GB2312" w:cs="宋体"/>
          <w:color w:val="auto"/>
          <w:sz w:val="32"/>
          <w:szCs w:val="28"/>
          <w:highlight w:val="none"/>
          <w:u w:val="none"/>
          <w:lang w:val="en-US" w:eastAsia="zh-CN"/>
        </w:rPr>
        <w:t>202</w:t>
      </w:r>
      <w:r>
        <w:rPr>
          <w:rFonts w:hint="eastAsia" w:hAnsi="仿宋" w:cs="宋体"/>
          <w:color w:val="auto"/>
          <w:sz w:val="32"/>
          <w:szCs w:val="28"/>
          <w:highlight w:val="none"/>
          <w:u w:val="none"/>
          <w:lang w:val="en-US" w:eastAsia="zh-CN"/>
        </w:rPr>
        <w:t>6</w:t>
      </w:r>
      <w:r>
        <w:rPr>
          <w:rFonts w:hint="eastAsia" w:ascii="仿宋_GB2312" w:hAnsi="仿宋" w:eastAsia="仿宋_GB2312" w:cs="宋体"/>
          <w:color w:val="auto"/>
          <w:sz w:val="32"/>
          <w:szCs w:val="28"/>
          <w:highlight w:val="none"/>
          <w:u w:val="none"/>
          <w:lang w:val="en-US" w:eastAsia="zh-CN"/>
        </w:rPr>
        <w:t>年</w:t>
      </w:r>
      <w:r>
        <w:rPr>
          <w:rFonts w:hint="eastAsia" w:hAnsi="仿宋" w:cs="宋体"/>
          <w:color w:val="auto"/>
          <w:sz w:val="32"/>
          <w:szCs w:val="28"/>
          <w:highlight w:val="none"/>
          <w:u w:val="none"/>
          <w:lang w:val="en-US" w:eastAsia="zh-CN"/>
        </w:rPr>
        <w:t>3</w:t>
      </w:r>
      <w:r>
        <w:rPr>
          <w:rFonts w:hint="eastAsia" w:ascii="仿宋_GB2312" w:hAnsi="仿宋" w:eastAsia="仿宋_GB2312" w:cs="宋体"/>
          <w:color w:val="auto"/>
          <w:sz w:val="32"/>
          <w:szCs w:val="28"/>
          <w:highlight w:val="none"/>
          <w:u w:val="none"/>
          <w:lang w:val="en-US" w:eastAsia="zh-CN"/>
        </w:rPr>
        <w:t>月</w:t>
      </w:r>
      <w:r>
        <w:rPr>
          <w:rFonts w:hint="eastAsia" w:hAnsi="仿宋" w:cs="宋体"/>
          <w:color w:val="auto"/>
          <w:sz w:val="32"/>
          <w:szCs w:val="28"/>
          <w:highlight w:val="none"/>
          <w:u w:val="none"/>
          <w:lang w:val="en-US" w:eastAsia="zh-CN"/>
        </w:rPr>
        <w:t>1日</w:t>
      </w:r>
      <w:r>
        <w:rPr>
          <w:rFonts w:hint="eastAsia" w:ascii="仿宋_GB2312" w:hAnsi="仿宋" w:eastAsia="仿宋_GB2312" w:cs="宋体"/>
          <w:color w:val="auto"/>
          <w:sz w:val="32"/>
          <w:szCs w:val="28"/>
          <w:highlight w:val="none"/>
          <w:u w:val="none"/>
        </w:rPr>
        <w:t>起施行</w:t>
      </w:r>
      <w:r>
        <w:rPr>
          <w:rFonts w:hint="eastAsia" w:ascii="仿宋_GB2312" w:hAnsi="仿宋" w:eastAsia="仿宋_GB2312" w:cs="宋体"/>
          <w:b w:val="0"/>
          <w:bCs w:val="0"/>
          <w:color w:val="auto"/>
          <w:sz w:val="32"/>
          <w:szCs w:val="28"/>
          <w:highlight w:val="none"/>
          <w:u w:val="none"/>
        </w:rPr>
        <w:t>。</w:t>
      </w:r>
    </w:p>
    <w:p w14:paraId="34B98CA2">
      <w:pPr>
        <w:shd w:val="clear" w:color="auto" w:fill="auto"/>
        <w:spacing w:line="560" w:lineRule="exact"/>
        <w:ind w:firstLine="640" w:firstLineChars="200"/>
        <w:rPr>
          <w:rFonts w:hint="eastAsia" w:hAnsi="仿宋_GB2312" w:cs="仿宋_GB2312"/>
          <w:color w:val="auto"/>
          <w:highlight w:val="none"/>
          <w:u w:val="none"/>
        </w:rPr>
      </w:pPr>
    </w:p>
    <w:p w14:paraId="7B969B72">
      <w:pPr>
        <w:shd w:val="clear" w:color="auto" w:fill="auto"/>
        <w:spacing w:line="560" w:lineRule="exact"/>
        <w:ind w:firstLine="640" w:firstLineChars="200"/>
        <w:rPr>
          <w:highlight w:val="none"/>
          <w:u w:val="none"/>
        </w:rPr>
      </w:pPr>
    </w:p>
    <w:sectPr>
      <w:footerReference r:id="rId3" w:type="default"/>
      <w:pgSz w:w="11906" w:h="16838"/>
      <w:pgMar w:top="2098" w:right="1474" w:bottom="1984" w:left="1587" w:header="851" w:footer="1417"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E89A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D7B7C0">
                          <w:pPr>
                            <w:pStyle w:val="4"/>
                            <w:rPr>
                              <w:rFonts w:hint="eastAsia" w:ascii="仿宋_GB2312" w:hAnsi="仿宋_GB2312" w:cs="仿宋_GB2312"/>
                              <w:sz w:val="24"/>
                              <w:szCs w:val="24"/>
                            </w:rPr>
                          </w:pPr>
                          <w:r>
                            <w:rPr>
                              <w:rFonts w:hint="eastAsia" w:ascii="仿宋_GB2312" w:hAnsi="仿宋_GB2312" w:cs="仿宋_GB2312"/>
                              <w:sz w:val="24"/>
                              <w:szCs w:val="24"/>
                            </w:rPr>
                            <w:fldChar w:fldCharType="begin"/>
                          </w:r>
                          <w:r>
                            <w:rPr>
                              <w:rFonts w:hint="eastAsia" w:ascii="仿宋_GB2312" w:hAnsi="仿宋_GB2312" w:cs="仿宋_GB2312"/>
                              <w:sz w:val="24"/>
                              <w:szCs w:val="24"/>
                            </w:rPr>
                            <w:instrText xml:space="preserve"> PAGE  \* MERGEFORMAT </w:instrText>
                          </w:r>
                          <w:r>
                            <w:rPr>
                              <w:rFonts w:hint="eastAsia" w:ascii="仿宋_GB2312" w:hAnsi="仿宋_GB2312" w:cs="仿宋_GB2312"/>
                              <w:sz w:val="24"/>
                              <w:szCs w:val="24"/>
                            </w:rPr>
                            <w:fldChar w:fldCharType="separate"/>
                          </w:r>
                          <w:r>
                            <w:rPr>
                              <w:rFonts w:hint="eastAsia" w:ascii="仿宋_GB2312" w:hAnsi="仿宋_GB2312" w:cs="仿宋_GB2312"/>
                              <w:sz w:val="24"/>
                              <w:szCs w:val="24"/>
                            </w:rPr>
                            <w:t>- 1 -</w:t>
                          </w:r>
                          <w:r>
                            <w:rPr>
                              <w:rFonts w:hint="eastAsia" w:ascii="仿宋_GB2312" w:hAnsi="仿宋_GB2312" w:cs="仿宋_GB2312"/>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4D7B7C0">
                    <w:pPr>
                      <w:pStyle w:val="4"/>
                      <w:rPr>
                        <w:rFonts w:hint="eastAsia" w:ascii="仿宋_GB2312" w:hAnsi="仿宋_GB2312" w:cs="仿宋_GB2312"/>
                        <w:sz w:val="24"/>
                        <w:szCs w:val="24"/>
                      </w:rPr>
                    </w:pPr>
                    <w:r>
                      <w:rPr>
                        <w:rFonts w:hint="eastAsia" w:ascii="仿宋_GB2312" w:hAnsi="仿宋_GB2312" w:cs="仿宋_GB2312"/>
                        <w:sz w:val="24"/>
                        <w:szCs w:val="24"/>
                      </w:rPr>
                      <w:fldChar w:fldCharType="begin"/>
                    </w:r>
                    <w:r>
                      <w:rPr>
                        <w:rFonts w:hint="eastAsia" w:ascii="仿宋_GB2312" w:hAnsi="仿宋_GB2312" w:cs="仿宋_GB2312"/>
                        <w:sz w:val="24"/>
                        <w:szCs w:val="24"/>
                      </w:rPr>
                      <w:instrText xml:space="preserve"> PAGE  \* MERGEFORMAT </w:instrText>
                    </w:r>
                    <w:r>
                      <w:rPr>
                        <w:rFonts w:hint="eastAsia" w:ascii="仿宋_GB2312" w:hAnsi="仿宋_GB2312" w:cs="仿宋_GB2312"/>
                        <w:sz w:val="24"/>
                        <w:szCs w:val="24"/>
                      </w:rPr>
                      <w:fldChar w:fldCharType="separate"/>
                    </w:r>
                    <w:r>
                      <w:rPr>
                        <w:rFonts w:hint="eastAsia" w:ascii="仿宋_GB2312" w:hAnsi="仿宋_GB2312" w:cs="仿宋_GB2312"/>
                        <w:sz w:val="24"/>
                        <w:szCs w:val="24"/>
                      </w:rPr>
                      <w:t>- 1 -</w:t>
                    </w:r>
                    <w:r>
                      <w:rPr>
                        <w:rFonts w:hint="eastAsia" w:ascii="仿宋_GB2312" w:hAnsi="仿宋_GB2312" w:cs="仿宋_GB2312"/>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FB02E8"/>
    <w:multiLevelType w:val="singleLevel"/>
    <w:tmpl w:val="D3FB02E8"/>
    <w:lvl w:ilvl="0" w:tentative="0">
      <w:start w:val="1"/>
      <w:numFmt w:val="chineseCounting"/>
      <w:suff w:val="nothing"/>
      <w:lvlText w:val="（%1）"/>
      <w:lvlJc w:val="left"/>
      <w:rPr>
        <w:rFonts w:hint="eastAsia"/>
      </w:rPr>
    </w:lvl>
  </w:abstractNum>
  <w:abstractNum w:abstractNumId="1">
    <w:nsid w:val="EFE2482B"/>
    <w:multiLevelType w:val="multilevel"/>
    <w:tmpl w:val="EFE2482B"/>
    <w:lvl w:ilvl="0" w:tentative="0">
      <w:start w:val="1"/>
      <w:numFmt w:val="chineseCountingThousand"/>
      <w:lvlText w:val="第%1条"/>
      <w:lvlJc w:val="left"/>
      <w:pPr>
        <w:ind w:left="420" w:hanging="420"/>
      </w:pPr>
      <w:rPr>
        <w:rFonts w:hint="eastAsia"/>
        <w:b/>
        <w:color w:val="auto"/>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RhNThiMmUwOGM0MDZlOWNmMDhmYThiYTllZTg0ZDkifQ=="/>
  </w:docVars>
  <w:rsids>
    <w:rsidRoot w:val="00000000"/>
    <w:rsid w:val="008E34FA"/>
    <w:rsid w:val="027A6905"/>
    <w:rsid w:val="04FF3D68"/>
    <w:rsid w:val="06B70A90"/>
    <w:rsid w:val="07BB1BEE"/>
    <w:rsid w:val="07D74439"/>
    <w:rsid w:val="07F7F415"/>
    <w:rsid w:val="09BB5873"/>
    <w:rsid w:val="0B0C1F3E"/>
    <w:rsid w:val="0BB68240"/>
    <w:rsid w:val="0DDF4F86"/>
    <w:rsid w:val="0EA40B5A"/>
    <w:rsid w:val="0FDDD668"/>
    <w:rsid w:val="101E46CB"/>
    <w:rsid w:val="135B5CA2"/>
    <w:rsid w:val="15B93F7C"/>
    <w:rsid w:val="161A45D0"/>
    <w:rsid w:val="165E1A4D"/>
    <w:rsid w:val="167C1BC6"/>
    <w:rsid w:val="174B51AA"/>
    <w:rsid w:val="177D6515"/>
    <w:rsid w:val="17FAB2B0"/>
    <w:rsid w:val="192A068F"/>
    <w:rsid w:val="197A737A"/>
    <w:rsid w:val="1E3CF1BF"/>
    <w:rsid w:val="1EF947E5"/>
    <w:rsid w:val="1EFFC6A1"/>
    <w:rsid w:val="1F779317"/>
    <w:rsid w:val="1FBE78A4"/>
    <w:rsid w:val="1FD707C9"/>
    <w:rsid w:val="1FF9705C"/>
    <w:rsid w:val="1FFCABD0"/>
    <w:rsid w:val="1FFE96A3"/>
    <w:rsid w:val="20E71F9A"/>
    <w:rsid w:val="217E83DF"/>
    <w:rsid w:val="21D00C81"/>
    <w:rsid w:val="22D21FE9"/>
    <w:rsid w:val="23ED161E"/>
    <w:rsid w:val="25F73812"/>
    <w:rsid w:val="27FC28F5"/>
    <w:rsid w:val="27FDF3E6"/>
    <w:rsid w:val="2A3873C3"/>
    <w:rsid w:val="2A9F2DF0"/>
    <w:rsid w:val="2B6E7D0A"/>
    <w:rsid w:val="2BE5D993"/>
    <w:rsid w:val="2BEEFC23"/>
    <w:rsid w:val="2C6F3E2C"/>
    <w:rsid w:val="2CF69D14"/>
    <w:rsid w:val="2D8804C4"/>
    <w:rsid w:val="2DD843AB"/>
    <w:rsid w:val="2DFF71D3"/>
    <w:rsid w:val="2EB7EA29"/>
    <w:rsid w:val="2EBE29FE"/>
    <w:rsid w:val="2EF7C117"/>
    <w:rsid w:val="2F4552CD"/>
    <w:rsid w:val="2F7F4922"/>
    <w:rsid w:val="2FD77E40"/>
    <w:rsid w:val="2FDA1360"/>
    <w:rsid w:val="2FFF28B9"/>
    <w:rsid w:val="30B70406"/>
    <w:rsid w:val="333E188A"/>
    <w:rsid w:val="33CE6621"/>
    <w:rsid w:val="33FF6073"/>
    <w:rsid w:val="362FB868"/>
    <w:rsid w:val="365FF976"/>
    <w:rsid w:val="36BE3D17"/>
    <w:rsid w:val="36FB68E0"/>
    <w:rsid w:val="376FC536"/>
    <w:rsid w:val="377FF6C2"/>
    <w:rsid w:val="37EF5B81"/>
    <w:rsid w:val="38763D00"/>
    <w:rsid w:val="39522F81"/>
    <w:rsid w:val="397D803C"/>
    <w:rsid w:val="39F7BE63"/>
    <w:rsid w:val="3A27446B"/>
    <w:rsid w:val="3B3FEFC6"/>
    <w:rsid w:val="3BB2D926"/>
    <w:rsid w:val="3BDF5DF1"/>
    <w:rsid w:val="3BEF5109"/>
    <w:rsid w:val="3BFBFC5B"/>
    <w:rsid w:val="3BFE550A"/>
    <w:rsid w:val="3BFF5DCB"/>
    <w:rsid w:val="3CBDD6D1"/>
    <w:rsid w:val="3CFB85E8"/>
    <w:rsid w:val="3CFFECC2"/>
    <w:rsid w:val="3DBA16E0"/>
    <w:rsid w:val="3DBC0929"/>
    <w:rsid w:val="3DCBFC8F"/>
    <w:rsid w:val="3DDDE9FA"/>
    <w:rsid w:val="3DF3D950"/>
    <w:rsid w:val="3DF789B6"/>
    <w:rsid w:val="3DFEC356"/>
    <w:rsid w:val="3E3FD107"/>
    <w:rsid w:val="3E77F767"/>
    <w:rsid w:val="3EBF771D"/>
    <w:rsid w:val="3ED75D75"/>
    <w:rsid w:val="3EDE6207"/>
    <w:rsid w:val="3EDFB90C"/>
    <w:rsid w:val="3EF13255"/>
    <w:rsid w:val="3F2DA9F5"/>
    <w:rsid w:val="3F2F2112"/>
    <w:rsid w:val="3F3BA958"/>
    <w:rsid w:val="3F3FAFF4"/>
    <w:rsid w:val="3F51ADC1"/>
    <w:rsid w:val="3F53CF37"/>
    <w:rsid w:val="3F5A9191"/>
    <w:rsid w:val="3F7F2256"/>
    <w:rsid w:val="3F7F6A22"/>
    <w:rsid w:val="3FAB4DAB"/>
    <w:rsid w:val="3FAF87EA"/>
    <w:rsid w:val="3FB9675B"/>
    <w:rsid w:val="3FBF7E73"/>
    <w:rsid w:val="3FDD9C71"/>
    <w:rsid w:val="3FDFF306"/>
    <w:rsid w:val="3FEE46F9"/>
    <w:rsid w:val="3FF7D110"/>
    <w:rsid w:val="3FF7E718"/>
    <w:rsid w:val="3FFA3DA3"/>
    <w:rsid w:val="3FFB924A"/>
    <w:rsid w:val="3FFE1762"/>
    <w:rsid w:val="3FFF7F04"/>
    <w:rsid w:val="40926D1C"/>
    <w:rsid w:val="435D4969"/>
    <w:rsid w:val="43DBFC5C"/>
    <w:rsid w:val="44385116"/>
    <w:rsid w:val="443BFC0E"/>
    <w:rsid w:val="44BF1B37"/>
    <w:rsid w:val="45CE2118"/>
    <w:rsid w:val="45DD824F"/>
    <w:rsid w:val="47BD1801"/>
    <w:rsid w:val="47D299F0"/>
    <w:rsid w:val="47E78A18"/>
    <w:rsid w:val="47F3283D"/>
    <w:rsid w:val="49341933"/>
    <w:rsid w:val="4A3A57A8"/>
    <w:rsid w:val="4AB915D4"/>
    <w:rsid w:val="4BDF3BA5"/>
    <w:rsid w:val="4BEB0116"/>
    <w:rsid w:val="4BFF4947"/>
    <w:rsid w:val="4C3F04A5"/>
    <w:rsid w:val="4CB1D8DF"/>
    <w:rsid w:val="4CFB9B23"/>
    <w:rsid w:val="4CFF3EAF"/>
    <w:rsid w:val="4DF5E7D0"/>
    <w:rsid w:val="4EF6EB99"/>
    <w:rsid w:val="4EF74D19"/>
    <w:rsid w:val="4EF9B8D2"/>
    <w:rsid w:val="4F336113"/>
    <w:rsid w:val="4F361CD0"/>
    <w:rsid w:val="4F5F4614"/>
    <w:rsid w:val="4FBEB55D"/>
    <w:rsid w:val="4FED2DF6"/>
    <w:rsid w:val="511F58A1"/>
    <w:rsid w:val="517789D4"/>
    <w:rsid w:val="517EE4AE"/>
    <w:rsid w:val="53115D65"/>
    <w:rsid w:val="5455CEA6"/>
    <w:rsid w:val="54BB841E"/>
    <w:rsid w:val="54D78784"/>
    <w:rsid w:val="54DF1B0C"/>
    <w:rsid w:val="55C027DF"/>
    <w:rsid w:val="55CE40E4"/>
    <w:rsid w:val="55DF24D4"/>
    <w:rsid w:val="55FF3980"/>
    <w:rsid w:val="567D0B80"/>
    <w:rsid w:val="56DD6784"/>
    <w:rsid w:val="571E5B6E"/>
    <w:rsid w:val="576F29CF"/>
    <w:rsid w:val="578DD94E"/>
    <w:rsid w:val="57F45EB5"/>
    <w:rsid w:val="588FF164"/>
    <w:rsid w:val="59561609"/>
    <w:rsid w:val="59DD2BD5"/>
    <w:rsid w:val="59F30D3D"/>
    <w:rsid w:val="59FFEF3C"/>
    <w:rsid w:val="5A9F98F2"/>
    <w:rsid w:val="5B589142"/>
    <w:rsid w:val="5B694D7F"/>
    <w:rsid w:val="5B958986"/>
    <w:rsid w:val="5BA02E96"/>
    <w:rsid w:val="5BEA4111"/>
    <w:rsid w:val="5D6C883E"/>
    <w:rsid w:val="5DBB360A"/>
    <w:rsid w:val="5DBB8B8A"/>
    <w:rsid w:val="5DC9DDCE"/>
    <w:rsid w:val="5DDB73EF"/>
    <w:rsid w:val="5EC17021"/>
    <w:rsid w:val="5ECF8F19"/>
    <w:rsid w:val="5ED79646"/>
    <w:rsid w:val="5EDF9D3B"/>
    <w:rsid w:val="5EFA3C7E"/>
    <w:rsid w:val="5EFAB4FE"/>
    <w:rsid w:val="5EFF7672"/>
    <w:rsid w:val="5F2F4E71"/>
    <w:rsid w:val="5F6D11AA"/>
    <w:rsid w:val="5F7DF9A6"/>
    <w:rsid w:val="5F952D55"/>
    <w:rsid w:val="5F9CD6BE"/>
    <w:rsid w:val="5FAF2414"/>
    <w:rsid w:val="5FB5B4E1"/>
    <w:rsid w:val="5FBBA753"/>
    <w:rsid w:val="5FBD3B86"/>
    <w:rsid w:val="5FBF40EE"/>
    <w:rsid w:val="5FCF7AC5"/>
    <w:rsid w:val="5FD74FBF"/>
    <w:rsid w:val="5FEF35FB"/>
    <w:rsid w:val="5FF6414F"/>
    <w:rsid w:val="5FF7A3F7"/>
    <w:rsid w:val="5FFB2BAE"/>
    <w:rsid w:val="5FFBA933"/>
    <w:rsid w:val="5FFBC642"/>
    <w:rsid w:val="5FFDB9B7"/>
    <w:rsid w:val="5FFFC111"/>
    <w:rsid w:val="60185ACF"/>
    <w:rsid w:val="60FF157B"/>
    <w:rsid w:val="616D4A65"/>
    <w:rsid w:val="61777B89"/>
    <w:rsid w:val="626A60E7"/>
    <w:rsid w:val="645A5BAC"/>
    <w:rsid w:val="64DB6F9A"/>
    <w:rsid w:val="65777272"/>
    <w:rsid w:val="662BCFD6"/>
    <w:rsid w:val="667F08E8"/>
    <w:rsid w:val="67396072"/>
    <w:rsid w:val="676FF7CB"/>
    <w:rsid w:val="67BF6B70"/>
    <w:rsid w:val="67E94FB4"/>
    <w:rsid w:val="67FF090E"/>
    <w:rsid w:val="68BE2BB4"/>
    <w:rsid w:val="69361230"/>
    <w:rsid w:val="69675EBB"/>
    <w:rsid w:val="69AF3C43"/>
    <w:rsid w:val="69EB5BFE"/>
    <w:rsid w:val="69EF83E2"/>
    <w:rsid w:val="69F406AD"/>
    <w:rsid w:val="6B7EFB95"/>
    <w:rsid w:val="6B92145E"/>
    <w:rsid w:val="6BE96D65"/>
    <w:rsid w:val="6BEB0B59"/>
    <w:rsid w:val="6CFFB4F6"/>
    <w:rsid w:val="6DB740FF"/>
    <w:rsid w:val="6DB78920"/>
    <w:rsid w:val="6DC34E29"/>
    <w:rsid w:val="6DFF0DFC"/>
    <w:rsid w:val="6DFF263D"/>
    <w:rsid w:val="6DFFB3B0"/>
    <w:rsid w:val="6E7E9B3A"/>
    <w:rsid w:val="6EBF327A"/>
    <w:rsid w:val="6EDF1605"/>
    <w:rsid w:val="6EEDD3EF"/>
    <w:rsid w:val="6EF63FB7"/>
    <w:rsid w:val="6EFE75E2"/>
    <w:rsid w:val="6EFFBD3B"/>
    <w:rsid w:val="6EFFD1AF"/>
    <w:rsid w:val="6F0F0FFF"/>
    <w:rsid w:val="6F1EF796"/>
    <w:rsid w:val="6F4DA78B"/>
    <w:rsid w:val="6F5DC9F0"/>
    <w:rsid w:val="6F5E49BC"/>
    <w:rsid w:val="6F7E8087"/>
    <w:rsid w:val="6F9713D4"/>
    <w:rsid w:val="6FAE5D5D"/>
    <w:rsid w:val="6FDB47B3"/>
    <w:rsid w:val="6FDF2E5B"/>
    <w:rsid w:val="6FED4AD0"/>
    <w:rsid w:val="6FEFFEDF"/>
    <w:rsid w:val="6FF58F05"/>
    <w:rsid w:val="6FF5A77E"/>
    <w:rsid w:val="6FFABABA"/>
    <w:rsid w:val="6FFF41E5"/>
    <w:rsid w:val="70424A70"/>
    <w:rsid w:val="70DDEE4B"/>
    <w:rsid w:val="71DE09F3"/>
    <w:rsid w:val="72B7E403"/>
    <w:rsid w:val="72F7A50A"/>
    <w:rsid w:val="731FB429"/>
    <w:rsid w:val="737FA07C"/>
    <w:rsid w:val="737FFC53"/>
    <w:rsid w:val="73B51771"/>
    <w:rsid w:val="73BE5BFF"/>
    <w:rsid w:val="73DFE641"/>
    <w:rsid w:val="74270412"/>
    <w:rsid w:val="74F69932"/>
    <w:rsid w:val="74FD4FE8"/>
    <w:rsid w:val="7539933F"/>
    <w:rsid w:val="754E7A68"/>
    <w:rsid w:val="757D31DE"/>
    <w:rsid w:val="75AFE8D0"/>
    <w:rsid w:val="75B97D12"/>
    <w:rsid w:val="75E283BD"/>
    <w:rsid w:val="75FDDB11"/>
    <w:rsid w:val="762A3135"/>
    <w:rsid w:val="76F78E8D"/>
    <w:rsid w:val="76FF487A"/>
    <w:rsid w:val="772587C1"/>
    <w:rsid w:val="773BCB5A"/>
    <w:rsid w:val="777B8B76"/>
    <w:rsid w:val="777E176F"/>
    <w:rsid w:val="777F7AE1"/>
    <w:rsid w:val="779C89D2"/>
    <w:rsid w:val="779E9705"/>
    <w:rsid w:val="77BC19B7"/>
    <w:rsid w:val="77BDA92F"/>
    <w:rsid w:val="77BE0CA1"/>
    <w:rsid w:val="77C2083E"/>
    <w:rsid w:val="77D96C14"/>
    <w:rsid w:val="77E538EA"/>
    <w:rsid w:val="77EB794E"/>
    <w:rsid w:val="77F5B78F"/>
    <w:rsid w:val="77FBE0FF"/>
    <w:rsid w:val="77FCFA98"/>
    <w:rsid w:val="783A1FD1"/>
    <w:rsid w:val="793547C6"/>
    <w:rsid w:val="797B2E99"/>
    <w:rsid w:val="79ABC19A"/>
    <w:rsid w:val="79AF6907"/>
    <w:rsid w:val="79BFF678"/>
    <w:rsid w:val="79D69EE4"/>
    <w:rsid w:val="79D9DAED"/>
    <w:rsid w:val="79DFB32B"/>
    <w:rsid w:val="79FE4653"/>
    <w:rsid w:val="79FF1D77"/>
    <w:rsid w:val="7A9AEB68"/>
    <w:rsid w:val="7AAE1A50"/>
    <w:rsid w:val="7ABF0F94"/>
    <w:rsid w:val="7ABF2B69"/>
    <w:rsid w:val="7ADCE253"/>
    <w:rsid w:val="7ADFD7C1"/>
    <w:rsid w:val="7AF916FA"/>
    <w:rsid w:val="7AFBA20B"/>
    <w:rsid w:val="7AFD2091"/>
    <w:rsid w:val="7AFD4D02"/>
    <w:rsid w:val="7AFF58F5"/>
    <w:rsid w:val="7AFFB3D8"/>
    <w:rsid w:val="7AFFD81A"/>
    <w:rsid w:val="7B2C1B2B"/>
    <w:rsid w:val="7B3FF3B2"/>
    <w:rsid w:val="7B6F774D"/>
    <w:rsid w:val="7B96F5A5"/>
    <w:rsid w:val="7B9F04E3"/>
    <w:rsid w:val="7BBDC477"/>
    <w:rsid w:val="7BDB8CE3"/>
    <w:rsid w:val="7BDEA78B"/>
    <w:rsid w:val="7BF0EE26"/>
    <w:rsid w:val="7BF6CAFC"/>
    <w:rsid w:val="7BF76852"/>
    <w:rsid w:val="7BFF0B7A"/>
    <w:rsid w:val="7BFF7838"/>
    <w:rsid w:val="7BFF7BB0"/>
    <w:rsid w:val="7BFFA4FE"/>
    <w:rsid w:val="7CAE5B1B"/>
    <w:rsid w:val="7CDECBAB"/>
    <w:rsid w:val="7CE1BFEB"/>
    <w:rsid w:val="7CEAF52E"/>
    <w:rsid w:val="7CF65519"/>
    <w:rsid w:val="7CFFB650"/>
    <w:rsid w:val="7D3897C6"/>
    <w:rsid w:val="7D3F12A1"/>
    <w:rsid w:val="7D57A4F5"/>
    <w:rsid w:val="7D6B542C"/>
    <w:rsid w:val="7D771E53"/>
    <w:rsid w:val="7D7B1206"/>
    <w:rsid w:val="7DA666D6"/>
    <w:rsid w:val="7DBFD2CF"/>
    <w:rsid w:val="7DDA61A8"/>
    <w:rsid w:val="7DDDB054"/>
    <w:rsid w:val="7DDE7950"/>
    <w:rsid w:val="7DEB7382"/>
    <w:rsid w:val="7DF57309"/>
    <w:rsid w:val="7DF7BB68"/>
    <w:rsid w:val="7DFBE93A"/>
    <w:rsid w:val="7DFF31EC"/>
    <w:rsid w:val="7DFFEB00"/>
    <w:rsid w:val="7E1E5CCA"/>
    <w:rsid w:val="7E3D0D6E"/>
    <w:rsid w:val="7E3F052E"/>
    <w:rsid w:val="7E77EAC3"/>
    <w:rsid w:val="7E7E0351"/>
    <w:rsid w:val="7EBD46AB"/>
    <w:rsid w:val="7EBFFE39"/>
    <w:rsid w:val="7ECD46F3"/>
    <w:rsid w:val="7ED743E8"/>
    <w:rsid w:val="7EDD5D82"/>
    <w:rsid w:val="7EE934C4"/>
    <w:rsid w:val="7EEB7A06"/>
    <w:rsid w:val="7EFAB833"/>
    <w:rsid w:val="7EFB4614"/>
    <w:rsid w:val="7EFD749B"/>
    <w:rsid w:val="7EFD766D"/>
    <w:rsid w:val="7EFE9981"/>
    <w:rsid w:val="7EFFED68"/>
    <w:rsid w:val="7F156270"/>
    <w:rsid w:val="7F4513E6"/>
    <w:rsid w:val="7F5F0661"/>
    <w:rsid w:val="7F5FFF2D"/>
    <w:rsid w:val="7F65DA52"/>
    <w:rsid w:val="7F6EC88A"/>
    <w:rsid w:val="7F6EF265"/>
    <w:rsid w:val="7F6F3E01"/>
    <w:rsid w:val="7F7359A3"/>
    <w:rsid w:val="7F74A4C1"/>
    <w:rsid w:val="7F76D35D"/>
    <w:rsid w:val="7F773308"/>
    <w:rsid w:val="7F7AB27F"/>
    <w:rsid w:val="7F7EE2AF"/>
    <w:rsid w:val="7F7F4338"/>
    <w:rsid w:val="7F7F6735"/>
    <w:rsid w:val="7F7F7D3F"/>
    <w:rsid w:val="7F9C3841"/>
    <w:rsid w:val="7F9F3338"/>
    <w:rsid w:val="7F9F9045"/>
    <w:rsid w:val="7FAD5621"/>
    <w:rsid w:val="7FAFDBED"/>
    <w:rsid w:val="7FB2E7D2"/>
    <w:rsid w:val="7FB59ABB"/>
    <w:rsid w:val="7FB7349F"/>
    <w:rsid w:val="7FB9CD2D"/>
    <w:rsid w:val="7FBA1DBA"/>
    <w:rsid w:val="7FBB977E"/>
    <w:rsid w:val="7FBE2778"/>
    <w:rsid w:val="7FBECC9B"/>
    <w:rsid w:val="7FBF10E2"/>
    <w:rsid w:val="7FBF3EEE"/>
    <w:rsid w:val="7FBF528B"/>
    <w:rsid w:val="7FCD5260"/>
    <w:rsid w:val="7FD71F84"/>
    <w:rsid w:val="7FDCDB3B"/>
    <w:rsid w:val="7FDD20F2"/>
    <w:rsid w:val="7FDF2EF7"/>
    <w:rsid w:val="7FDF7E94"/>
    <w:rsid w:val="7FE221C4"/>
    <w:rsid w:val="7FE3A67E"/>
    <w:rsid w:val="7FEF18A0"/>
    <w:rsid w:val="7FEF8E13"/>
    <w:rsid w:val="7FEF9C63"/>
    <w:rsid w:val="7FEFABFD"/>
    <w:rsid w:val="7FEFFD45"/>
    <w:rsid w:val="7FF3A5D8"/>
    <w:rsid w:val="7FF3C3CD"/>
    <w:rsid w:val="7FF3FC8F"/>
    <w:rsid w:val="7FF6B8AA"/>
    <w:rsid w:val="7FF6CED8"/>
    <w:rsid w:val="7FF75CB9"/>
    <w:rsid w:val="7FF7A590"/>
    <w:rsid w:val="7FF9C1EE"/>
    <w:rsid w:val="7FFAD525"/>
    <w:rsid w:val="7FFB9394"/>
    <w:rsid w:val="7FFCEEFD"/>
    <w:rsid w:val="7FFD671D"/>
    <w:rsid w:val="7FFF9774"/>
    <w:rsid w:val="7FFFB26F"/>
    <w:rsid w:val="7FFFB27B"/>
    <w:rsid w:val="7FFFCBE5"/>
    <w:rsid w:val="7FFFD4B5"/>
    <w:rsid w:val="7FFFDE7E"/>
    <w:rsid w:val="7FFFFE48"/>
    <w:rsid w:val="869DDACA"/>
    <w:rsid w:val="8EE77E4F"/>
    <w:rsid w:val="8FDF128A"/>
    <w:rsid w:val="8FF36DB7"/>
    <w:rsid w:val="8FFE9E2E"/>
    <w:rsid w:val="94FDB7F9"/>
    <w:rsid w:val="94FF3607"/>
    <w:rsid w:val="95F77A6B"/>
    <w:rsid w:val="96FF24E8"/>
    <w:rsid w:val="97C6D604"/>
    <w:rsid w:val="97FB7CE6"/>
    <w:rsid w:val="97FF51CE"/>
    <w:rsid w:val="983F3F4B"/>
    <w:rsid w:val="99FB23B3"/>
    <w:rsid w:val="9BBF0E46"/>
    <w:rsid w:val="9BFB18DF"/>
    <w:rsid w:val="9BFD7E11"/>
    <w:rsid w:val="9CDEA31B"/>
    <w:rsid w:val="9D3F3A4C"/>
    <w:rsid w:val="9F3A8861"/>
    <w:rsid w:val="9F7BCE3B"/>
    <w:rsid w:val="9FB4BD99"/>
    <w:rsid w:val="9FDA1372"/>
    <w:rsid w:val="9FDF31CC"/>
    <w:rsid w:val="9FF91159"/>
    <w:rsid w:val="9FFB1C94"/>
    <w:rsid w:val="A1DB92BA"/>
    <w:rsid w:val="A3BF7A6E"/>
    <w:rsid w:val="A4FFC953"/>
    <w:rsid w:val="A7A759BF"/>
    <w:rsid w:val="A7DBBB39"/>
    <w:rsid w:val="A7FF3554"/>
    <w:rsid w:val="AB77B036"/>
    <w:rsid w:val="AB7C060F"/>
    <w:rsid w:val="ABF7C4D1"/>
    <w:rsid w:val="ACBBBA0D"/>
    <w:rsid w:val="ADFAC2E0"/>
    <w:rsid w:val="ADFF3058"/>
    <w:rsid w:val="AEBF0B41"/>
    <w:rsid w:val="AF1F0AFE"/>
    <w:rsid w:val="AF7FA2B4"/>
    <w:rsid w:val="AF8C3F21"/>
    <w:rsid w:val="AF8FFF3B"/>
    <w:rsid w:val="AFB723C9"/>
    <w:rsid w:val="AFFFF0EE"/>
    <w:rsid w:val="B53E8DB0"/>
    <w:rsid w:val="B5B2263E"/>
    <w:rsid w:val="B67ED74B"/>
    <w:rsid w:val="B6EFEBC8"/>
    <w:rsid w:val="B6F5B2DB"/>
    <w:rsid w:val="B7683BFF"/>
    <w:rsid w:val="B7DFE060"/>
    <w:rsid w:val="B7F6B58A"/>
    <w:rsid w:val="B7FB09B9"/>
    <w:rsid w:val="B7FC9887"/>
    <w:rsid w:val="B7FD9431"/>
    <w:rsid w:val="B9D77ADA"/>
    <w:rsid w:val="B9FFB812"/>
    <w:rsid w:val="BB9CCD26"/>
    <w:rsid w:val="BBAE740E"/>
    <w:rsid w:val="BBAF8B5F"/>
    <w:rsid w:val="BBC8831B"/>
    <w:rsid w:val="BCFBDD9E"/>
    <w:rsid w:val="BD655EEA"/>
    <w:rsid w:val="BDAE5644"/>
    <w:rsid w:val="BDDE8383"/>
    <w:rsid w:val="BDFDDE43"/>
    <w:rsid w:val="BE37FC8F"/>
    <w:rsid w:val="BE4B00DC"/>
    <w:rsid w:val="BE571C8B"/>
    <w:rsid w:val="BE7C6463"/>
    <w:rsid w:val="BEAF3918"/>
    <w:rsid w:val="BEBFB2C6"/>
    <w:rsid w:val="BECD101F"/>
    <w:rsid w:val="BEEF9D35"/>
    <w:rsid w:val="BEF7C3A1"/>
    <w:rsid w:val="BF4BD5A7"/>
    <w:rsid w:val="BF672029"/>
    <w:rsid w:val="BFA0262D"/>
    <w:rsid w:val="BFB7CE2B"/>
    <w:rsid w:val="BFBAFAD5"/>
    <w:rsid w:val="BFD42DF6"/>
    <w:rsid w:val="BFDA1ED4"/>
    <w:rsid w:val="BFDFDFD9"/>
    <w:rsid w:val="BFEBBC6E"/>
    <w:rsid w:val="BFEF5FFF"/>
    <w:rsid w:val="BFF720CF"/>
    <w:rsid w:val="BFFC29C5"/>
    <w:rsid w:val="BFFF4E2B"/>
    <w:rsid w:val="BFFFC28D"/>
    <w:rsid w:val="C15FE2D7"/>
    <w:rsid w:val="C6FEC181"/>
    <w:rsid w:val="C7BF2ACF"/>
    <w:rsid w:val="C7F79D3B"/>
    <w:rsid w:val="C9EA5742"/>
    <w:rsid w:val="CB9F1240"/>
    <w:rsid w:val="CBB82702"/>
    <w:rsid w:val="CBDC6C85"/>
    <w:rsid w:val="CD7F835E"/>
    <w:rsid w:val="CDFB3ACB"/>
    <w:rsid w:val="CDFFE013"/>
    <w:rsid w:val="CE5FDF3C"/>
    <w:rsid w:val="CE7F3602"/>
    <w:rsid w:val="CF7DBCF9"/>
    <w:rsid w:val="CF7F9057"/>
    <w:rsid w:val="CF97264A"/>
    <w:rsid w:val="CFCA0001"/>
    <w:rsid w:val="CFDBC38D"/>
    <w:rsid w:val="CFDF2AF4"/>
    <w:rsid w:val="CFFB5A73"/>
    <w:rsid w:val="CFFD56F7"/>
    <w:rsid w:val="CFFFE25E"/>
    <w:rsid w:val="D56B49E7"/>
    <w:rsid w:val="D63C48EA"/>
    <w:rsid w:val="D6FD385E"/>
    <w:rsid w:val="D7B5398A"/>
    <w:rsid w:val="D7DA8F7B"/>
    <w:rsid w:val="D7DFEC15"/>
    <w:rsid w:val="D7E7EB5E"/>
    <w:rsid w:val="D7EBDEE1"/>
    <w:rsid w:val="D7FF4D17"/>
    <w:rsid w:val="D8EB152E"/>
    <w:rsid w:val="D9BDFA27"/>
    <w:rsid w:val="D9F7F492"/>
    <w:rsid w:val="D9FF4A30"/>
    <w:rsid w:val="DADF5E61"/>
    <w:rsid w:val="DB37AA42"/>
    <w:rsid w:val="DB7D4AA3"/>
    <w:rsid w:val="DBBE2281"/>
    <w:rsid w:val="DBBF6F2B"/>
    <w:rsid w:val="DBF421BD"/>
    <w:rsid w:val="DCECF78F"/>
    <w:rsid w:val="DD6D1D66"/>
    <w:rsid w:val="DD9C11E8"/>
    <w:rsid w:val="DDD7C777"/>
    <w:rsid w:val="DDDF9A5B"/>
    <w:rsid w:val="DDEB209C"/>
    <w:rsid w:val="DDF7BEB9"/>
    <w:rsid w:val="DDFBE280"/>
    <w:rsid w:val="DDFF01CE"/>
    <w:rsid w:val="DE9970DB"/>
    <w:rsid w:val="DEBDA1B0"/>
    <w:rsid w:val="DECFCA45"/>
    <w:rsid w:val="DEF22306"/>
    <w:rsid w:val="DEF55A9C"/>
    <w:rsid w:val="DEF87B44"/>
    <w:rsid w:val="DEFFAE64"/>
    <w:rsid w:val="DF2EA739"/>
    <w:rsid w:val="DF3FCD8D"/>
    <w:rsid w:val="DF4D6803"/>
    <w:rsid w:val="DF6ECFE4"/>
    <w:rsid w:val="DF7FE58B"/>
    <w:rsid w:val="DFAFF021"/>
    <w:rsid w:val="DFBD66A7"/>
    <w:rsid w:val="DFBFB32C"/>
    <w:rsid w:val="DFDEA4E0"/>
    <w:rsid w:val="DFE72300"/>
    <w:rsid w:val="DFEF4734"/>
    <w:rsid w:val="DFF7ECD2"/>
    <w:rsid w:val="DFFC4B6D"/>
    <w:rsid w:val="DFFD0AF5"/>
    <w:rsid w:val="DFFD20DE"/>
    <w:rsid w:val="DFFE10B1"/>
    <w:rsid w:val="DFFEA0C9"/>
    <w:rsid w:val="DFFF1305"/>
    <w:rsid w:val="DFFFDF80"/>
    <w:rsid w:val="E1F965CF"/>
    <w:rsid w:val="E3FF0DCF"/>
    <w:rsid w:val="E4DF7F8F"/>
    <w:rsid w:val="E65FF0A3"/>
    <w:rsid w:val="E7566DAB"/>
    <w:rsid w:val="E779D38A"/>
    <w:rsid w:val="E77F000E"/>
    <w:rsid w:val="E77FD953"/>
    <w:rsid w:val="E7BF3E61"/>
    <w:rsid w:val="E7EB5DA9"/>
    <w:rsid w:val="E7FA17DC"/>
    <w:rsid w:val="E7FF3CDD"/>
    <w:rsid w:val="E8F6C72D"/>
    <w:rsid w:val="E8FF3E9C"/>
    <w:rsid w:val="E8FFB92E"/>
    <w:rsid w:val="E97FC7F3"/>
    <w:rsid w:val="E9DEAC92"/>
    <w:rsid w:val="EADA5092"/>
    <w:rsid w:val="EB9AE22B"/>
    <w:rsid w:val="EBED4AEB"/>
    <w:rsid w:val="EBFE014B"/>
    <w:rsid w:val="EBFF4EFE"/>
    <w:rsid w:val="EBFF8C58"/>
    <w:rsid w:val="EBFFC4A7"/>
    <w:rsid w:val="ECBEB972"/>
    <w:rsid w:val="ECBF47C7"/>
    <w:rsid w:val="ECBF81B1"/>
    <w:rsid w:val="ECDFD9E5"/>
    <w:rsid w:val="ED5EE1A3"/>
    <w:rsid w:val="ED6DF23C"/>
    <w:rsid w:val="ED6F5C2F"/>
    <w:rsid w:val="ED6F8231"/>
    <w:rsid w:val="ED9DC764"/>
    <w:rsid w:val="EDAC993F"/>
    <w:rsid w:val="EDEB3623"/>
    <w:rsid w:val="EDFA8C59"/>
    <w:rsid w:val="EDFF2FA3"/>
    <w:rsid w:val="EDFFF7FE"/>
    <w:rsid w:val="EE7FCA01"/>
    <w:rsid w:val="EEAE9E1D"/>
    <w:rsid w:val="EEAFEDF4"/>
    <w:rsid w:val="EEBD4B34"/>
    <w:rsid w:val="EEBF696A"/>
    <w:rsid w:val="EEEEABEB"/>
    <w:rsid w:val="EEFF091A"/>
    <w:rsid w:val="EF4E2503"/>
    <w:rsid w:val="EF67BD34"/>
    <w:rsid w:val="EF744E76"/>
    <w:rsid w:val="EF7723C9"/>
    <w:rsid w:val="EF9D3F5D"/>
    <w:rsid w:val="EF9FF9D6"/>
    <w:rsid w:val="EFA72EE9"/>
    <w:rsid w:val="EFBB4774"/>
    <w:rsid w:val="EFBF7A35"/>
    <w:rsid w:val="EFBF8E55"/>
    <w:rsid w:val="EFDDD301"/>
    <w:rsid w:val="EFEB8DBE"/>
    <w:rsid w:val="EFEF1247"/>
    <w:rsid w:val="EFF60730"/>
    <w:rsid w:val="EFFB61A4"/>
    <w:rsid w:val="EFFBD30A"/>
    <w:rsid w:val="EFFD6B1C"/>
    <w:rsid w:val="EFFE83F3"/>
    <w:rsid w:val="F0DF8D9D"/>
    <w:rsid w:val="F0FB2005"/>
    <w:rsid w:val="F0FFD219"/>
    <w:rsid w:val="F17DF9B6"/>
    <w:rsid w:val="F17EB1D2"/>
    <w:rsid w:val="F1CFE81F"/>
    <w:rsid w:val="F1D797B3"/>
    <w:rsid w:val="F23ED0DD"/>
    <w:rsid w:val="F2DE3EFE"/>
    <w:rsid w:val="F3BFEE0A"/>
    <w:rsid w:val="F3C76ADC"/>
    <w:rsid w:val="F3E258DD"/>
    <w:rsid w:val="F437F64B"/>
    <w:rsid w:val="F4BFBCDF"/>
    <w:rsid w:val="F52B829B"/>
    <w:rsid w:val="F5A7625E"/>
    <w:rsid w:val="F5BE4FE5"/>
    <w:rsid w:val="F5EEB797"/>
    <w:rsid w:val="F657DD69"/>
    <w:rsid w:val="F67F1D87"/>
    <w:rsid w:val="F67F7E7F"/>
    <w:rsid w:val="F6BF9F3B"/>
    <w:rsid w:val="F6FF47BB"/>
    <w:rsid w:val="F6FFAF89"/>
    <w:rsid w:val="F71F2573"/>
    <w:rsid w:val="F74EB729"/>
    <w:rsid w:val="F7773FB1"/>
    <w:rsid w:val="F77F9F1F"/>
    <w:rsid w:val="F7BA0131"/>
    <w:rsid w:val="F7BCE4B3"/>
    <w:rsid w:val="F7CFAA6D"/>
    <w:rsid w:val="F7D64ABC"/>
    <w:rsid w:val="F7DB95CA"/>
    <w:rsid w:val="F7F748BD"/>
    <w:rsid w:val="F7F95DF6"/>
    <w:rsid w:val="F7FA5434"/>
    <w:rsid w:val="F7FB1C27"/>
    <w:rsid w:val="F7FE31DB"/>
    <w:rsid w:val="F7FE8C75"/>
    <w:rsid w:val="F88F2F39"/>
    <w:rsid w:val="F8AF296D"/>
    <w:rsid w:val="F90F96F7"/>
    <w:rsid w:val="F9334AA8"/>
    <w:rsid w:val="F947EC72"/>
    <w:rsid w:val="F9772CED"/>
    <w:rsid w:val="F9D6BF95"/>
    <w:rsid w:val="F9D762E4"/>
    <w:rsid w:val="F9F3BC8E"/>
    <w:rsid w:val="FA3144ED"/>
    <w:rsid w:val="FA7AD007"/>
    <w:rsid w:val="FAF7613C"/>
    <w:rsid w:val="FAF9AEDD"/>
    <w:rsid w:val="FB17C95F"/>
    <w:rsid w:val="FB3679B7"/>
    <w:rsid w:val="FB37C0BA"/>
    <w:rsid w:val="FB3F4A47"/>
    <w:rsid w:val="FB7FB783"/>
    <w:rsid w:val="FB9DFAAB"/>
    <w:rsid w:val="FBBACC48"/>
    <w:rsid w:val="FBBED9D7"/>
    <w:rsid w:val="FBBFBB6F"/>
    <w:rsid w:val="FBC08DCD"/>
    <w:rsid w:val="FBD67B9A"/>
    <w:rsid w:val="FBD7FFA7"/>
    <w:rsid w:val="FBDAD2AE"/>
    <w:rsid w:val="FBDC28B9"/>
    <w:rsid w:val="FBDF823A"/>
    <w:rsid w:val="FBEDB77E"/>
    <w:rsid w:val="FBF59882"/>
    <w:rsid w:val="FBFBB5A0"/>
    <w:rsid w:val="FBFF5C7A"/>
    <w:rsid w:val="FBFFBCB5"/>
    <w:rsid w:val="FCCE718A"/>
    <w:rsid w:val="FCDA46A8"/>
    <w:rsid w:val="FCF3F7AE"/>
    <w:rsid w:val="FCFF1215"/>
    <w:rsid w:val="FCFF6FF0"/>
    <w:rsid w:val="FD3F6B6D"/>
    <w:rsid w:val="FD75ACA5"/>
    <w:rsid w:val="FD7B78C1"/>
    <w:rsid w:val="FDABCD02"/>
    <w:rsid w:val="FDAF1E02"/>
    <w:rsid w:val="FDB41AF9"/>
    <w:rsid w:val="FDB7B079"/>
    <w:rsid w:val="FDBD64A7"/>
    <w:rsid w:val="FDBF438A"/>
    <w:rsid w:val="FDCF1865"/>
    <w:rsid w:val="FDD32E04"/>
    <w:rsid w:val="FDDD67C0"/>
    <w:rsid w:val="FDDF157E"/>
    <w:rsid w:val="FDDF7F8E"/>
    <w:rsid w:val="FDEFDAE1"/>
    <w:rsid w:val="FDF16CCC"/>
    <w:rsid w:val="FDF1EF98"/>
    <w:rsid w:val="FDF72355"/>
    <w:rsid w:val="FDF9D880"/>
    <w:rsid w:val="FDFC78D4"/>
    <w:rsid w:val="FDFD28E8"/>
    <w:rsid w:val="FDFF4818"/>
    <w:rsid w:val="FDFF6A9E"/>
    <w:rsid w:val="FDFFB8E4"/>
    <w:rsid w:val="FDFFC391"/>
    <w:rsid w:val="FDFFC5BE"/>
    <w:rsid w:val="FE2F3EF0"/>
    <w:rsid w:val="FE3F8C64"/>
    <w:rsid w:val="FE5E626D"/>
    <w:rsid w:val="FE6F11CA"/>
    <w:rsid w:val="FE7EAC80"/>
    <w:rsid w:val="FE86D264"/>
    <w:rsid w:val="FE87D985"/>
    <w:rsid w:val="FEAFDF3B"/>
    <w:rsid w:val="FEBF6BCC"/>
    <w:rsid w:val="FEDC8EEE"/>
    <w:rsid w:val="FEDEFA73"/>
    <w:rsid w:val="FEF752E6"/>
    <w:rsid w:val="FEF7E766"/>
    <w:rsid w:val="FEFB71D6"/>
    <w:rsid w:val="FEFB86BD"/>
    <w:rsid w:val="FEFE3D4D"/>
    <w:rsid w:val="FEFEF01C"/>
    <w:rsid w:val="FF1B7F5F"/>
    <w:rsid w:val="FF1F6B8C"/>
    <w:rsid w:val="FF3DDCC5"/>
    <w:rsid w:val="FF3F29D2"/>
    <w:rsid w:val="FF3FB06C"/>
    <w:rsid w:val="FF46ECEE"/>
    <w:rsid w:val="FF513FAA"/>
    <w:rsid w:val="FF5F9C96"/>
    <w:rsid w:val="FF6929A6"/>
    <w:rsid w:val="FF734CDE"/>
    <w:rsid w:val="FF73DAD7"/>
    <w:rsid w:val="FF7C3AB7"/>
    <w:rsid w:val="FF7D59F0"/>
    <w:rsid w:val="FF7ED0A6"/>
    <w:rsid w:val="FF7F6A55"/>
    <w:rsid w:val="FFADD265"/>
    <w:rsid w:val="FFAF3C6B"/>
    <w:rsid w:val="FFAF4A5C"/>
    <w:rsid w:val="FFBB8872"/>
    <w:rsid w:val="FFBBAA47"/>
    <w:rsid w:val="FFBF6D14"/>
    <w:rsid w:val="FFBFCF0C"/>
    <w:rsid w:val="FFC76103"/>
    <w:rsid w:val="FFD7FEC1"/>
    <w:rsid w:val="FFDA96D8"/>
    <w:rsid w:val="FFDDE0E3"/>
    <w:rsid w:val="FFDEC6CF"/>
    <w:rsid w:val="FFE3FA90"/>
    <w:rsid w:val="FFE55971"/>
    <w:rsid w:val="FFEE4F9F"/>
    <w:rsid w:val="FFEEA80D"/>
    <w:rsid w:val="FFEFC44A"/>
    <w:rsid w:val="FFEFC4BD"/>
    <w:rsid w:val="FFF47665"/>
    <w:rsid w:val="FFF58084"/>
    <w:rsid w:val="FFF79986"/>
    <w:rsid w:val="FFF8AEA6"/>
    <w:rsid w:val="FFF908FD"/>
    <w:rsid w:val="FFFB1B05"/>
    <w:rsid w:val="FFFB3D03"/>
    <w:rsid w:val="FFFBDBBC"/>
    <w:rsid w:val="FFFBF126"/>
    <w:rsid w:val="FFFCF7FB"/>
    <w:rsid w:val="FFFD113A"/>
    <w:rsid w:val="FFFF32D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宋体"/>
      <w:kern w:val="2"/>
      <w:sz w:val="32"/>
      <w:szCs w:val="3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qFormat/>
    <w:uiPriority w:val="0"/>
    <w:pPr>
      <w:spacing w:line="520" w:lineRule="exact"/>
      <w:ind w:firstLine="640" w:firstLineChars="200"/>
    </w:pPr>
    <w:rPr>
      <w:rFonts w:ascii="Times New Roman" w:hAnsi="Times New Roman" w:eastAsia="宋体"/>
    </w:rPr>
  </w:style>
  <w:style w:type="paragraph" w:styleId="3">
    <w:name w:val="annotation text"/>
    <w:basedOn w:val="1"/>
    <w:qFormat/>
    <w:uiPriority w:val="0"/>
    <w:pPr>
      <w:jc w:val="left"/>
    </w:pPr>
  </w:style>
  <w:style w:type="paragraph" w:styleId="4">
    <w:name w:val="footer"/>
    <w:basedOn w:val="1"/>
    <w:qFormat/>
    <w:uiPriority w:val="99"/>
    <w:pPr>
      <w:tabs>
        <w:tab w:val="center" w:pos="4153"/>
        <w:tab w:val="right" w:pos="8306"/>
      </w:tabs>
      <w:snapToGrid w:val="0"/>
      <w:jc w:val="left"/>
    </w:pPr>
    <w:rPr>
      <w:rFonts w:ascii="Times New Roman" w:hAnsi="Times New Roman"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150" w:after="150" w:line="480" w:lineRule="auto"/>
      <w:jc w:val="left"/>
    </w:pPr>
    <w:rPr>
      <w:rFonts w:ascii="宋体" w:eastAsia="宋体"/>
      <w:color w:val="000000"/>
      <w:kern w:val="0"/>
      <w:sz w:val="21"/>
      <w:szCs w:val="21"/>
    </w:rPr>
  </w:style>
  <w:style w:type="paragraph" w:customStyle="1" w:styleId="10">
    <w:name w:val="WW-Default"/>
    <w:qFormat/>
    <w:uiPriority w:val="99"/>
    <w:pPr>
      <w:widowControl w:val="0"/>
      <w:suppressAutoHyphens/>
      <w:autoSpaceDE w:val="0"/>
    </w:pPr>
    <w:rPr>
      <w:rFonts w:ascii="Calibri" w:hAnsi="Calibri" w:eastAsia="宋体" w:cs="Times New Roman"/>
      <w:color w:val="000000"/>
      <w:sz w:val="24"/>
      <w:szCs w:val="24"/>
      <w:lang w:val="en-US" w:eastAsia="zh-CN" w:bidi="ar-SA"/>
    </w:rPr>
  </w:style>
  <w:style w:type="character" w:customStyle="1" w:styleId="11">
    <w:name w:val="artcontent"/>
    <w:qFormat/>
    <w:uiPriority w:val="0"/>
    <w:rPr>
      <w:sz w:val="30"/>
    </w:rPr>
  </w:style>
  <w:style w:type="paragraph" w:customStyle="1" w:styleId="12">
    <w:name w:val="List Paragraph"/>
    <w:basedOn w:val="1"/>
    <w:qFormat/>
    <w:uiPriority w:val="0"/>
    <w:pPr>
      <w:ind w:firstLine="420" w:firstLineChars="200"/>
    </w:pPr>
    <w:rPr>
      <w:rFonts w:ascii="Times New Roman" w:hAnsi="Times New Roman" w:eastAsia="宋体" w:cs="Times New Roman"/>
      <w:sz w:val="21"/>
      <w:szCs w:val="24"/>
    </w:rPr>
  </w:style>
  <w:style w:type="paragraph" w:customStyle="1" w:styleId="13">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14283</Words>
  <Characters>14320</Characters>
  <Lines>0</Lines>
  <Paragraphs>0</Paragraphs>
  <TotalTime>5</TotalTime>
  <ScaleCrop>false</ScaleCrop>
  <LinksUpToDate>false</LinksUpToDate>
  <CharactersWithSpaces>14363</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2023-10-25T09:01:00Z</dcterms:created>
  <dc:creator>user</dc:creator>
  <cp:lastModifiedBy>吴晓玲</cp:lastModifiedBy>
  <cp:lastPrinted>2025-09-28T13:16:00Z</cp:lastPrinted>
  <dcterms:modified xsi:type="dcterms:W3CDTF">2026-03-25T11:18:37Z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E0BA97F494195436A865A169A38CC884_43</vt:lpwstr>
  </property>
  <property fmtid="{D5CDD505-2E9C-101B-9397-08002B2CF9AE}" pid="4" name="KSOTemplateDocerSaveRecord">
    <vt:lpwstr>eyJoZGlkIjoiMjc4ZmZlODQ1NmNiOTIwNjFmZTBjODFhZWEyYzU1YmYiLCJ1c2VySWQiOiIyMjU5ODY0MDEifQ==</vt:lpwstr>
  </property>
</Properties>
</file>