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Lines="0" w:afterLines="0" w:line="560" w:lineRule="exact"/>
        <w:ind w:firstLine="0" w:firstLineChars="0"/>
        <w:jc w:val="both"/>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w:t>
      </w:r>
    </w:p>
    <w:p>
      <w:pPr>
        <w:shd w:val="clear"/>
        <w:spacing w:beforeLines="0" w:afterLines="0" w:line="560" w:lineRule="exact"/>
        <w:ind w:firstLine="0" w:firstLineChars="0"/>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val="en" w:eastAsia="zh-CN"/>
        </w:rPr>
        <w:t>光明区</w:t>
      </w:r>
      <w:r>
        <w:rPr>
          <w:rFonts w:hint="eastAsia" w:ascii="方正小标宋简体" w:hAnsi="方正小标宋简体" w:eastAsia="方正小标宋简体" w:cs="方正小标宋简体"/>
          <w:b w:val="0"/>
          <w:bCs w:val="0"/>
          <w:sz w:val="44"/>
          <w:szCs w:val="44"/>
          <w:highlight w:val="none"/>
          <w:lang w:val="en"/>
        </w:rPr>
        <w:t>“十五五”规划</w:t>
      </w:r>
      <w:r>
        <w:rPr>
          <w:rFonts w:hint="eastAsia" w:ascii="方正小标宋简体" w:hAnsi="方正小标宋简体" w:eastAsia="方正小标宋简体" w:cs="方正小标宋简体"/>
          <w:b w:val="0"/>
          <w:bCs w:val="0"/>
          <w:sz w:val="44"/>
          <w:szCs w:val="44"/>
          <w:highlight w:val="none"/>
          <w:lang w:val="en" w:eastAsia="zh-CN"/>
        </w:rPr>
        <w:t>纲要</w:t>
      </w:r>
      <w:r>
        <w:rPr>
          <w:rFonts w:hint="eastAsia" w:ascii="方正小标宋简体" w:hAnsi="方正小标宋简体" w:eastAsia="方正小标宋简体" w:cs="方正小标宋简体"/>
          <w:b w:val="0"/>
          <w:bCs w:val="0"/>
          <w:sz w:val="44"/>
          <w:szCs w:val="44"/>
          <w:highlight w:val="none"/>
          <w:lang w:val="en"/>
        </w:rPr>
        <w:t>研究</w:t>
      </w:r>
    </w:p>
    <w:p>
      <w:pPr>
        <w:shd w:val="clear"/>
        <w:spacing w:beforeLines="0" w:afterLines="0" w:line="560" w:lineRule="exact"/>
        <w:ind w:firstLine="0" w:firstLineChars="0"/>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项目招标书</w:t>
      </w:r>
    </w:p>
    <w:p>
      <w:pPr>
        <w:shd w:val="clear"/>
        <w:adjustRightInd/>
        <w:snapToGrid/>
        <w:spacing w:beforeLines="0" w:afterLines="0" w:line="560" w:lineRule="exact"/>
        <w:ind w:firstLine="643"/>
        <w:rPr>
          <w:rFonts w:hint="eastAsia" w:ascii="黑体" w:hAnsi="黑体" w:eastAsia="黑体"/>
          <w:b/>
          <w:bCs/>
          <w:highlight w:val="none"/>
        </w:rPr>
      </w:pPr>
    </w:p>
    <w:p>
      <w:pPr>
        <w:shd w:val="clear"/>
        <w:spacing w:beforeLines="0" w:afterLines="0" w:line="560" w:lineRule="exact"/>
        <w:ind w:firstLine="640"/>
        <w:rPr>
          <w:rFonts w:hint="eastAsia" w:ascii="黑体" w:hAnsi="黑体" w:eastAsia="黑体"/>
          <w:highlight w:val="none"/>
        </w:rPr>
      </w:pPr>
      <w:r>
        <w:rPr>
          <w:rFonts w:hint="eastAsia" w:ascii="黑体" w:hAnsi="黑体" w:eastAsia="黑体"/>
          <w:highlight w:val="none"/>
        </w:rPr>
        <w:t>一、项目概况</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（一）项目名称：</w:t>
      </w:r>
      <w:r>
        <w:rPr>
          <w:rFonts w:hint="eastAsia" w:hAnsi="仿宋_GB2312" w:cs="仿宋_GB2312"/>
          <w:szCs w:val="21"/>
          <w:highlight w:val="none"/>
          <w:lang w:val="en" w:eastAsia="zh-CN"/>
        </w:rPr>
        <w:t>光明区</w:t>
      </w:r>
      <w:r>
        <w:rPr>
          <w:rFonts w:hint="eastAsia" w:hAnsi="仿宋_GB2312" w:cs="仿宋_GB2312"/>
          <w:szCs w:val="21"/>
          <w:highlight w:val="none"/>
          <w:lang w:val="en"/>
        </w:rPr>
        <w:t>“十五五”规划</w:t>
      </w:r>
      <w:r>
        <w:rPr>
          <w:rFonts w:hint="eastAsia" w:hAnsi="仿宋_GB2312" w:cs="仿宋_GB2312"/>
          <w:szCs w:val="21"/>
          <w:highlight w:val="none"/>
          <w:lang w:val="en" w:eastAsia="zh-CN"/>
        </w:rPr>
        <w:t>纲要</w:t>
      </w:r>
      <w:r>
        <w:rPr>
          <w:rFonts w:hint="eastAsia" w:hAnsi="仿宋_GB2312" w:cs="仿宋_GB2312"/>
          <w:szCs w:val="21"/>
          <w:highlight w:val="none"/>
          <w:lang w:val="en"/>
        </w:rPr>
        <w:t>研究</w:t>
      </w:r>
      <w:r>
        <w:rPr>
          <w:rFonts w:hint="eastAsia" w:hAnsi="仿宋" w:cs="仿宋_GB2312"/>
          <w:highlight w:val="none"/>
        </w:rPr>
        <w:t>。</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（二）服务期限：自合同签订之日起</w:t>
      </w:r>
      <w:r>
        <w:rPr>
          <w:rFonts w:hint="eastAsia" w:hAnsi="仿宋" w:cs="仿宋_GB2312"/>
          <w:highlight w:val="none"/>
          <w:lang w:val="en-US" w:eastAsia="zh-CN"/>
        </w:rPr>
        <w:t>15个月</w:t>
      </w:r>
      <w:r>
        <w:rPr>
          <w:rFonts w:hint="eastAsia" w:hAnsi="仿宋" w:cs="仿宋_GB2312"/>
          <w:highlight w:val="none"/>
        </w:rPr>
        <w:t>。</w:t>
      </w:r>
    </w:p>
    <w:p>
      <w:pPr>
        <w:shd w:val="clear"/>
        <w:spacing w:beforeLines="0" w:afterLines="0" w:line="560" w:lineRule="exact"/>
        <w:ind w:firstLine="640"/>
        <w:rPr>
          <w:rFonts w:hint="eastAsia" w:ascii="仿宋_GB2312" w:hAnsi="仿宋_GB2312" w:eastAsia="仿宋_GB2312" w:cs="仿宋_GB2312"/>
          <w:szCs w:val="21"/>
          <w:highlight w:val="none"/>
          <w:lang w:val="en" w:eastAsia="zh-CN"/>
        </w:rPr>
      </w:pPr>
      <w:r>
        <w:rPr>
          <w:rFonts w:hint="eastAsia" w:hAnsi="仿宋" w:cs="仿宋_GB2312"/>
          <w:highlight w:val="none"/>
        </w:rPr>
        <w:t>（三）项目预算：预算金额不超过9</w:t>
      </w:r>
      <w:r>
        <w:rPr>
          <w:rFonts w:hint="eastAsia" w:hAnsi="仿宋" w:cs="仿宋_GB2312"/>
          <w:highlight w:val="none"/>
          <w:lang w:val="en-US" w:eastAsia="zh-CN"/>
        </w:rPr>
        <w:t>0</w:t>
      </w:r>
      <w:r>
        <w:rPr>
          <w:rFonts w:hint="eastAsia" w:hAnsi="仿宋" w:cs="仿宋_GB2312"/>
          <w:highlight w:val="none"/>
        </w:rPr>
        <w:t>万元</w:t>
      </w:r>
      <w:r>
        <w:rPr>
          <w:rFonts w:hint="eastAsia" w:hAnsi="仿宋" w:cs="仿宋_GB2312"/>
          <w:highlight w:val="none"/>
          <w:lang w:val="en-US" w:eastAsia="zh-CN"/>
        </w:rPr>
        <w:t>。</w:t>
      </w:r>
    </w:p>
    <w:p>
      <w:pPr>
        <w:shd w:val="clear"/>
        <w:spacing w:beforeLines="0" w:afterLines="0" w:line="560" w:lineRule="exact"/>
        <w:ind w:firstLine="640"/>
        <w:rPr>
          <w:rFonts w:hint="eastAsia" w:ascii="黑体" w:hAnsi="黑体" w:eastAsia="黑体"/>
          <w:highlight w:val="none"/>
        </w:rPr>
      </w:pPr>
      <w:r>
        <w:rPr>
          <w:rFonts w:hint="eastAsia" w:ascii="黑体" w:hAnsi="黑体" w:eastAsia="黑体"/>
          <w:highlight w:val="none"/>
        </w:rPr>
        <w:t>二、项目内容</w:t>
      </w:r>
    </w:p>
    <w:p>
      <w:pPr>
        <w:widowControl w:val="0"/>
        <w:shd w:val="clear"/>
        <w:spacing w:beforeLines="0" w:afterLines="0" w:line="560" w:lineRule="exact"/>
        <w:ind w:firstLine="640"/>
        <w:rPr>
          <w:rFonts w:hint="eastAsia" w:ascii="楷体_GB2312" w:hAnsi="楷体_GB2312" w:eastAsia="楷体_GB2312" w:cs="楷体_GB2312"/>
          <w:highlight w:val="none"/>
        </w:rPr>
      </w:pPr>
      <w:r>
        <w:rPr>
          <w:rFonts w:hint="eastAsia" w:ascii="楷体_GB2312" w:hAnsi="楷体_GB2312" w:eastAsia="楷体_GB2312" w:cs="楷体_GB2312"/>
          <w:color w:val="000000" w:themeColor="text1"/>
          <w:highlight w:val="none"/>
          <w14:textFill>
            <w14:solidFill>
              <w14:schemeClr w14:val="tx1"/>
            </w14:solidFill>
          </w14:textFill>
        </w:rPr>
        <w:t>（一）</w:t>
      </w:r>
      <w:r>
        <w:rPr>
          <w:rFonts w:hint="eastAsia" w:ascii="楷体_GB2312" w:hAnsi="楷体_GB2312" w:eastAsia="楷体_GB2312" w:cs="楷体_GB2312"/>
          <w:color w:val="000000" w:themeColor="text1"/>
          <w:highlight w:val="none"/>
          <w:lang w:eastAsia="zh-CN"/>
          <w14:textFill>
            <w14:solidFill>
              <w14:schemeClr w14:val="tx1"/>
            </w14:solidFill>
          </w14:textFill>
        </w:rPr>
        <w:t>光明</w:t>
      </w:r>
      <w:r>
        <w:rPr>
          <w:rFonts w:hint="eastAsia" w:ascii="楷体_GB2312" w:hAnsi="楷体_GB2312" w:eastAsia="楷体_GB2312" w:cs="楷体_GB2312"/>
          <w:color w:val="000000" w:themeColor="text1"/>
          <w:highlight w:val="none"/>
          <w14:textFill>
            <w14:solidFill>
              <w14:schemeClr w14:val="tx1"/>
            </w14:solidFill>
          </w14:textFill>
        </w:rPr>
        <w:t>“十</w:t>
      </w:r>
      <w:r>
        <w:rPr>
          <w:rFonts w:hint="eastAsia" w:ascii="楷体_GB2312" w:hAnsi="楷体_GB2312" w:eastAsia="楷体_GB2312" w:cs="楷体_GB2312"/>
          <w:color w:val="000000" w:themeColor="text1"/>
          <w:highlight w:val="none"/>
          <w:lang w:eastAsia="zh-CN"/>
          <w14:textFill>
            <w14:solidFill>
              <w14:schemeClr w14:val="tx1"/>
            </w14:solidFill>
          </w14:textFill>
        </w:rPr>
        <w:t>五</w:t>
      </w:r>
      <w:r>
        <w:rPr>
          <w:rFonts w:hint="eastAsia" w:ascii="楷体_GB2312" w:hAnsi="楷体_GB2312" w:eastAsia="楷体_GB2312" w:cs="楷体_GB2312"/>
          <w:color w:val="000000" w:themeColor="text1"/>
          <w:highlight w:val="none"/>
          <w14:textFill>
            <w14:solidFill>
              <w14:schemeClr w14:val="tx1"/>
            </w14:solidFill>
          </w14:textFill>
        </w:rPr>
        <w:t>五”</w:t>
      </w:r>
      <w:r>
        <w:rPr>
          <w:rFonts w:hint="eastAsia" w:ascii="楷体_GB2312" w:hAnsi="楷体_GB2312" w:eastAsia="楷体_GB2312" w:cs="楷体_GB2312"/>
          <w:color w:val="000000" w:themeColor="text1"/>
          <w:highlight w:val="none"/>
          <w:lang w:eastAsia="zh-CN"/>
          <w14:textFill>
            <w14:solidFill>
              <w14:schemeClr w14:val="tx1"/>
            </w14:solidFill>
          </w14:textFill>
        </w:rPr>
        <w:t>规划前期研究</w:t>
      </w:r>
    </w:p>
    <w:p>
      <w:pPr>
        <w:shd w:val="clea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展现状与问题研究。基于光明区“十四五”时期国民经济和社会发展情况，对光明区国民经济和社会发展现状进行分析研究，并与深圳市和市内兄弟区进行对比分析，分析光明区经济社会发展各领域存在的主要问题与短板。</w:t>
      </w:r>
    </w:p>
    <w:p>
      <w:pPr>
        <w:shd w:val="clea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体思路与发展方向研究。科学研判国内外发展形势，基于光明区发展现状和问题，聚焦建设世界一流科学城的战略定位与发展目标，研究提出光明区“十五五”时期经济社会发展的总体思路及各领域重点发展方向。</w:t>
      </w:r>
    </w:p>
    <w:p>
      <w:pPr>
        <w:shd w:val="clea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点任务和重大项目前期谋划。基于总体思路与发展方向，研究提出光明区“十五五”期间在科技创新、产业发展、城市建设、生态文明、社会建设、文化建设、开放合作等各领域的重点任务。在征集全区有关部门关于“十五五”期间拟规划建设的重大项目意向的基础上，对重大项目进行前期谋划。</w:t>
      </w:r>
    </w:p>
    <w:p>
      <w:pPr>
        <w:widowControl w:val="0"/>
        <w:shd w:val="clear"/>
        <w:spacing w:beforeLines="0" w:afterLines="0" w:line="560" w:lineRule="exact"/>
        <w:ind w:firstLine="640"/>
        <w:rPr>
          <w:rFonts w:hint="eastAsia" w:ascii="楷体_GB2312" w:hAnsi="楷体_GB2312" w:eastAsia="楷体_GB2312" w:cs="楷体_GB2312"/>
          <w:highlight w:val="none"/>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highlight w:val="none"/>
          <w:lang w:eastAsia="zh-CN"/>
        </w:rPr>
        <w:t>光明</w:t>
      </w:r>
      <w:r>
        <w:rPr>
          <w:rFonts w:hint="eastAsia" w:ascii="楷体_GB2312" w:hAnsi="楷体_GB2312" w:eastAsia="楷体_GB2312" w:cs="楷体_GB2312"/>
          <w:highlight w:val="none"/>
        </w:rPr>
        <w:t>“十</w:t>
      </w:r>
      <w:r>
        <w:rPr>
          <w:rFonts w:hint="eastAsia" w:ascii="楷体_GB2312" w:hAnsi="楷体_GB2312" w:eastAsia="楷体_GB2312" w:cs="楷体_GB2312"/>
          <w:highlight w:val="none"/>
          <w:lang w:eastAsia="zh-CN"/>
        </w:rPr>
        <w:t>五</w:t>
      </w:r>
      <w:r>
        <w:rPr>
          <w:rFonts w:hint="eastAsia" w:ascii="楷体_GB2312" w:hAnsi="楷体_GB2312" w:eastAsia="楷体_GB2312" w:cs="楷体_GB2312"/>
          <w:highlight w:val="none"/>
        </w:rPr>
        <w:t>五”</w:t>
      </w:r>
      <w:r>
        <w:rPr>
          <w:rFonts w:hint="eastAsia" w:ascii="楷体_GB2312" w:hAnsi="楷体_GB2312" w:eastAsia="楷体_GB2312" w:cs="楷体_GB2312"/>
          <w:highlight w:val="none"/>
          <w:lang w:eastAsia="zh-CN"/>
        </w:rPr>
        <w:t>规划纲要研究</w:t>
      </w:r>
    </w:p>
    <w:p>
      <w:pPr>
        <w:shd w:val="clea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1.深入分析发展基础和存在问题。全面梳理光明区发展建设取得的成就，明确光明区“十五五”期间发展的内部支撑要素，重点查找制约光明区发展的关键性问题、体制性障碍、机制性梗阻。</w:t>
      </w:r>
    </w:p>
    <w:p>
      <w:pPr>
        <w:shd w:val="clea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研判发展环境和机遇挑战。针对国际、国内、深圳经济社会发展特征，把握科技、产业革命演进趋势，深度分析外部环境变化及其对光明区的影响。综合光明区内外部环境，科学研判光明区在“十五五”期间可能面临的机遇、挑战。</w:t>
      </w:r>
    </w:p>
    <w:p>
      <w:pPr>
        <w:shd w:val="clea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提出规划调控指标体系。构建一套符合新发展理念、具有光明区特色、具备较强操作性的“十五五”规划调控指标体系。综合光明区自身资源和发展需求，合理设定“十五五”期末国民经济和社会发展各领域指标目标值。</w:t>
      </w:r>
    </w:p>
    <w:p>
      <w:pPr>
        <w:shd w:val="clea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4.研究提出重点任务和重大项目。聚焦科技创新、产业发展、城市建设、社会民生、生态环境、新基建等领域，找准发展方向和战略路径，明确光明区“十五五”期间发展的重点任务、重大工程项目。</w:t>
      </w:r>
    </w:p>
    <w:p>
      <w:pPr>
        <w:pStyle w:val="14"/>
        <w:shd w:val="clear"/>
        <w:spacing w:beforeLines="0" w:afterLines="0"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sz w:val="32"/>
          <w:szCs w:val="32"/>
        </w:rPr>
        <w:t>5.研究提出规划实施保障建议。通过加强规划统筹协调、强化重大项目支撑、健全规划实施机制、动员全社会力量参与等措施，强化对光明区“十五五”规划的支撑保障，保证光明区“十五五”规划合理安排、有序推进。在光明区“十五五”规划纲要基本思路的基础上，全面研究光明区“十五五”时期经济、社会、城市建设、生态环境等各项事业发展规划，主要包括“十五五”发展环境、指导思想、目标定位、调控指标、发展战略、主要任务、保障措施、重大项目等内容。</w:t>
      </w:r>
    </w:p>
    <w:p>
      <w:pPr>
        <w:shd w:val="clear"/>
        <w:spacing w:beforeLines="0" w:afterLines="0"/>
        <w:ind w:firstLine="640"/>
        <w:rPr>
          <w:rFonts w:hint="eastAsia" w:ascii="黑体" w:hAnsi="黑体" w:eastAsia="黑体"/>
          <w:highlight w:val="none"/>
        </w:rPr>
      </w:pPr>
      <w:r>
        <w:rPr>
          <w:rFonts w:hint="eastAsia" w:ascii="黑体" w:hAnsi="黑体" w:eastAsia="黑体"/>
          <w:highlight w:val="none"/>
        </w:rPr>
        <w:t>三、项目技术要求</w:t>
      </w:r>
    </w:p>
    <w:p>
      <w:pPr>
        <w:shd w:val="clear"/>
        <w:spacing w:beforeLines="0" w:afterLines="0"/>
        <w:ind w:firstLine="640"/>
        <w:rPr>
          <w:rFonts w:hAnsi="Times New Roman"/>
          <w:b/>
          <w:bCs/>
          <w:highlight w:val="none"/>
        </w:rPr>
      </w:pPr>
      <w:r>
        <w:rPr>
          <w:rFonts w:hint="eastAsia" w:hAnsi="Times New Roman"/>
          <w:bCs/>
          <w:highlight w:val="none"/>
        </w:rPr>
        <w:t>（一）项目成果应遵循国家颁布的有关法律、法规及政策要求。</w:t>
      </w:r>
    </w:p>
    <w:p>
      <w:pPr>
        <w:shd w:val="clear"/>
        <w:spacing w:beforeLines="0" w:afterLines="0"/>
        <w:ind w:firstLine="640"/>
        <w:rPr>
          <w:rFonts w:hAnsi="Times New Roman"/>
          <w:b/>
          <w:bCs/>
          <w:highlight w:val="none"/>
        </w:rPr>
      </w:pPr>
      <w:r>
        <w:rPr>
          <w:rFonts w:hint="eastAsia" w:hAnsi="Times New Roman"/>
          <w:bCs/>
          <w:highlight w:val="none"/>
        </w:rPr>
        <w:t>（二）研究过程中应当进行深入调查研究，充分把握</w:t>
      </w:r>
      <w:r>
        <w:rPr>
          <w:rFonts w:hint="eastAsia" w:hAnsi="Times New Roman"/>
          <w:bCs/>
          <w:highlight w:val="none"/>
          <w:lang w:eastAsia="zh-CN"/>
        </w:rPr>
        <w:t>光明</w:t>
      </w:r>
      <w:r>
        <w:rPr>
          <w:rFonts w:hint="eastAsia" w:hAnsi="Times New Roman"/>
          <w:bCs/>
          <w:highlight w:val="none"/>
        </w:rPr>
        <w:t>区</w:t>
      </w:r>
      <w:r>
        <w:rPr>
          <w:rFonts w:hint="eastAsia" w:hAnsi="Times New Roman"/>
          <w:bCs/>
          <w:highlight w:val="none"/>
          <w:lang w:eastAsia="zh-CN"/>
        </w:rPr>
        <w:t>经济社会</w:t>
      </w:r>
      <w:r>
        <w:rPr>
          <w:rFonts w:hint="eastAsia" w:hAnsi="Times New Roman"/>
          <w:bCs/>
          <w:highlight w:val="none"/>
        </w:rPr>
        <w:t>发展现状、存在问题等相关信息和基础资料。</w:t>
      </w:r>
    </w:p>
    <w:p>
      <w:pPr>
        <w:shd w:val="clear"/>
        <w:spacing w:beforeLines="0" w:afterLines="0"/>
        <w:ind w:firstLine="640"/>
        <w:rPr>
          <w:rFonts w:hAnsi="Times New Roman"/>
          <w:b/>
          <w:bCs/>
          <w:highlight w:val="yellow"/>
        </w:rPr>
      </w:pPr>
      <w:r>
        <w:rPr>
          <w:rFonts w:hint="eastAsia" w:hAnsi="Times New Roman"/>
          <w:bCs/>
          <w:highlight w:val="none"/>
        </w:rPr>
        <w:t>（三）</w:t>
      </w:r>
      <w:r>
        <w:rPr>
          <w:rFonts w:hAnsi="仿宋_GB2312" w:cs="仿宋_GB2312"/>
          <w:highlight w:val="none"/>
          <w:lang w:bidi="ar"/>
        </w:rPr>
        <w:t>项目研究</w:t>
      </w:r>
      <w:r>
        <w:rPr>
          <w:rFonts w:hint="eastAsia" w:hAnsi="仿宋_GB2312" w:cs="仿宋_GB2312"/>
          <w:highlight w:val="none"/>
          <w:lang w:bidi="ar"/>
        </w:rPr>
        <w:t>成果要具有前瞻性，为</w:t>
      </w:r>
      <w:r>
        <w:rPr>
          <w:rFonts w:hint="eastAsia" w:hAnsi="仿宋_GB2312" w:cs="仿宋_GB2312"/>
          <w:highlight w:val="none"/>
          <w:lang w:eastAsia="zh-CN" w:bidi="ar"/>
        </w:rPr>
        <w:t>光明</w:t>
      </w:r>
      <w:r>
        <w:rPr>
          <w:rFonts w:hint="eastAsia" w:hAnsi="仿宋_GB2312" w:cs="仿宋_GB2312"/>
          <w:highlight w:val="none"/>
          <w:lang w:bidi="ar"/>
        </w:rPr>
        <w:t>区编制“十五五”规划</w:t>
      </w:r>
      <w:r>
        <w:rPr>
          <w:rFonts w:hint="eastAsia" w:hAnsi="仿宋_GB2312" w:cs="仿宋_GB2312"/>
          <w:highlight w:val="none"/>
          <w:lang w:eastAsia="zh-CN" w:bidi="ar"/>
        </w:rPr>
        <w:t>纲要</w:t>
      </w:r>
      <w:r>
        <w:rPr>
          <w:rFonts w:hint="eastAsia" w:hAnsi="仿宋_GB2312" w:cs="仿宋_GB2312"/>
          <w:highlight w:val="none"/>
          <w:lang w:bidi="ar"/>
        </w:rPr>
        <w:t>提供支撑；具有系统性，研究成果要体系完整、内容全面、材料丰富；具有实用性，研究成果符合深圳市、</w:t>
      </w:r>
      <w:r>
        <w:rPr>
          <w:rFonts w:hint="eastAsia" w:hAnsi="仿宋_GB2312" w:cs="仿宋_GB2312"/>
          <w:highlight w:val="none"/>
          <w:lang w:eastAsia="zh-CN" w:bidi="ar"/>
        </w:rPr>
        <w:t>光明</w:t>
      </w:r>
      <w:r>
        <w:rPr>
          <w:rFonts w:hint="eastAsia" w:hAnsi="仿宋_GB2312" w:cs="仿宋_GB2312"/>
          <w:highlight w:val="none"/>
          <w:lang w:bidi="ar"/>
        </w:rPr>
        <w:t>区实际，针对性和可操作性强。</w:t>
      </w:r>
    </w:p>
    <w:p>
      <w:pPr>
        <w:shd w:val="clear"/>
        <w:spacing w:beforeLines="0" w:afterLines="0" w:line="560" w:lineRule="exact"/>
        <w:ind w:firstLine="640"/>
        <w:rPr>
          <w:rFonts w:hint="eastAsia" w:ascii="黑体" w:hAnsi="黑体" w:eastAsia="黑体"/>
          <w:highlight w:val="none"/>
        </w:rPr>
      </w:pPr>
      <w:r>
        <w:rPr>
          <w:rFonts w:hint="eastAsia" w:ascii="黑体" w:hAnsi="黑体" w:eastAsia="黑体"/>
          <w:highlight w:val="none"/>
        </w:rPr>
        <w:t>四、项目成果交付要求</w:t>
      </w:r>
    </w:p>
    <w:p>
      <w:pPr>
        <w:shd w:val="clear"/>
        <w:spacing w:beforeLines="0" w:afterLines="0" w:line="560" w:lineRule="exact"/>
        <w:ind w:firstLine="640"/>
        <w:rPr>
          <w:rFonts w:hint="eastAsia" w:eastAsia="仿宋_GB2312"/>
          <w:highlight w:val="none"/>
          <w:lang w:eastAsia="zh-CN"/>
        </w:rPr>
      </w:pPr>
      <w:r>
        <w:rPr>
          <w:highlight w:val="none"/>
        </w:rPr>
        <w:t>（一）《</w:t>
      </w:r>
      <w:r>
        <w:rPr>
          <w:rFonts w:hint="eastAsia"/>
          <w:color w:val="000000" w:themeColor="text1"/>
          <w:highlight w:val="none"/>
          <w:lang w:eastAsia="zh-CN"/>
          <w14:textFill>
            <w14:solidFill>
              <w14:schemeClr w14:val="tx1"/>
            </w14:solidFill>
          </w14:textFill>
        </w:rPr>
        <w:t>光明区</w:t>
      </w:r>
      <w:r>
        <w:rPr>
          <w:rFonts w:hint="eastAsia"/>
          <w:color w:val="000000" w:themeColor="text1"/>
          <w:highlight w:val="none"/>
          <w14:textFill>
            <w14:solidFill>
              <w14:schemeClr w14:val="tx1"/>
            </w14:solidFill>
          </w14:textFill>
        </w:rPr>
        <w:t>“十五五”</w:t>
      </w:r>
      <w:r>
        <w:rPr>
          <w:rFonts w:hint="eastAsia"/>
          <w:color w:val="000000" w:themeColor="text1"/>
          <w:highlight w:val="none"/>
          <w:lang w:eastAsia="zh-CN"/>
          <w14:textFill>
            <w14:solidFill>
              <w14:schemeClr w14:val="tx1"/>
            </w14:solidFill>
          </w14:textFill>
        </w:rPr>
        <w:t>规划前期</w:t>
      </w:r>
      <w:r>
        <w:rPr>
          <w:highlight w:val="none"/>
        </w:rPr>
        <w:t>研究报告》1份</w:t>
      </w:r>
      <w:r>
        <w:rPr>
          <w:rFonts w:hint="eastAsia"/>
          <w:highlight w:val="none"/>
          <w:lang w:eastAsia="zh-CN"/>
        </w:rPr>
        <w:t>。</w:t>
      </w:r>
    </w:p>
    <w:p>
      <w:pPr>
        <w:shd w:val="clear"/>
        <w:spacing w:beforeLines="0" w:afterLines="0" w:line="560" w:lineRule="exact"/>
        <w:ind w:firstLine="640"/>
        <w:rPr>
          <w:highlight w:val="none"/>
        </w:rPr>
      </w:pPr>
      <w:r>
        <w:rPr>
          <w:highlight w:val="none"/>
        </w:rPr>
        <w:t>（二）</w:t>
      </w:r>
      <w:r>
        <w:rPr>
          <w:rFonts w:hint="eastAsia"/>
          <w:highlight w:val="none"/>
        </w:rPr>
        <w:t>《</w:t>
      </w:r>
      <w:r>
        <w:rPr>
          <w:rFonts w:hint="eastAsia"/>
          <w:color w:val="000000" w:themeColor="text1"/>
          <w:highlight w:val="none"/>
          <w:lang w:eastAsia="zh-CN"/>
          <w14:textFill>
            <w14:solidFill>
              <w14:schemeClr w14:val="tx1"/>
            </w14:solidFill>
          </w14:textFill>
        </w:rPr>
        <w:t>光明区</w:t>
      </w:r>
      <w:r>
        <w:rPr>
          <w:rFonts w:hint="eastAsia"/>
          <w:color w:val="000000" w:themeColor="text1"/>
          <w:highlight w:val="none"/>
          <w14:textFill>
            <w14:solidFill>
              <w14:schemeClr w14:val="tx1"/>
            </w14:solidFill>
          </w14:textFill>
        </w:rPr>
        <w:t>“十五五”</w:t>
      </w:r>
      <w:r>
        <w:rPr>
          <w:rFonts w:hint="eastAsia"/>
          <w:color w:val="000000" w:themeColor="text1"/>
          <w:highlight w:val="none"/>
          <w:lang w:eastAsia="zh-CN"/>
          <w14:textFill>
            <w14:solidFill>
              <w14:schemeClr w14:val="tx1"/>
            </w14:solidFill>
          </w14:textFill>
        </w:rPr>
        <w:t>规划纲要</w:t>
      </w:r>
      <w:r>
        <w:rPr>
          <w:highlight w:val="none"/>
        </w:rPr>
        <w:t>研究报告</w:t>
      </w:r>
      <w:r>
        <w:rPr>
          <w:rFonts w:hint="eastAsia"/>
          <w:highlight w:val="none"/>
        </w:rPr>
        <w:t>》</w:t>
      </w:r>
      <w:r>
        <w:rPr>
          <w:highlight w:val="none"/>
        </w:rPr>
        <w:t>1份。</w:t>
      </w:r>
    </w:p>
    <w:p>
      <w:pPr>
        <w:shd w:val="clear"/>
        <w:spacing w:beforeLines="0" w:afterLines="0" w:line="560" w:lineRule="exact"/>
        <w:ind w:firstLine="640"/>
        <w:rPr>
          <w:rFonts w:hint="eastAsia" w:ascii="黑体" w:hAnsi="黑体" w:eastAsia="黑体"/>
          <w:highlight w:val="none"/>
        </w:rPr>
      </w:pPr>
      <w:r>
        <w:rPr>
          <w:rFonts w:hint="eastAsia" w:ascii="黑体" w:hAnsi="黑体" w:eastAsia="黑体"/>
          <w:highlight w:val="none"/>
        </w:rPr>
        <w:t>五、项目保密要求</w:t>
      </w:r>
    </w:p>
    <w:p>
      <w:pPr>
        <w:shd w:val="clear"/>
        <w:adjustRightInd/>
        <w:snapToGrid/>
        <w:spacing w:beforeLines="0" w:afterLines="0" w:line="560" w:lineRule="exact"/>
        <w:ind w:firstLine="640"/>
        <w:rPr>
          <w:rFonts w:hint="eastAsia" w:hAnsi="仿宋_GB2312" w:cs="仿宋_GB2312"/>
          <w:bCs/>
          <w:highlight w:val="none"/>
        </w:rPr>
      </w:pPr>
      <w:r>
        <w:rPr>
          <w:rFonts w:hint="eastAsia" w:hAnsi="仿宋_GB2312" w:cs="仿宋_GB2312"/>
          <w:bCs/>
          <w:highlight w:val="none"/>
        </w:rPr>
        <w:t>中标人应当对其在项目开展过程中所知悉的国家秘密、商业秘密和技术秘密负有保密责任，建立并实施相应的保密措施，具体保密要求如下：</w:t>
      </w:r>
    </w:p>
    <w:p>
      <w:pPr>
        <w:shd w:val="clear"/>
        <w:spacing w:beforeLines="0" w:afterLines="0" w:line="560" w:lineRule="exact"/>
        <w:ind w:firstLine="640"/>
        <w:rPr>
          <w:rFonts w:hAnsi="Times New Roman"/>
          <w:bCs/>
          <w:highlight w:val="none"/>
        </w:rPr>
      </w:pPr>
      <w:r>
        <w:rPr>
          <w:rFonts w:hint="eastAsia" w:hAnsi="Times New Roman"/>
          <w:bCs/>
          <w:highlight w:val="none"/>
        </w:rPr>
        <w:t>（一）中标人不得利用所获取、掌握的采购人及其他政府部门的任何保密内容从事采购人及其他政府部门授权工作以外的任何事情，不得披露、允许第三方使用。</w:t>
      </w:r>
    </w:p>
    <w:p>
      <w:pPr>
        <w:shd w:val="clear"/>
        <w:spacing w:beforeLines="0" w:afterLines="0" w:line="560" w:lineRule="exact"/>
        <w:ind w:firstLine="640"/>
        <w:rPr>
          <w:rFonts w:hint="eastAsia" w:hAnsi="Times New Roman"/>
          <w:bCs/>
          <w:highlight w:val="none"/>
        </w:rPr>
      </w:pPr>
      <w:r>
        <w:rPr>
          <w:rFonts w:hint="eastAsia" w:hAnsi="Times New Roman"/>
          <w:bCs/>
          <w:highlight w:val="none"/>
        </w:rPr>
        <w:t>（二）中标人聘请的工作人员和专家应严格遵守保密规定，保守研究过程中知悉的项目相关单位商业和技术秘密。未经权利人许可，不得披露、使用或允许他人使用、转让其秘密；</w:t>
      </w:r>
    </w:p>
    <w:p>
      <w:pPr>
        <w:shd w:val="clear"/>
        <w:spacing w:beforeLines="0" w:afterLines="0" w:line="560" w:lineRule="exact"/>
        <w:ind w:firstLine="640"/>
        <w:rPr>
          <w:rFonts w:hAnsi="Times New Roman"/>
          <w:b/>
          <w:bCs/>
          <w:highlight w:val="none"/>
        </w:rPr>
      </w:pPr>
      <w:r>
        <w:rPr>
          <w:rFonts w:hint="eastAsia" w:hAnsi="Times New Roman"/>
          <w:bCs/>
          <w:highlight w:val="none"/>
          <w:lang w:eastAsia="zh-CN"/>
        </w:rPr>
        <w:t>（三）</w:t>
      </w:r>
      <w:r>
        <w:rPr>
          <w:rFonts w:hint="eastAsia" w:hAnsi="Times New Roman"/>
          <w:bCs/>
          <w:highlight w:val="none"/>
        </w:rPr>
        <w:t>中标人按照采购人要求完成项目后，须立即将项目成果提交采购人存档，未经采购人许可，不得向第三方披露。</w:t>
      </w:r>
    </w:p>
    <w:p>
      <w:pPr>
        <w:shd w:val="clear"/>
        <w:spacing w:beforeLines="0" w:afterLines="0" w:line="560" w:lineRule="exact"/>
        <w:ind w:firstLine="640"/>
        <w:rPr>
          <w:rFonts w:hAnsi="Times New Roman"/>
          <w:b/>
          <w:bCs/>
          <w:highlight w:val="none"/>
        </w:rPr>
      </w:pPr>
      <w:r>
        <w:rPr>
          <w:rFonts w:hint="eastAsia" w:hAnsi="Times New Roman"/>
          <w:bCs/>
          <w:highlight w:val="none"/>
        </w:rPr>
        <w:t>（</w:t>
      </w:r>
      <w:r>
        <w:rPr>
          <w:rFonts w:hint="eastAsia" w:hAnsi="Times New Roman"/>
          <w:bCs/>
          <w:highlight w:val="none"/>
          <w:lang w:eastAsia="zh-CN"/>
        </w:rPr>
        <w:t>四</w:t>
      </w:r>
      <w:r>
        <w:rPr>
          <w:rFonts w:hint="eastAsia" w:hAnsi="Times New Roman"/>
          <w:bCs/>
          <w:highlight w:val="none"/>
        </w:rPr>
        <w:t>）中标人应建立相应的保密制度，明确项目开展过程中各环节的保密性要求，确保相关资料和信息的保密性。</w:t>
      </w:r>
    </w:p>
    <w:p>
      <w:pPr>
        <w:shd w:val="clear"/>
        <w:spacing w:beforeLines="0" w:afterLines="0" w:line="560" w:lineRule="exact"/>
        <w:ind w:firstLine="640"/>
        <w:rPr>
          <w:rFonts w:hint="eastAsia" w:ascii="黑体" w:hAnsi="黑体" w:eastAsia="黑体"/>
          <w:highlight w:val="none"/>
        </w:rPr>
      </w:pPr>
      <w:r>
        <w:rPr>
          <w:rFonts w:hint="eastAsia" w:ascii="黑体" w:hAnsi="黑体" w:eastAsia="黑体"/>
          <w:highlight w:val="none"/>
        </w:rPr>
        <w:t>六、投标资格要求</w:t>
      </w:r>
    </w:p>
    <w:p>
      <w:pPr>
        <w:shd w:val="clear"/>
        <w:spacing w:beforeLines="0" w:afterLines="0" w:line="560" w:lineRule="exact"/>
        <w:ind w:firstLine="640"/>
        <w:rPr>
          <w:rFonts w:hint="eastAsia"/>
          <w:highlight w:val="none"/>
        </w:rPr>
      </w:pPr>
      <w:r>
        <w:rPr>
          <w:rFonts w:hint="eastAsia"/>
          <w:highlight w:val="none"/>
        </w:rPr>
        <w:t>（一）具有独立承担民事责任能力的在中华人民共和国境内注册的法人。</w:t>
      </w:r>
    </w:p>
    <w:p>
      <w:pPr>
        <w:shd w:val="clear"/>
        <w:spacing w:beforeLines="0" w:afterLines="0" w:line="560" w:lineRule="exact"/>
        <w:ind w:firstLine="640"/>
        <w:rPr>
          <w:rFonts w:hint="eastAsia"/>
          <w:highlight w:val="none"/>
        </w:rPr>
      </w:pPr>
      <w:r>
        <w:rPr>
          <w:rFonts w:hint="eastAsia"/>
          <w:highlight w:val="none"/>
        </w:rPr>
        <w:t>（二）参与本项目政府采购活动时不存在被有关部门禁止参与政府采购活动且在有效期内的情况（提供声明函，格式自拟）。</w:t>
      </w:r>
    </w:p>
    <w:p>
      <w:pPr>
        <w:shd w:val="clear"/>
        <w:spacing w:beforeLines="0" w:afterLines="0" w:line="560" w:lineRule="exact"/>
        <w:ind w:firstLine="640"/>
        <w:rPr>
          <w:rFonts w:hint="eastAsia"/>
          <w:highlight w:val="none"/>
        </w:rPr>
      </w:pPr>
      <w:r>
        <w:rPr>
          <w:rFonts w:hint="eastAsia"/>
          <w:highlight w:val="none"/>
        </w:rPr>
        <w:t>（三）具备《中华人民共和国政府采购法》第二十二条第一款的条件（提供声明函，格式自拟）。</w:t>
      </w:r>
    </w:p>
    <w:p>
      <w:pPr>
        <w:shd w:val="clear"/>
        <w:spacing w:beforeLines="0" w:afterLines="0" w:line="560" w:lineRule="exact"/>
        <w:ind w:firstLine="640"/>
        <w:rPr>
          <w:rFonts w:hint="eastAsia"/>
          <w:highlight w:val="none"/>
        </w:rPr>
      </w:pPr>
      <w:r>
        <w:rPr>
          <w:rFonts w:hint="eastAsia"/>
          <w:highlight w:val="none"/>
        </w:rPr>
        <w:t>（四）未被列入失信被执行人、重大税收违法案件当事人名单、政府采购严重违法失信行为记录名单（提供声明函，格式自拟）。</w:t>
      </w:r>
    </w:p>
    <w:p>
      <w:pPr>
        <w:shd w:val="clear"/>
        <w:spacing w:beforeLines="0" w:afterLines="0" w:line="560" w:lineRule="exact"/>
        <w:ind w:firstLine="640"/>
        <w:rPr>
          <w:rFonts w:hint="eastAsia"/>
          <w:highlight w:val="none"/>
        </w:rPr>
      </w:pPr>
      <w:r>
        <w:rPr>
          <w:rFonts w:hint="eastAsia"/>
          <w:highlight w:val="none"/>
        </w:rPr>
        <w:t>（五）不存在《深圳市财政局政府采购供应商信用信息管理办法》（深财规〔2023〕3号）列明的严重违法失信行为（提供声明函，格式自拟）。</w:t>
      </w:r>
    </w:p>
    <w:p>
      <w:pPr>
        <w:shd w:val="clear"/>
        <w:spacing w:beforeLines="0" w:afterLines="0" w:line="560" w:lineRule="exact"/>
        <w:ind w:firstLine="640"/>
        <w:rPr>
          <w:rFonts w:hint="eastAsia"/>
          <w:highlight w:val="none"/>
        </w:rPr>
      </w:pPr>
      <w:r>
        <w:rPr>
          <w:rFonts w:hint="eastAsia"/>
          <w:highlight w:val="none"/>
        </w:rPr>
        <w:t>（六）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声明函，格式自拟）。</w:t>
      </w:r>
    </w:p>
    <w:p>
      <w:pPr>
        <w:shd w:val="clear"/>
        <w:spacing w:beforeLines="0" w:afterLines="0" w:line="560" w:lineRule="exact"/>
        <w:ind w:firstLine="640"/>
        <w:rPr>
          <w:rFonts w:hint="eastAsia"/>
          <w:highlight w:val="none"/>
        </w:rPr>
      </w:pPr>
      <w:r>
        <w:rPr>
          <w:rFonts w:hint="eastAsia"/>
          <w:highlight w:val="none"/>
        </w:rPr>
        <w:t>（七）投标人必须具备相关经营范围，熟悉深圳市及光明区经济运行、社会发展等各领域基本情况，熟悉上位政策、规划解读和未来趋势研判情况。</w:t>
      </w:r>
    </w:p>
    <w:p>
      <w:pPr>
        <w:shd w:val="clear"/>
        <w:spacing w:beforeLines="0" w:afterLines="0" w:line="560" w:lineRule="exact"/>
        <w:ind w:firstLine="640"/>
        <w:rPr>
          <w:rFonts w:hint="eastAsia" w:ascii="黑体" w:hAnsi="黑体" w:eastAsia="黑体"/>
          <w:highlight w:val="none"/>
        </w:rPr>
      </w:pPr>
      <w:r>
        <w:rPr>
          <w:rFonts w:hint="eastAsia"/>
          <w:highlight w:val="none"/>
        </w:rPr>
        <w:t>（八）本项目接受联合体投标（组成联合体单位数量不超过两家）。</w:t>
      </w:r>
    </w:p>
    <w:p>
      <w:pPr>
        <w:shd w:val="clear"/>
        <w:spacing w:beforeLines="0" w:afterLines="0" w:line="560" w:lineRule="exact"/>
        <w:ind w:firstLine="640"/>
        <w:rPr>
          <w:rFonts w:hint="eastAsia" w:ascii="黑体" w:hAnsi="黑体" w:eastAsia="黑体"/>
          <w:highlight w:val="none"/>
        </w:rPr>
      </w:pPr>
      <w:r>
        <w:rPr>
          <w:rFonts w:hint="eastAsia" w:ascii="黑体" w:hAnsi="黑体" w:eastAsia="黑体"/>
          <w:highlight w:val="none"/>
        </w:rPr>
        <w:t>七、投标时间、地点及联系人</w:t>
      </w:r>
    </w:p>
    <w:p>
      <w:pPr>
        <w:shd w:val="clear"/>
        <w:spacing w:beforeLines="0" w:afterLines="0" w:line="560" w:lineRule="exact"/>
        <w:ind w:firstLine="640"/>
        <w:rPr>
          <w:rFonts w:hAnsi="Times New Roman"/>
          <w:b/>
          <w:bCs/>
          <w:highlight w:val="none"/>
        </w:rPr>
      </w:pPr>
      <w:r>
        <w:rPr>
          <w:rFonts w:hint="eastAsia" w:hAnsi="Times New Roman"/>
          <w:bCs/>
          <w:highlight w:val="none"/>
        </w:rPr>
        <w:t>（一）投标时间：</w:t>
      </w:r>
      <w:r>
        <w:rPr>
          <w:rFonts w:hAnsi="Times New Roman"/>
          <w:bCs/>
          <w:highlight w:val="none"/>
        </w:rPr>
        <w:t>202</w:t>
      </w:r>
      <w:r>
        <w:rPr>
          <w:rFonts w:hint="eastAsia" w:hAnsi="Times New Roman"/>
          <w:bCs/>
          <w:highlight w:val="none"/>
          <w:lang w:val="en-US" w:eastAsia="zh-CN"/>
        </w:rPr>
        <w:t>5</w:t>
      </w:r>
      <w:r>
        <w:rPr>
          <w:rFonts w:hint="eastAsia" w:hAnsi="Times New Roman"/>
          <w:bCs/>
          <w:highlight w:val="none"/>
        </w:rPr>
        <w:t>年</w:t>
      </w:r>
      <w:r>
        <w:rPr>
          <w:rFonts w:hint="eastAsia" w:hAnsi="Times New Roman"/>
          <w:bCs/>
          <w:highlight w:val="none"/>
          <w:lang w:val="en-US" w:eastAsia="zh-CN"/>
        </w:rPr>
        <w:t>2</w:t>
      </w:r>
      <w:r>
        <w:rPr>
          <w:rFonts w:hint="eastAsia" w:hAnsi="Times New Roman"/>
          <w:bCs/>
          <w:highlight w:val="none"/>
        </w:rPr>
        <w:t>月</w:t>
      </w:r>
      <w:r>
        <w:rPr>
          <w:rFonts w:hint="default" w:hAnsi="Times New Roman"/>
          <w:bCs/>
          <w:highlight w:val="none"/>
          <w:lang w:val="en" w:eastAsia="zh-CN"/>
        </w:rPr>
        <w:t>1</w:t>
      </w:r>
      <w:r>
        <w:rPr>
          <w:rFonts w:hint="eastAsia" w:hAnsi="Times New Roman"/>
          <w:bCs/>
          <w:highlight w:val="none"/>
          <w:lang w:val="en-US" w:eastAsia="zh-CN"/>
        </w:rPr>
        <w:t>1</w:t>
      </w:r>
      <w:r>
        <w:rPr>
          <w:rFonts w:hint="eastAsia" w:hAnsi="Times New Roman"/>
          <w:bCs/>
          <w:highlight w:val="none"/>
        </w:rPr>
        <w:t>日至</w:t>
      </w:r>
      <w:r>
        <w:rPr>
          <w:rFonts w:hAnsi="Times New Roman"/>
          <w:bCs/>
          <w:highlight w:val="none"/>
        </w:rPr>
        <w:t>202</w:t>
      </w:r>
      <w:r>
        <w:rPr>
          <w:rFonts w:hint="eastAsia" w:hAnsi="Times New Roman"/>
          <w:bCs/>
          <w:highlight w:val="none"/>
          <w:lang w:val="en-US" w:eastAsia="zh-CN"/>
        </w:rPr>
        <w:t>5</w:t>
      </w:r>
      <w:r>
        <w:rPr>
          <w:rFonts w:hint="eastAsia" w:hAnsi="Times New Roman"/>
          <w:bCs/>
          <w:highlight w:val="none"/>
        </w:rPr>
        <w:t>年</w:t>
      </w:r>
      <w:r>
        <w:rPr>
          <w:rFonts w:hint="eastAsia" w:hAnsi="Times New Roman"/>
          <w:bCs/>
          <w:highlight w:val="none"/>
          <w:lang w:val="en-US" w:eastAsia="zh-CN"/>
        </w:rPr>
        <w:t>2</w:t>
      </w:r>
      <w:r>
        <w:rPr>
          <w:rFonts w:hint="eastAsia" w:hAnsi="Times New Roman"/>
          <w:bCs/>
          <w:highlight w:val="none"/>
        </w:rPr>
        <w:t>月</w:t>
      </w:r>
      <w:r>
        <w:rPr>
          <w:rFonts w:hint="eastAsia" w:hAnsi="Times New Roman"/>
          <w:bCs/>
          <w:highlight w:val="none"/>
          <w:lang w:val="en-US" w:eastAsia="zh-CN"/>
        </w:rPr>
        <w:t>17</w:t>
      </w:r>
      <w:r>
        <w:rPr>
          <w:rFonts w:hint="eastAsia" w:hAnsi="Times New Roman"/>
          <w:bCs/>
          <w:highlight w:val="none"/>
        </w:rPr>
        <w:t>日，每日上午</w:t>
      </w:r>
      <w:r>
        <w:rPr>
          <w:rFonts w:hAnsi="Times New Roman"/>
          <w:bCs/>
          <w:highlight w:val="none"/>
        </w:rPr>
        <w:t>9:00-12:00，下午2:00-</w:t>
      </w:r>
      <w:r>
        <w:rPr>
          <w:rFonts w:hint="eastAsia" w:hAnsi="仿宋_GB2312" w:cs="仿宋_GB2312"/>
          <w:sz w:val="32"/>
          <w:szCs w:val="24"/>
          <w:highlight w:val="none"/>
          <w:lang w:val="en-US" w:eastAsia="zh-CN"/>
        </w:rPr>
        <w:t>6</w:t>
      </w:r>
      <w:r>
        <w:rPr>
          <w:rFonts w:hint="eastAsia" w:ascii="仿宋_GB2312" w:hAnsi="仿宋_GB2312" w:eastAsia="仿宋_GB2312" w:cs="仿宋_GB2312"/>
          <w:sz w:val="32"/>
          <w:szCs w:val="24"/>
          <w:highlight w:val="none"/>
        </w:rPr>
        <w:t>:</w:t>
      </w:r>
      <w:r>
        <w:rPr>
          <w:rFonts w:hint="eastAsia" w:hAnsi="仿宋_GB2312" w:cs="仿宋_GB2312"/>
          <w:sz w:val="32"/>
          <w:szCs w:val="24"/>
          <w:highlight w:val="none"/>
          <w:lang w:val="en-US" w:eastAsia="zh-CN"/>
        </w:rPr>
        <w:t>00</w:t>
      </w:r>
      <w:r>
        <w:rPr>
          <w:rFonts w:hAnsi="Times New Roman"/>
          <w:bCs/>
          <w:highlight w:val="none"/>
        </w:rPr>
        <w:t>。逾期未投标将不再受理。</w:t>
      </w:r>
    </w:p>
    <w:p>
      <w:pPr>
        <w:shd w:val="clear"/>
        <w:spacing w:beforeLines="0" w:afterLines="0" w:line="560" w:lineRule="exact"/>
        <w:ind w:firstLine="640"/>
        <w:rPr>
          <w:rFonts w:hAnsi="Times New Roman"/>
          <w:b/>
          <w:bCs/>
          <w:highlight w:val="none"/>
        </w:rPr>
      </w:pPr>
      <w:r>
        <w:rPr>
          <w:rFonts w:hint="eastAsia" w:hAnsi="Times New Roman"/>
          <w:bCs/>
          <w:highlight w:val="none"/>
        </w:rPr>
        <w:t>（二）投标地点：深圳市</w:t>
      </w:r>
      <w:r>
        <w:rPr>
          <w:rFonts w:hint="eastAsia" w:hAnsi="Times New Roman"/>
          <w:bCs/>
          <w:highlight w:val="none"/>
          <w:lang w:eastAsia="zh-CN"/>
        </w:rPr>
        <w:t>光明区牛山路</w:t>
      </w:r>
      <w:r>
        <w:rPr>
          <w:rFonts w:hint="eastAsia" w:ascii="仿宋_GB2312" w:hAnsi="宋体" w:eastAsia="仿宋_GB2312"/>
          <w:sz w:val="32"/>
          <w:szCs w:val="32"/>
          <w:lang w:val="en-US" w:eastAsia="zh-CN"/>
        </w:rPr>
        <w:t>与德雅路交会处公共服务平台656B室</w:t>
      </w:r>
      <w:r>
        <w:rPr>
          <w:rFonts w:hAnsi="Times New Roman"/>
          <w:bCs/>
          <w:highlight w:val="none"/>
        </w:rPr>
        <w:t>（可邮寄，以送达日期为投标日期）。</w:t>
      </w:r>
    </w:p>
    <w:p>
      <w:pPr>
        <w:shd w:val="clear"/>
        <w:adjustRightInd/>
        <w:snapToGrid/>
        <w:spacing w:beforeLines="0" w:afterLines="0" w:line="560" w:lineRule="exact"/>
        <w:ind w:firstLine="640"/>
        <w:rPr>
          <w:rFonts w:hint="default" w:hAnsi="Times New Roman" w:eastAsia="仿宋_GB2312"/>
          <w:bCs/>
          <w:color w:val="0C0C0C"/>
          <w:highlight w:val="none"/>
          <w:lang w:val="en-US" w:eastAsia="zh-CN"/>
        </w:rPr>
      </w:pPr>
      <w:r>
        <w:rPr>
          <w:rFonts w:hint="eastAsia" w:hAnsi="Times New Roman"/>
          <w:bCs/>
          <w:highlight w:val="none"/>
        </w:rPr>
        <w:t>（三）</w:t>
      </w:r>
      <w:r>
        <w:rPr>
          <w:rFonts w:hint="eastAsia" w:ascii="仿宋_GB2312" w:hAnsi="宋体" w:eastAsia="仿宋_GB2312"/>
          <w:sz w:val="32"/>
          <w:szCs w:val="32"/>
          <w:lang w:val="en-US" w:eastAsia="zh-CN"/>
        </w:rPr>
        <w:t>联系人：黄小姐，联系电话：</w:t>
      </w:r>
      <w:r>
        <w:rPr>
          <w:rFonts w:hint="eastAsia" w:hAnsi="宋体"/>
          <w:sz w:val="32"/>
          <w:szCs w:val="32"/>
          <w:lang w:val="en-US" w:eastAsia="zh-CN"/>
        </w:rPr>
        <w:t>0755-</w:t>
      </w:r>
      <w:r>
        <w:rPr>
          <w:rFonts w:hint="eastAsia" w:ascii="仿宋_GB2312" w:hAnsi="宋体" w:eastAsia="仿宋_GB2312"/>
          <w:sz w:val="32"/>
          <w:szCs w:val="32"/>
          <w:lang w:val="en-US" w:eastAsia="zh-CN"/>
        </w:rPr>
        <w:t>88213463。</w:t>
      </w:r>
    </w:p>
    <w:p>
      <w:pPr>
        <w:shd w:val="clear"/>
        <w:spacing w:beforeLines="0" w:afterLines="0" w:line="560" w:lineRule="exact"/>
        <w:ind w:firstLine="640"/>
        <w:rPr>
          <w:rFonts w:hint="eastAsia" w:ascii="黑体" w:hAnsi="黑体" w:eastAsia="黑体"/>
          <w:highlight w:val="none"/>
        </w:rPr>
      </w:pPr>
      <w:r>
        <w:rPr>
          <w:rFonts w:hint="eastAsia" w:ascii="黑体" w:hAnsi="黑体" w:eastAsia="黑体"/>
          <w:highlight w:val="none"/>
        </w:rPr>
        <w:t>八、投标文件递交内容</w:t>
      </w:r>
    </w:p>
    <w:p>
      <w:pPr>
        <w:keepNext w:val="0"/>
        <w:keepLines w:val="0"/>
        <w:pageBreakBefore w:val="0"/>
        <w:widowControl w:val="0"/>
        <w:shd w:val="clear"/>
        <w:kinsoku/>
        <w:wordWrap/>
        <w:overflowPunct/>
        <w:topLinePunct w:val="0"/>
        <w:autoSpaceDE/>
        <w:autoSpaceDN/>
        <w:bidi w:val="0"/>
        <w:adjustRightInd/>
        <w:snapToGrid/>
        <w:spacing w:beforeLines="0" w:afterLines="0" w:line="560" w:lineRule="exact"/>
        <w:ind w:right="0" w:rightChars="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须包含以下资料，复印件需加盖单位公章：</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（一）投标单位简介、投标人营业执照及相关证照（提供加盖公章的复印件，原件备查）</w:t>
      </w:r>
      <w:r>
        <w:rPr>
          <w:rFonts w:hint="eastAsia" w:hAnsi="仿宋" w:cs="仿宋_GB2312"/>
          <w:highlight w:val="none"/>
          <w:lang w:eastAsia="zh-CN"/>
        </w:rPr>
        <w:t>、供应商基本情况表（格式见附件</w:t>
      </w:r>
      <w:r>
        <w:rPr>
          <w:rFonts w:hint="eastAsia" w:hAnsi="仿宋" w:cs="仿宋_GB2312"/>
          <w:highlight w:val="none"/>
          <w:lang w:val="en-US" w:eastAsia="zh-CN"/>
        </w:rPr>
        <w:t>1</w:t>
      </w:r>
      <w:r>
        <w:rPr>
          <w:rFonts w:hint="eastAsia" w:hAnsi="仿宋" w:cs="仿宋_GB2312"/>
          <w:highlight w:val="none"/>
          <w:lang w:eastAsia="zh-CN"/>
        </w:rPr>
        <w:t>）</w:t>
      </w:r>
      <w:r>
        <w:rPr>
          <w:rFonts w:hint="eastAsia" w:hAnsi="仿宋" w:cs="仿宋_GB2312"/>
          <w:highlight w:val="none"/>
        </w:rPr>
        <w:t>。</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（二）法定代表人证明书及授权委托书（原件加盖公章）。</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（三）法定代表人及受委托人身份证复印件（复印件加盖公章）。</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（四）项目方案及报价单（原件加盖公章）。</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（五）投标人相关领域/项目经验证明材料（复印件加盖公章）。</w:t>
      </w:r>
    </w:p>
    <w:p>
      <w:pPr>
        <w:keepNext w:val="0"/>
        <w:keepLines w:val="0"/>
        <w:pageBreakBefore w:val="0"/>
        <w:widowControl w:val="0"/>
        <w:shd w:val="clear"/>
        <w:kinsoku/>
        <w:wordWrap/>
        <w:overflowPunct/>
        <w:topLinePunct w:val="0"/>
        <w:autoSpaceDE/>
        <w:autoSpaceDN/>
        <w:bidi w:val="0"/>
        <w:adjustRightInd/>
        <w:snapToGrid/>
        <w:spacing w:beforeLines="0" w:afterLines="0"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hAnsi="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val="en-US" w:eastAsia="zh-CN"/>
        </w:rPr>
        <w:t>）法定代表人、投标授权代表人、项目负责人最近</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个月的社保缴纳证明，企业股权关系证明</w:t>
      </w:r>
      <w:r>
        <w:rPr>
          <w:rFonts w:hint="eastAsia" w:ascii="仿宋_GB2312" w:hAnsi="仿宋_GB2312" w:eastAsia="仿宋_GB2312" w:cs="仿宋_GB2312"/>
          <w:sz w:val="32"/>
          <w:szCs w:val="32"/>
          <w:highlight w:val="none"/>
        </w:rPr>
        <w:t>（原件加盖公章）</w:t>
      </w:r>
      <w:r>
        <w:rPr>
          <w:rFonts w:hint="eastAsia" w:ascii="仿宋_GB2312" w:hAnsi="仿宋_GB2312" w:eastAsia="仿宋_GB2312" w:cs="仿宋_GB2312"/>
          <w:sz w:val="32"/>
          <w:szCs w:val="32"/>
          <w:highlight w:val="none"/>
          <w:lang w:val="en-US" w:eastAsia="zh-CN"/>
        </w:rPr>
        <w:t>。</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w:t>
      </w:r>
      <w:r>
        <w:rPr>
          <w:rFonts w:hint="eastAsia" w:hAnsi="仿宋" w:cs="仿宋_GB2312"/>
          <w:highlight w:val="none"/>
          <w:lang w:eastAsia="zh-CN"/>
        </w:rPr>
        <w:t>七</w:t>
      </w:r>
      <w:r>
        <w:rPr>
          <w:rFonts w:hint="eastAsia" w:hAnsi="仿宋" w:cs="仿宋_GB2312"/>
          <w:highlight w:val="none"/>
        </w:rPr>
        <w:t>）投标人无重大违法记录声明函（原件加盖公章，格式自拟）。</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w:t>
      </w:r>
      <w:r>
        <w:rPr>
          <w:rFonts w:hint="eastAsia" w:hAnsi="仿宋" w:cs="仿宋_GB2312"/>
          <w:highlight w:val="none"/>
          <w:lang w:eastAsia="zh-CN"/>
        </w:rPr>
        <w:t>八</w:t>
      </w:r>
      <w:r>
        <w:rPr>
          <w:rFonts w:hint="eastAsia" w:hAnsi="仿宋" w:cs="仿宋_GB2312"/>
          <w:highlight w:val="none"/>
        </w:rPr>
        <w:t>）投标及履约承诺函原件（格式见附件</w:t>
      </w:r>
      <w:r>
        <w:rPr>
          <w:rFonts w:hint="eastAsia" w:hAnsi="仿宋" w:cs="仿宋_GB2312"/>
          <w:highlight w:val="none"/>
          <w:lang w:val="en-US" w:eastAsia="zh-CN"/>
        </w:rPr>
        <w:t>2</w:t>
      </w:r>
      <w:r>
        <w:rPr>
          <w:rFonts w:hint="eastAsia" w:hAnsi="仿宋" w:cs="仿宋_GB2312"/>
          <w:highlight w:val="none"/>
        </w:rPr>
        <w:t>）。</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w:t>
      </w:r>
      <w:r>
        <w:rPr>
          <w:rFonts w:hint="eastAsia" w:hAnsi="仿宋" w:cs="仿宋_GB2312"/>
          <w:highlight w:val="none"/>
          <w:lang w:eastAsia="zh-CN"/>
        </w:rPr>
        <w:t>九</w:t>
      </w:r>
      <w:r>
        <w:rPr>
          <w:rFonts w:hint="eastAsia" w:hAnsi="仿宋" w:cs="仿宋_GB2312"/>
          <w:highlight w:val="none"/>
        </w:rPr>
        <w:t>）</w:t>
      </w:r>
      <w:r>
        <w:rPr>
          <w:rFonts w:hint="eastAsia" w:ascii="仿宋_GB2312" w:hAnsi="仿宋_GB2312" w:eastAsia="仿宋_GB2312" w:cs="仿宋_GB2312"/>
          <w:sz w:val="32"/>
          <w:szCs w:val="32"/>
          <w:highlight w:val="none"/>
          <w:lang w:val="en-US" w:eastAsia="zh-CN"/>
        </w:rPr>
        <w:t>综合评分表要求提供的材料，以及</w:t>
      </w:r>
      <w:r>
        <w:rPr>
          <w:rFonts w:hint="eastAsia" w:hAnsi="仿宋" w:cs="仿宋_GB2312"/>
          <w:highlight w:val="none"/>
        </w:rPr>
        <w:t>投标人认为有必要提供的其它材料。</w:t>
      </w:r>
    </w:p>
    <w:p>
      <w:pPr>
        <w:shd w:val="clear"/>
        <w:spacing w:beforeLines="0" w:afterLines="0" w:line="560" w:lineRule="exact"/>
        <w:ind w:firstLine="640"/>
        <w:rPr>
          <w:rFonts w:hint="eastAsia" w:ascii="仿宋" w:hAnsi="仿宋" w:eastAsia="仿宋" w:cs="仿宋_GB2312"/>
          <w:highlight w:val="none"/>
        </w:rPr>
      </w:pPr>
      <w:r>
        <w:rPr>
          <w:rFonts w:hint="eastAsia" w:hAnsi="仿宋" w:cs="仿宋_GB2312"/>
          <w:highlight w:val="none"/>
        </w:rPr>
        <w:t>投标文件一式</w:t>
      </w:r>
      <w:r>
        <w:rPr>
          <w:rFonts w:hint="eastAsia" w:hAnsi="仿宋" w:cs="仿宋_GB2312"/>
          <w:highlight w:val="none"/>
          <w:lang w:eastAsia="zh-CN"/>
        </w:rPr>
        <w:t>三</w:t>
      </w:r>
      <w:r>
        <w:rPr>
          <w:rFonts w:hint="eastAsia" w:hAnsi="仿宋" w:cs="仿宋_GB2312"/>
          <w:highlight w:val="none"/>
        </w:rPr>
        <w:t>份，整套纸质材料密封并加盖骑缝章，封面注明</w:t>
      </w:r>
      <w:r>
        <w:rPr>
          <w:rFonts w:hAnsi="仿宋" w:cs="仿宋_GB2312"/>
          <w:highlight w:val="none"/>
        </w:rPr>
        <w:t>项目名称</w:t>
      </w:r>
      <w:r>
        <w:rPr>
          <w:rFonts w:hint="eastAsia" w:hAnsi="仿宋" w:cs="仿宋_GB2312"/>
          <w:highlight w:val="none"/>
          <w:lang w:eastAsia="zh-CN"/>
        </w:rPr>
        <w:t>，以及</w:t>
      </w:r>
      <w:r>
        <w:rPr>
          <w:rFonts w:hint="eastAsia" w:hAnsi="仿宋" w:cs="仿宋_GB2312"/>
          <w:highlight w:val="none"/>
        </w:rPr>
        <w:t>投标人的名称、地址、联系人及手机号码。</w:t>
      </w:r>
    </w:p>
    <w:p>
      <w:pPr>
        <w:shd w:val="clear"/>
        <w:spacing w:beforeLines="0" w:afterLines="0" w:line="560" w:lineRule="exact"/>
        <w:ind w:firstLine="640"/>
        <w:rPr>
          <w:rFonts w:hint="eastAsia" w:ascii="黑体" w:hAnsi="黑体" w:eastAsia="黑体"/>
          <w:highlight w:val="none"/>
        </w:rPr>
      </w:pPr>
      <w:r>
        <w:rPr>
          <w:rFonts w:hint="eastAsia" w:ascii="黑体" w:hAnsi="黑体" w:eastAsia="黑体"/>
          <w:highlight w:val="none"/>
        </w:rPr>
        <w:t>九、重要提示</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投标单位有下列情况之一的，其投标将被拒绝或作无效投标处理：</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（一）未在规定时间内将投标文件送达规定地点的。</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（二）投标人不具备投标资格要求，或未提交相应资格证明材料。</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（三）投标文件未按规定密封、签字、盖章。</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（四）投标文件无法定代表人签字或无法定代表人有效授权委托的。</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（五）分项报价或投标总价高于预算金额（最高投标限价）的。</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（六）同一项目出现两个及以上报价，且按规定无法确定哪个是有效报价</w:t>
      </w:r>
      <w:r>
        <w:rPr>
          <w:rFonts w:hint="eastAsia" w:hAnsi="仿宋" w:cs="仿宋_GB2312"/>
          <w:highlight w:val="none"/>
          <w:lang w:eastAsia="zh-CN"/>
        </w:rPr>
        <w:t>的</w:t>
      </w:r>
      <w:r>
        <w:rPr>
          <w:rFonts w:hint="eastAsia" w:hAnsi="仿宋" w:cs="仿宋_GB2312"/>
          <w:highlight w:val="none"/>
        </w:rPr>
        <w:t>。</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shd w:val="clear"/>
        <w:spacing w:beforeLines="0" w:afterLines="0" w:line="560" w:lineRule="exact"/>
        <w:ind w:firstLine="640"/>
        <w:rPr>
          <w:rFonts w:hint="eastAsia" w:hAnsi="仿宋" w:cs="仿宋_GB2312"/>
          <w:highlight w:val="none"/>
        </w:rPr>
      </w:pPr>
      <w:r>
        <w:rPr>
          <w:rFonts w:hint="eastAsia" w:hAnsi="仿宋" w:cs="仿宋_GB2312"/>
          <w:highlight w:val="none"/>
        </w:rPr>
        <w:t>（八）所投服务在质量、技术、方案等方面没有实质性满足招标文件要求。</w:t>
      </w:r>
    </w:p>
    <w:p>
      <w:pPr>
        <w:shd w:val="clear"/>
        <w:spacing w:beforeLines="0" w:afterLines="0" w:line="560" w:lineRule="exact"/>
        <w:ind w:firstLine="640"/>
        <w:rPr>
          <w:rFonts w:hint="eastAsia" w:ascii="黑体" w:hAnsi="黑体" w:eastAsia="黑体"/>
          <w:highlight w:val="none"/>
        </w:rPr>
      </w:pPr>
      <w:r>
        <w:rPr>
          <w:rFonts w:hint="eastAsia" w:hAnsi="仿宋" w:cs="仿宋_GB2312"/>
          <w:highlight w:val="none"/>
        </w:rPr>
        <w:t>（九）法律、法规规定的其他情形。</w:t>
      </w:r>
    </w:p>
    <w:p>
      <w:pPr>
        <w:shd w:val="clear"/>
        <w:spacing w:beforeLines="0" w:afterLines="0" w:line="560" w:lineRule="exact"/>
        <w:ind w:firstLine="640"/>
        <w:rPr>
          <w:rFonts w:hint="eastAsia" w:ascii="黑体" w:hAnsi="黑体" w:eastAsia="黑体"/>
          <w:highlight w:val="none"/>
        </w:rPr>
      </w:pPr>
      <w:r>
        <w:rPr>
          <w:rFonts w:hint="eastAsia" w:ascii="黑体" w:hAnsi="黑体" w:eastAsia="黑体"/>
          <w:highlight w:val="none"/>
        </w:rPr>
        <w:t>十、评标方法</w:t>
      </w:r>
    </w:p>
    <w:p>
      <w:pPr>
        <w:widowControl w:val="0"/>
        <w:shd w:val="clear"/>
        <w:adjustRightInd/>
        <w:snapToGrid/>
        <w:spacing w:beforeLines="0" w:afterLines="0" w:line="560" w:lineRule="exact"/>
        <w:ind w:firstLine="640"/>
        <w:rPr>
          <w:rFonts w:hint="eastAsia" w:ascii="楷体_GB2312" w:hAnsi="黑体" w:eastAsia="楷体_GB2312" w:cs="黑体"/>
          <w:highlight w:val="none"/>
        </w:rPr>
      </w:pPr>
      <w:r>
        <w:rPr>
          <w:rFonts w:hint="eastAsia" w:ascii="楷体_GB2312" w:hAnsi="黑体" w:eastAsia="楷体_GB2312" w:cs="黑体"/>
          <w:highlight w:val="none"/>
        </w:rPr>
        <w:t>（一）评分规则</w:t>
      </w:r>
    </w:p>
    <w:p>
      <w:pPr>
        <w:shd w:val="clear"/>
        <w:spacing w:beforeLines="0" w:afterLines="0" w:line="560" w:lineRule="exact"/>
        <w:ind w:firstLine="640"/>
        <w:rPr>
          <w:rFonts w:hint="eastAsia" w:ascii="黑体" w:hAnsi="黑体" w:eastAsia="黑体" w:cs="仿宋_GB2312"/>
          <w:bCs/>
          <w:color w:val="000000"/>
          <w:highlight w:val="none"/>
        </w:rPr>
      </w:pPr>
      <w:r>
        <w:rPr>
          <w:rFonts w:hint="eastAsia"/>
          <w:color w:val="000000"/>
          <w:highlight w:val="none"/>
        </w:rPr>
        <w:t>评标</w:t>
      </w:r>
      <w:r>
        <w:rPr>
          <w:rFonts w:hint="eastAsia"/>
          <w:color w:val="000000"/>
          <w:highlight w:val="none"/>
          <w:lang w:eastAsia="zh-CN"/>
        </w:rPr>
        <w:t>方法</w:t>
      </w:r>
      <w:r>
        <w:rPr>
          <w:rFonts w:hint="eastAsia"/>
          <w:color w:val="000000"/>
          <w:highlight w:val="none"/>
        </w:rPr>
        <w:t>采用综合评分法。确定中标供应商按评审后得分由高到低顺序排列。得分相同的，按投标报价由低到高顺序排列。得分且投标报价相同的，按技术或服务方案优劣顺序排列。</w:t>
      </w:r>
    </w:p>
    <w:p>
      <w:pPr>
        <w:widowControl w:val="0"/>
        <w:shd w:val="clear"/>
        <w:adjustRightInd/>
        <w:snapToGrid/>
        <w:spacing w:beforeLines="0" w:afterLines="0"/>
        <w:ind w:firstLine="640"/>
        <w:rPr>
          <w:rFonts w:hint="eastAsia" w:ascii="楷体_GB2312" w:hAnsi="黑体" w:eastAsia="楷体_GB2312" w:cs="黑体"/>
          <w:highlight w:val="none"/>
        </w:rPr>
      </w:pPr>
      <w:r>
        <w:rPr>
          <w:rFonts w:hint="eastAsia" w:ascii="楷体_GB2312" w:hAnsi="黑体" w:eastAsia="楷体_GB2312" w:cs="黑体"/>
          <w:highlight w:val="none"/>
        </w:rPr>
        <w:t>（二）评分权重</w:t>
      </w:r>
    </w:p>
    <w:tbl>
      <w:tblPr>
        <w:tblStyle w:val="11"/>
        <w:tblW w:w="7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883"/>
        <w:gridCol w:w="168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pStyle w:val="15"/>
              <w:shd w:val="clear"/>
              <w:spacing w:line="360" w:lineRule="auto"/>
              <w:ind w:firstLine="0" w:firstLineChars="0"/>
              <w:jc w:val="center"/>
              <w:rPr>
                <w:rFonts w:hint="eastAsia" w:ascii="仿宋_GB2312" w:hAnsi="仿宋_GB2312" w:cs="仿宋_GB2312"/>
                <w:bCs/>
                <w:color w:val="000000"/>
                <w:szCs w:val="24"/>
                <w:highlight w:val="none"/>
              </w:rPr>
            </w:pPr>
            <w:r>
              <w:rPr>
                <w:rFonts w:hint="eastAsia" w:ascii="仿宋_GB2312" w:hAnsi="仿宋_GB2312" w:cs="仿宋_GB2312"/>
                <w:bCs/>
                <w:color w:val="000000"/>
                <w:szCs w:val="24"/>
                <w:highlight w:val="none"/>
              </w:rPr>
              <w:t>评分内容</w:t>
            </w:r>
          </w:p>
        </w:tc>
        <w:tc>
          <w:tcPr>
            <w:tcW w:w="1883" w:type="dxa"/>
            <w:vAlign w:val="center"/>
          </w:tcPr>
          <w:p>
            <w:pPr>
              <w:pStyle w:val="15"/>
              <w:shd w:val="clear"/>
              <w:spacing w:line="360" w:lineRule="auto"/>
              <w:ind w:firstLine="0" w:firstLineChars="0"/>
              <w:jc w:val="center"/>
              <w:rPr>
                <w:rFonts w:hint="eastAsia" w:ascii="仿宋_GB2312" w:hAnsi="仿宋_GB2312" w:eastAsia="仿宋_GB2312" w:cs="仿宋_GB2312"/>
                <w:bCs/>
                <w:color w:val="000000"/>
                <w:szCs w:val="24"/>
                <w:highlight w:val="none"/>
                <w:lang w:eastAsia="zh-CN"/>
              </w:rPr>
            </w:pPr>
            <w:r>
              <w:rPr>
                <w:rFonts w:hint="eastAsia" w:ascii="仿宋_GB2312" w:hAnsi="仿宋_GB2312" w:cs="仿宋_GB2312"/>
                <w:bCs/>
                <w:color w:val="000000"/>
                <w:szCs w:val="24"/>
                <w:highlight w:val="none"/>
                <w:lang w:eastAsia="zh-CN"/>
              </w:rPr>
              <w:t>技术部分</w:t>
            </w:r>
          </w:p>
        </w:tc>
        <w:tc>
          <w:tcPr>
            <w:tcW w:w="1681" w:type="dxa"/>
            <w:vAlign w:val="center"/>
          </w:tcPr>
          <w:p>
            <w:pPr>
              <w:pStyle w:val="15"/>
              <w:shd w:val="clear"/>
              <w:spacing w:line="360" w:lineRule="auto"/>
              <w:ind w:firstLine="0" w:firstLineChars="0"/>
              <w:jc w:val="center"/>
              <w:rPr>
                <w:rFonts w:hint="eastAsia" w:ascii="仿宋_GB2312" w:hAnsi="仿宋_GB2312" w:cs="仿宋_GB2312"/>
                <w:bCs/>
                <w:color w:val="000000"/>
                <w:szCs w:val="24"/>
                <w:highlight w:val="none"/>
              </w:rPr>
            </w:pPr>
            <w:r>
              <w:rPr>
                <w:rFonts w:hint="eastAsia" w:ascii="仿宋_GB2312" w:hAnsi="仿宋_GB2312" w:cs="仿宋_GB2312"/>
                <w:bCs/>
                <w:color w:val="000000"/>
                <w:szCs w:val="24"/>
                <w:highlight w:val="none"/>
                <w:lang w:eastAsia="zh-CN"/>
              </w:rPr>
              <w:t>商务部分</w:t>
            </w:r>
          </w:p>
        </w:tc>
        <w:tc>
          <w:tcPr>
            <w:tcW w:w="1979" w:type="dxa"/>
            <w:vAlign w:val="center"/>
          </w:tcPr>
          <w:p>
            <w:pPr>
              <w:pStyle w:val="15"/>
              <w:shd w:val="clear"/>
              <w:spacing w:line="360" w:lineRule="auto"/>
              <w:ind w:firstLine="0" w:firstLineChars="0"/>
              <w:jc w:val="center"/>
              <w:rPr>
                <w:rFonts w:hint="eastAsia" w:ascii="仿宋_GB2312" w:hAnsi="仿宋_GB2312" w:eastAsia="仿宋_GB2312" w:cs="仿宋_GB2312"/>
                <w:bCs/>
                <w:color w:val="000000"/>
                <w:szCs w:val="24"/>
                <w:highlight w:val="none"/>
                <w:lang w:eastAsia="zh-CN"/>
              </w:rPr>
            </w:pPr>
            <w:r>
              <w:rPr>
                <w:rFonts w:hint="eastAsia" w:ascii="仿宋_GB2312" w:hAnsi="仿宋_GB2312" w:cs="仿宋_GB2312"/>
                <w:bCs/>
                <w:color w:val="000000"/>
                <w:szCs w:val="24"/>
                <w:highlight w:val="none"/>
                <w:lang w:eastAsia="zh-CN"/>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pStyle w:val="15"/>
              <w:shd w:val="clear"/>
              <w:spacing w:line="360" w:lineRule="auto"/>
              <w:ind w:firstLine="0" w:firstLineChars="0"/>
              <w:jc w:val="center"/>
              <w:rPr>
                <w:rFonts w:hint="eastAsia" w:ascii="仿宋_GB2312" w:hAnsi="仿宋_GB2312" w:cs="仿宋_GB2312"/>
                <w:b w:val="0"/>
                <w:bCs/>
                <w:color w:val="000000"/>
                <w:szCs w:val="24"/>
                <w:highlight w:val="none"/>
              </w:rPr>
            </w:pPr>
            <w:r>
              <w:rPr>
                <w:rFonts w:hint="eastAsia" w:ascii="仿宋_GB2312" w:hAnsi="仿宋_GB2312" w:cs="仿宋_GB2312"/>
                <w:b w:val="0"/>
                <w:bCs/>
                <w:color w:val="000000"/>
                <w:szCs w:val="24"/>
                <w:highlight w:val="none"/>
              </w:rPr>
              <w:t>分值</w:t>
            </w:r>
          </w:p>
        </w:tc>
        <w:tc>
          <w:tcPr>
            <w:tcW w:w="1883" w:type="dxa"/>
            <w:vAlign w:val="center"/>
          </w:tcPr>
          <w:p>
            <w:pPr>
              <w:pStyle w:val="15"/>
              <w:shd w:val="clear"/>
              <w:spacing w:line="360" w:lineRule="auto"/>
              <w:ind w:firstLine="0" w:firstLineChars="0"/>
              <w:jc w:val="center"/>
              <w:rPr>
                <w:rFonts w:hint="eastAsia" w:ascii="仿宋_GB2312" w:hAnsi="仿宋_GB2312" w:cs="仿宋_GB2312"/>
                <w:b w:val="0"/>
                <w:bCs/>
                <w:color w:val="000000"/>
                <w:szCs w:val="24"/>
                <w:highlight w:val="none"/>
              </w:rPr>
            </w:pPr>
            <w:r>
              <w:rPr>
                <w:rFonts w:hint="eastAsia" w:ascii="仿宋_GB2312" w:hAnsi="仿宋_GB2312" w:cs="仿宋_GB2312"/>
                <w:b w:val="0"/>
                <w:bCs/>
                <w:color w:val="000000"/>
                <w:szCs w:val="24"/>
                <w:highlight w:val="none"/>
                <w:lang w:val="en-US" w:eastAsia="zh-CN"/>
              </w:rPr>
              <w:t>40</w:t>
            </w:r>
            <w:r>
              <w:rPr>
                <w:rFonts w:hint="eastAsia" w:ascii="仿宋_GB2312" w:hAnsi="仿宋_GB2312" w:cs="仿宋_GB2312"/>
                <w:b w:val="0"/>
                <w:bCs/>
                <w:color w:val="000000"/>
                <w:szCs w:val="24"/>
                <w:highlight w:val="none"/>
              </w:rPr>
              <w:t>分</w:t>
            </w:r>
          </w:p>
        </w:tc>
        <w:tc>
          <w:tcPr>
            <w:tcW w:w="1681" w:type="dxa"/>
            <w:vAlign w:val="center"/>
          </w:tcPr>
          <w:p>
            <w:pPr>
              <w:pStyle w:val="15"/>
              <w:shd w:val="clear"/>
              <w:spacing w:line="360" w:lineRule="auto"/>
              <w:ind w:firstLine="0" w:firstLineChars="0"/>
              <w:jc w:val="center"/>
              <w:rPr>
                <w:rFonts w:hint="eastAsia" w:ascii="仿宋_GB2312" w:hAnsi="仿宋_GB2312" w:cs="仿宋_GB2312"/>
                <w:b w:val="0"/>
                <w:bCs/>
                <w:color w:val="000000"/>
                <w:szCs w:val="24"/>
                <w:highlight w:val="none"/>
              </w:rPr>
            </w:pPr>
            <w:r>
              <w:rPr>
                <w:rFonts w:hint="eastAsia" w:ascii="仿宋_GB2312" w:hAnsi="仿宋_GB2312" w:cs="仿宋_GB2312"/>
                <w:b w:val="0"/>
                <w:bCs/>
                <w:color w:val="000000"/>
                <w:szCs w:val="24"/>
                <w:highlight w:val="none"/>
                <w:lang w:val="en-US" w:eastAsia="zh-CN"/>
              </w:rPr>
              <w:t>50</w:t>
            </w:r>
            <w:r>
              <w:rPr>
                <w:rFonts w:hint="eastAsia" w:ascii="仿宋_GB2312" w:hAnsi="仿宋_GB2312" w:cs="仿宋_GB2312"/>
                <w:b w:val="0"/>
                <w:bCs/>
                <w:color w:val="000000"/>
                <w:szCs w:val="24"/>
                <w:highlight w:val="none"/>
              </w:rPr>
              <w:t>分</w:t>
            </w:r>
          </w:p>
        </w:tc>
        <w:tc>
          <w:tcPr>
            <w:tcW w:w="1979" w:type="dxa"/>
            <w:vAlign w:val="center"/>
          </w:tcPr>
          <w:p>
            <w:pPr>
              <w:pStyle w:val="15"/>
              <w:shd w:val="clear"/>
              <w:spacing w:line="360" w:lineRule="auto"/>
              <w:ind w:firstLine="0" w:firstLineChars="0"/>
              <w:jc w:val="center"/>
              <w:rPr>
                <w:rFonts w:hint="eastAsia" w:ascii="仿宋_GB2312" w:hAnsi="仿宋_GB2312" w:cs="仿宋_GB2312"/>
                <w:b w:val="0"/>
                <w:bCs/>
                <w:color w:val="000000"/>
                <w:szCs w:val="24"/>
                <w:highlight w:val="none"/>
              </w:rPr>
            </w:pPr>
            <w:r>
              <w:rPr>
                <w:rFonts w:hint="eastAsia" w:ascii="仿宋_GB2312" w:hAnsi="仿宋_GB2312" w:cs="仿宋_GB2312"/>
                <w:b w:val="0"/>
                <w:bCs/>
                <w:color w:val="000000"/>
                <w:szCs w:val="24"/>
                <w:highlight w:val="none"/>
                <w:lang w:val="en-US" w:eastAsia="zh-CN"/>
              </w:rPr>
              <w:t>1</w:t>
            </w:r>
            <w:r>
              <w:rPr>
                <w:rFonts w:hint="eastAsia" w:ascii="仿宋_GB2312" w:hAnsi="仿宋_GB2312" w:cs="仿宋_GB2312"/>
                <w:b w:val="0"/>
                <w:bCs/>
                <w:color w:val="000000"/>
                <w:szCs w:val="24"/>
                <w:highlight w:val="none"/>
              </w:rPr>
              <w:t>0分</w:t>
            </w:r>
          </w:p>
        </w:tc>
      </w:tr>
    </w:tbl>
    <w:p>
      <w:pPr>
        <w:widowControl/>
        <w:shd w:val="clear"/>
        <w:adjustRightInd/>
        <w:snapToGrid/>
        <w:ind w:firstLine="640"/>
        <w:rPr>
          <w:rFonts w:hint="eastAsia" w:ascii="楷体_GB2312" w:hAnsi="黑体" w:eastAsia="楷体_GB2312" w:cs="黑体"/>
          <w:highlight w:val="none"/>
        </w:rPr>
      </w:pPr>
      <w:r>
        <w:rPr>
          <w:rFonts w:hint="eastAsia" w:ascii="楷体_GB2312" w:hAnsi="黑体" w:eastAsia="楷体_GB2312" w:cs="黑体"/>
          <w:highlight w:val="none"/>
        </w:rPr>
        <w:t>（三）</w:t>
      </w:r>
      <w:r>
        <w:rPr>
          <w:rFonts w:hint="eastAsia" w:ascii="楷体_GB2312" w:hAnsi="黑体" w:eastAsia="楷体_GB2312" w:cs="黑体"/>
          <w:highlight w:val="none"/>
          <w:lang w:eastAsia="zh-CN"/>
        </w:rPr>
        <w:t>综合</w:t>
      </w:r>
      <w:r>
        <w:rPr>
          <w:rFonts w:hint="eastAsia" w:ascii="楷体_GB2312" w:hAnsi="黑体" w:eastAsia="楷体_GB2312" w:cs="黑体"/>
          <w:highlight w:val="none"/>
        </w:rPr>
        <w:t>评分</w:t>
      </w:r>
      <w:r>
        <w:rPr>
          <w:rFonts w:hint="eastAsia" w:ascii="楷体_GB2312" w:hAnsi="黑体" w:eastAsia="楷体_GB2312" w:cs="黑体"/>
          <w:highlight w:val="none"/>
          <w:lang w:eastAsia="zh-CN"/>
        </w:rPr>
        <w:t>表</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27"/>
        <w:gridCol w:w="5641"/>
        <w:gridCol w:w="541"/>
        <w:gridCol w:w="6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0" w:type="auto"/>
            <w:noWrap w:val="0"/>
            <w:vAlign w:val="center"/>
          </w:tcPr>
          <w:p>
            <w:pPr>
              <w:shd w:val="clear"/>
              <w:ind w:left="-118" w:leftChars="-37" w:right="-112" w:rightChars="-35" w:firstLine="0" w:firstLineChars="0"/>
              <w:jc w:val="center"/>
              <w:rPr>
                <w:rFonts w:hint="eastAsia" w:ascii="仿宋_GB2312" w:hAnsi="仿宋_GB2312" w:cs="仿宋_GB2312"/>
                <w:b/>
                <w:sz w:val="22"/>
                <w:szCs w:val="24"/>
                <w:highlight w:val="none"/>
              </w:rPr>
            </w:pPr>
            <w:r>
              <w:rPr>
                <w:rFonts w:hint="eastAsia" w:ascii="仿宋_GB2312" w:hAnsi="仿宋_GB2312" w:cs="仿宋_GB2312"/>
                <w:b/>
                <w:sz w:val="22"/>
                <w:szCs w:val="24"/>
                <w:highlight w:val="none"/>
              </w:rPr>
              <w:t>评审因素</w:t>
            </w:r>
          </w:p>
        </w:tc>
        <w:tc>
          <w:tcPr>
            <w:tcW w:w="5641" w:type="dxa"/>
            <w:noWrap w:val="0"/>
            <w:vAlign w:val="center"/>
          </w:tcPr>
          <w:p>
            <w:pPr>
              <w:shd w:val="clear"/>
              <w:ind w:left="-118" w:leftChars="-37" w:right="-112" w:rightChars="-35" w:firstLine="0" w:firstLineChars="0"/>
              <w:jc w:val="center"/>
              <w:rPr>
                <w:rFonts w:hint="eastAsia" w:ascii="仿宋_GB2312" w:hAnsi="仿宋_GB2312" w:cs="仿宋_GB2312"/>
                <w:b/>
                <w:sz w:val="22"/>
                <w:szCs w:val="24"/>
                <w:highlight w:val="none"/>
              </w:rPr>
            </w:pPr>
            <w:r>
              <w:rPr>
                <w:rFonts w:hint="eastAsia" w:ascii="仿宋_GB2312" w:hAnsi="仿宋_GB2312" w:cs="仿宋_GB2312"/>
                <w:b/>
                <w:sz w:val="22"/>
                <w:szCs w:val="24"/>
                <w:highlight w:val="none"/>
              </w:rPr>
              <w:t>评分细则</w:t>
            </w:r>
          </w:p>
        </w:tc>
        <w:tc>
          <w:tcPr>
            <w:tcW w:w="541" w:type="dxa"/>
            <w:tcBorders>
              <w:right w:val="single" w:color="auto" w:sz="4" w:space="0"/>
            </w:tcBorders>
            <w:noWrap w:val="0"/>
            <w:vAlign w:val="center"/>
          </w:tcPr>
          <w:p>
            <w:pPr>
              <w:shd w:val="clear"/>
              <w:ind w:left="-118" w:leftChars="-37" w:right="-112" w:rightChars="-35" w:firstLine="0" w:firstLineChars="0"/>
              <w:jc w:val="center"/>
              <w:rPr>
                <w:rFonts w:hint="eastAsia" w:ascii="仿宋_GB2312" w:hAnsi="仿宋_GB2312" w:cs="仿宋_GB2312"/>
                <w:b/>
                <w:sz w:val="22"/>
                <w:szCs w:val="24"/>
                <w:highlight w:val="none"/>
              </w:rPr>
            </w:pPr>
            <w:r>
              <w:rPr>
                <w:rFonts w:hint="eastAsia" w:ascii="仿宋_GB2312" w:hAnsi="仿宋_GB2312" w:cs="仿宋_GB2312"/>
                <w:b/>
                <w:sz w:val="22"/>
                <w:szCs w:val="24"/>
                <w:highlight w:val="none"/>
              </w:rPr>
              <w:t>权重（%）</w:t>
            </w:r>
          </w:p>
        </w:tc>
        <w:tc>
          <w:tcPr>
            <w:tcW w:w="0" w:type="auto"/>
            <w:tcBorders>
              <w:left w:val="single" w:color="auto" w:sz="4" w:space="0"/>
            </w:tcBorders>
            <w:noWrap w:val="0"/>
            <w:vAlign w:val="center"/>
          </w:tcPr>
          <w:p>
            <w:pPr>
              <w:shd w:val="clear"/>
              <w:ind w:left="-118" w:leftChars="-37" w:right="-112" w:rightChars="-35" w:firstLine="0" w:firstLineChars="0"/>
              <w:jc w:val="center"/>
              <w:rPr>
                <w:rFonts w:hint="eastAsia" w:ascii="仿宋_GB2312" w:hAnsi="仿宋_GB2312" w:cs="仿宋_GB2312"/>
                <w:b/>
                <w:sz w:val="22"/>
                <w:szCs w:val="24"/>
                <w:highlight w:val="none"/>
              </w:rPr>
            </w:pPr>
            <w:r>
              <w:rPr>
                <w:rFonts w:hint="eastAsia" w:ascii="仿宋_GB2312" w:hAnsi="仿宋_GB2312" w:cs="仿宋_GB2312"/>
                <w:b/>
                <w:sz w:val="22"/>
                <w:szCs w:val="24"/>
                <w:highlight w:val="none"/>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0" w:type="auto"/>
            <w:gridSpan w:val="4"/>
            <w:noWrap w:val="0"/>
            <w:vAlign w:val="center"/>
          </w:tcPr>
          <w:p>
            <w:pPr>
              <w:shd w:val="clear"/>
              <w:ind w:left="-118" w:leftChars="-37" w:right="-112" w:rightChars="-35" w:firstLine="0" w:firstLineChars="0"/>
              <w:jc w:val="center"/>
              <w:rPr>
                <w:rFonts w:hint="eastAsia" w:ascii="仿宋_GB2312" w:hAnsi="仿宋_GB2312" w:cs="仿宋_GB2312"/>
                <w:b/>
                <w:sz w:val="22"/>
                <w:szCs w:val="24"/>
                <w:highlight w:val="none"/>
              </w:rPr>
            </w:pPr>
            <w:r>
              <w:rPr>
                <w:rFonts w:hint="eastAsia" w:ascii="仿宋_GB2312" w:hAnsi="仿宋_GB2312" w:cs="仿宋_GB2312"/>
                <w:b/>
                <w:sz w:val="22"/>
                <w:szCs w:val="24"/>
                <w:highlight w:val="none"/>
                <w:lang w:eastAsia="zh-CN"/>
              </w:rPr>
              <w:t>一、</w:t>
            </w:r>
            <w:r>
              <w:rPr>
                <w:rFonts w:hint="eastAsia" w:ascii="仿宋_GB2312" w:hAnsi="仿宋_GB2312" w:cs="仿宋_GB2312"/>
                <w:b/>
                <w:sz w:val="22"/>
                <w:szCs w:val="24"/>
                <w:highlight w:val="none"/>
              </w:rPr>
              <w:t>技术部分（合计</w:t>
            </w:r>
            <w:r>
              <w:rPr>
                <w:rFonts w:hint="eastAsia" w:ascii="仿宋_GB2312" w:hAnsi="仿宋_GB2312" w:cs="仿宋_GB2312"/>
                <w:b/>
                <w:sz w:val="22"/>
                <w:szCs w:val="24"/>
                <w:highlight w:val="none"/>
                <w:lang w:val="en-US" w:eastAsia="zh-CN"/>
              </w:rPr>
              <w:t>40</w:t>
            </w:r>
            <w:r>
              <w:rPr>
                <w:rFonts w:hint="eastAsia" w:ascii="仿宋_GB2312" w:hAnsi="仿宋_GB2312" w:cs="仿宋_GB2312"/>
                <w:b/>
                <w:sz w:val="22"/>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0" w:type="auto"/>
            <w:noWrap w:val="0"/>
            <w:vAlign w:val="center"/>
          </w:tcPr>
          <w:p>
            <w:pPr>
              <w:shd w:val="clear"/>
              <w:spacing w:line="300" w:lineRule="exact"/>
              <w:ind w:firstLine="0" w:firstLineChars="0"/>
              <w:jc w:val="center"/>
              <w:rPr>
                <w:rFonts w:hint="eastAsia" w:ascii="仿宋_GB2312" w:hAnsi="仿宋_GB2312" w:cs="仿宋_GB2312"/>
                <w:sz w:val="22"/>
                <w:szCs w:val="24"/>
                <w:highlight w:val="none"/>
              </w:rPr>
            </w:pPr>
            <w:r>
              <w:rPr>
                <w:rFonts w:hint="eastAsia" w:ascii="仿宋_GB2312" w:hAnsi="仿宋_GB2312" w:cs="仿宋_GB2312"/>
                <w:sz w:val="22"/>
                <w:szCs w:val="24"/>
                <w:highlight w:val="none"/>
                <w:lang w:eastAsia="zh-CN"/>
              </w:rPr>
              <w:t>（一）</w:t>
            </w:r>
            <w:r>
              <w:rPr>
                <w:rFonts w:hint="eastAsia" w:ascii="仿宋_GB2312" w:hAnsi="仿宋_GB2312" w:cs="仿宋_GB2312"/>
                <w:sz w:val="22"/>
                <w:szCs w:val="24"/>
                <w:highlight w:val="none"/>
              </w:rPr>
              <w:t>实施方案</w:t>
            </w:r>
          </w:p>
        </w:tc>
        <w:tc>
          <w:tcPr>
            <w:tcW w:w="5641" w:type="dxa"/>
            <w:noWrap w:val="0"/>
            <w:vAlign w:val="top"/>
          </w:tcPr>
          <w:p>
            <w:pPr>
              <w:shd w:val="clear"/>
              <w:spacing w:line="300" w:lineRule="exact"/>
              <w:ind w:firstLine="0" w:firstLineChars="0"/>
              <w:jc w:val="both"/>
              <w:rPr>
                <w:rFonts w:hint="eastAsia" w:ascii="仿宋_GB2312" w:hAnsi="仿宋_GB2312" w:cs="仿宋_GB2312"/>
                <w:b/>
                <w:kern w:val="0"/>
                <w:sz w:val="22"/>
                <w:szCs w:val="24"/>
                <w:highlight w:val="none"/>
              </w:rPr>
            </w:pPr>
            <w:r>
              <w:rPr>
                <w:rFonts w:hint="eastAsia" w:ascii="仿宋_GB2312" w:hAnsi="仿宋_GB2312" w:cs="仿宋_GB2312"/>
                <w:b/>
                <w:kern w:val="0"/>
                <w:sz w:val="22"/>
                <w:szCs w:val="24"/>
                <w:highlight w:val="none"/>
              </w:rPr>
              <w:t>1.评分内容：</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投标人应当提供项目实施方案，提供得</w:t>
            </w:r>
            <w:r>
              <w:rPr>
                <w:rFonts w:hint="eastAsia" w:ascii="仿宋_GB2312" w:hAnsi="仿宋_GB2312" w:cs="仿宋_GB2312"/>
                <w:kern w:val="0"/>
                <w:sz w:val="22"/>
                <w:szCs w:val="24"/>
                <w:highlight w:val="none"/>
                <w:lang w:val="en-US" w:eastAsia="zh-CN"/>
              </w:rPr>
              <w:t>4</w:t>
            </w:r>
            <w:r>
              <w:rPr>
                <w:rFonts w:hint="eastAsia" w:ascii="仿宋_GB2312" w:hAnsi="仿宋_GB2312" w:cs="仿宋_GB2312"/>
                <w:kern w:val="0"/>
                <w:sz w:val="22"/>
                <w:szCs w:val="24"/>
                <w:highlight w:val="none"/>
                <w:lang w:eastAsia="zh-CN"/>
              </w:rPr>
              <w:t>分</w:t>
            </w:r>
            <w:r>
              <w:rPr>
                <w:rFonts w:hint="eastAsia" w:ascii="仿宋_GB2312" w:hAnsi="仿宋_GB2312" w:cs="仿宋_GB2312"/>
                <w:kern w:val="0"/>
                <w:sz w:val="22"/>
                <w:szCs w:val="24"/>
                <w:highlight w:val="none"/>
              </w:rPr>
              <w:t>，不提供</w:t>
            </w:r>
            <w:r>
              <w:rPr>
                <w:rFonts w:hint="eastAsia" w:ascii="仿宋_GB2312" w:hAnsi="仿宋_GB2312" w:cs="仿宋_GB2312"/>
                <w:kern w:val="0"/>
                <w:sz w:val="22"/>
                <w:szCs w:val="24"/>
                <w:highlight w:val="none"/>
                <w:lang w:eastAsia="zh-CN"/>
              </w:rPr>
              <w:t>不得分</w:t>
            </w:r>
            <w:r>
              <w:rPr>
                <w:rFonts w:hint="eastAsia" w:ascii="仿宋_GB2312" w:hAnsi="仿宋_GB2312" w:cs="仿宋_GB2312"/>
                <w:kern w:val="0"/>
                <w:sz w:val="22"/>
                <w:szCs w:val="24"/>
                <w:highlight w:val="none"/>
              </w:rPr>
              <w:t>。在此基础上，考察以下方面：</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（1）实施方案内容是否具体；</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（2）实施方案内容是否合理；</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（3）实施方案内容呈现出的对</w:t>
            </w:r>
            <w:r>
              <w:rPr>
                <w:rFonts w:hint="eastAsia" w:ascii="仿宋_GB2312" w:hAnsi="仿宋_GB2312" w:cs="仿宋_GB2312"/>
                <w:kern w:val="0"/>
                <w:sz w:val="22"/>
                <w:szCs w:val="24"/>
                <w:highlight w:val="none"/>
                <w:lang w:val="en-US" w:eastAsia="zh-CN"/>
              </w:rPr>
              <w:t>光明区经济社会发展各方面</w:t>
            </w:r>
            <w:r>
              <w:rPr>
                <w:rFonts w:hint="eastAsia" w:ascii="仿宋_GB2312" w:hAnsi="仿宋_GB2312" w:cs="仿宋_GB2312"/>
                <w:kern w:val="0"/>
                <w:sz w:val="22"/>
                <w:szCs w:val="24"/>
                <w:highlight w:val="none"/>
              </w:rPr>
              <w:t>相关情况的熟悉程度；</w:t>
            </w:r>
          </w:p>
          <w:p>
            <w:pPr>
              <w:shd w:val="clear"/>
              <w:spacing w:line="300" w:lineRule="exact"/>
              <w:ind w:left="-118" w:leftChars="-37" w:right="-112" w:rightChars="-35" w:firstLine="0" w:firstLineChars="0"/>
              <w:jc w:val="both"/>
              <w:rPr>
                <w:rFonts w:hint="eastAsia" w:ascii="仿宋_GB2312" w:hAnsi="仿宋_GB2312" w:eastAsia="仿宋_GB2312" w:cs="仿宋_GB2312"/>
                <w:kern w:val="0"/>
                <w:sz w:val="22"/>
                <w:szCs w:val="24"/>
                <w:highlight w:val="none"/>
                <w:lang w:eastAsia="zh-CN"/>
              </w:rPr>
            </w:pPr>
            <w:r>
              <w:rPr>
                <w:rFonts w:hint="eastAsia" w:ascii="仿宋_GB2312" w:hAnsi="仿宋_GB2312" w:cs="仿宋_GB2312"/>
                <w:kern w:val="0"/>
                <w:sz w:val="22"/>
                <w:szCs w:val="24"/>
                <w:highlight w:val="none"/>
              </w:rPr>
              <w:t>（4）实施方案内容是否具有可操作性</w:t>
            </w:r>
            <w:r>
              <w:rPr>
                <w:rFonts w:hint="eastAsia" w:ascii="仿宋_GB2312" w:hAnsi="仿宋_GB2312" w:cs="仿宋_GB2312"/>
                <w:kern w:val="0"/>
                <w:sz w:val="22"/>
                <w:szCs w:val="24"/>
                <w:highlight w:val="none"/>
                <w:lang w:eastAsia="zh-CN"/>
              </w:rPr>
              <w:t>。</w:t>
            </w:r>
          </w:p>
          <w:p>
            <w:pPr>
              <w:shd w:val="clear"/>
              <w:spacing w:line="300" w:lineRule="exact"/>
              <w:ind w:left="-118" w:leftChars="-37" w:right="-112" w:rightChars="-35" w:firstLine="0" w:firstLineChars="0"/>
              <w:jc w:val="both"/>
              <w:rPr>
                <w:rFonts w:hint="eastAsia" w:ascii="仿宋_GB2312" w:hAnsi="仿宋_GB2312" w:cs="仿宋_GB2312"/>
                <w:b/>
                <w:bCs/>
                <w:kern w:val="0"/>
                <w:sz w:val="22"/>
                <w:szCs w:val="24"/>
                <w:highlight w:val="none"/>
              </w:rPr>
            </w:pPr>
            <w:r>
              <w:rPr>
                <w:rFonts w:hint="eastAsia" w:ascii="仿宋_GB2312" w:hAnsi="仿宋_GB2312" w:cs="仿宋_GB2312"/>
                <w:b/>
                <w:bCs/>
                <w:kern w:val="0"/>
                <w:sz w:val="22"/>
                <w:szCs w:val="24"/>
                <w:highlight w:val="none"/>
              </w:rPr>
              <w:t>以上内容进行分档评审：</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1.评价为优（实施方案具体、合理，对</w:t>
            </w:r>
            <w:r>
              <w:rPr>
                <w:rFonts w:hint="eastAsia" w:ascii="仿宋_GB2312" w:hAnsi="仿宋_GB2312" w:cs="仿宋_GB2312"/>
                <w:kern w:val="0"/>
                <w:sz w:val="22"/>
                <w:szCs w:val="24"/>
                <w:highlight w:val="none"/>
                <w:lang w:eastAsia="zh-CN"/>
              </w:rPr>
              <w:t>光明区</w:t>
            </w:r>
            <w:r>
              <w:rPr>
                <w:rFonts w:hint="eastAsia" w:ascii="仿宋_GB2312" w:hAnsi="仿宋_GB2312" w:cs="仿宋_GB2312"/>
                <w:kern w:val="0"/>
                <w:sz w:val="22"/>
                <w:szCs w:val="24"/>
                <w:highlight w:val="none"/>
                <w:lang w:val="en-US" w:eastAsia="zh-CN"/>
              </w:rPr>
              <w:t>经济社会</w:t>
            </w:r>
            <w:r>
              <w:rPr>
                <w:rFonts w:hint="eastAsia" w:ascii="仿宋_GB2312" w:hAnsi="仿宋_GB2312" w:cs="仿宋_GB2312"/>
                <w:kern w:val="0"/>
                <w:sz w:val="22"/>
                <w:szCs w:val="24"/>
                <w:highlight w:val="none"/>
                <w:lang w:eastAsia="zh-CN"/>
              </w:rPr>
              <w:t>发展各方面</w:t>
            </w:r>
            <w:r>
              <w:rPr>
                <w:rFonts w:hint="eastAsia" w:ascii="仿宋_GB2312" w:hAnsi="仿宋_GB2312" w:cs="仿宋_GB2312"/>
                <w:kern w:val="0"/>
                <w:sz w:val="22"/>
                <w:szCs w:val="24"/>
                <w:highlight w:val="none"/>
              </w:rPr>
              <w:t>相关情况熟悉，可操作性强），得</w:t>
            </w:r>
            <w:r>
              <w:rPr>
                <w:rFonts w:hint="eastAsia" w:ascii="仿宋_GB2312" w:hAnsi="仿宋_GB2312" w:cs="仿宋_GB2312"/>
                <w:kern w:val="0"/>
                <w:sz w:val="22"/>
                <w:szCs w:val="24"/>
                <w:highlight w:val="none"/>
                <w:lang w:val="en-US" w:eastAsia="zh-CN"/>
              </w:rPr>
              <w:t>16分</w:t>
            </w:r>
            <w:r>
              <w:rPr>
                <w:rFonts w:hint="eastAsia" w:ascii="仿宋_GB2312" w:hAnsi="仿宋_GB2312" w:cs="仿宋_GB2312"/>
                <w:kern w:val="0"/>
                <w:sz w:val="22"/>
                <w:szCs w:val="24"/>
                <w:highlight w:val="none"/>
              </w:rPr>
              <w:t>；</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2.评价为良（实施方案具体、合理，对</w:t>
            </w:r>
            <w:r>
              <w:rPr>
                <w:rFonts w:hint="eastAsia" w:ascii="仿宋_GB2312" w:hAnsi="仿宋_GB2312" w:cs="仿宋_GB2312"/>
                <w:kern w:val="0"/>
                <w:sz w:val="22"/>
                <w:szCs w:val="24"/>
                <w:highlight w:val="none"/>
                <w:lang w:eastAsia="zh-CN"/>
              </w:rPr>
              <w:t>光明区</w:t>
            </w:r>
            <w:r>
              <w:rPr>
                <w:rFonts w:hint="eastAsia" w:ascii="仿宋_GB2312" w:hAnsi="仿宋_GB2312" w:cs="仿宋_GB2312"/>
                <w:kern w:val="0"/>
                <w:sz w:val="22"/>
                <w:szCs w:val="24"/>
                <w:highlight w:val="none"/>
                <w:lang w:val="en-US" w:eastAsia="zh-CN"/>
              </w:rPr>
              <w:t>经济社会</w:t>
            </w:r>
            <w:r>
              <w:rPr>
                <w:rFonts w:hint="eastAsia" w:ascii="仿宋_GB2312" w:hAnsi="仿宋_GB2312" w:cs="仿宋_GB2312"/>
                <w:kern w:val="0"/>
                <w:sz w:val="22"/>
                <w:szCs w:val="24"/>
                <w:highlight w:val="none"/>
                <w:lang w:eastAsia="zh-CN"/>
              </w:rPr>
              <w:t>发展各方面</w:t>
            </w:r>
            <w:r>
              <w:rPr>
                <w:rFonts w:hint="eastAsia" w:ascii="仿宋_GB2312" w:hAnsi="仿宋_GB2312" w:cs="仿宋_GB2312"/>
                <w:kern w:val="0"/>
                <w:sz w:val="22"/>
                <w:szCs w:val="24"/>
                <w:highlight w:val="none"/>
              </w:rPr>
              <w:t>相关情况较为熟悉，可操作性较强），得</w:t>
            </w:r>
            <w:r>
              <w:rPr>
                <w:rFonts w:hint="eastAsia" w:ascii="仿宋_GB2312" w:hAnsi="仿宋_GB2312" w:cs="仿宋_GB2312"/>
                <w:kern w:val="0"/>
                <w:sz w:val="22"/>
                <w:szCs w:val="24"/>
                <w:highlight w:val="none"/>
                <w:lang w:val="en-US" w:eastAsia="zh-CN"/>
              </w:rPr>
              <w:t>10分</w:t>
            </w:r>
            <w:r>
              <w:rPr>
                <w:rFonts w:hint="eastAsia" w:ascii="仿宋_GB2312" w:hAnsi="仿宋_GB2312" w:cs="仿宋_GB2312"/>
                <w:kern w:val="0"/>
                <w:sz w:val="22"/>
                <w:szCs w:val="24"/>
                <w:highlight w:val="none"/>
              </w:rPr>
              <w:t>；</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3.评价为中（实施方案具体、合理，对</w:t>
            </w:r>
            <w:r>
              <w:rPr>
                <w:rFonts w:hint="eastAsia" w:ascii="仿宋_GB2312" w:hAnsi="仿宋_GB2312" w:cs="仿宋_GB2312"/>
                <w:kern w:val="0"/>
                <w:sz w:val="22"/>
                <w:szCs w:val="24"/>
                <w:highlight w:val="none"/>
                <w:lang w:eastAsia="zh-CN"/>
              </w:rPr>
              <w:t>光明区</w:t>
            </w:r>
            <w:r>
              <w:rPr>
                <w:rFonts w:hint="eastAsia" w:ascii="仿宋_GB2312" w:hAnsi="仿宋_GB2312" w:cs="仿宋_GB2312"/>
                <w:kern w:val="0"/>
                <w:sz w:val="22"/>
                <w:szCs w:val="24"/>
                <w:highlight w:val="none"/>
                <w:lang w:val="en-US" w:eastAsia="zh-CN"/>
              </w:rPr>
              <w:t>经济社会</w:t>
            </w:r>
            <w:r>
              <w:rPr>
                <w:rFonts w:hint="eastAsia" w:ascii="仿宋_GB2312" w:hAnsi="仿宋_GB2312" w:cs="仿宋_GB2312"/>
                <w:kern w:val="0"/>
                <w:sz w:val="22"/>
                <w:szCs w:val="24"/>
                <w:highlight w:val="none"/>
                <w:lang w:eastAsia="zh-CN"/>
              </w:rPr>
              <w:t>发展各方面</w:t>
            </w:r>
            <w:r>
              <w:rPr>
                <w:rFonts w:hint="eastAsia" w:ascii="仿宋_GB2312" w:hAnsi="仿宋_GB2312" w:cs="仿宋_GB2312"/>
                <w:kern w:val="0"/>
                <w:sz w:val="22"/>
                <w:szCs w:val="24"/>
                <w:highlight w:val="none"/>
              </w:rPr>
              <w:t>相关情况熟悉程度一般，可操作性一般），得</w:t>
            </w:r>
            <w:r>
              <w:rPr>
                <w:rFonts w:hint="eastAsia" w:ascii="仿宋_GB2312" w:hAnsi="仿宋_GB2312" w:cs="仿宋_GB2312"/>
                <w:kern w:val="0"/>
                <w:sz w:val="22"/>
                <w:szCs w:val="24"/>
                <w:highlight w:val="none"/>
                <w:lang w:val="en-US" w:eastAsia="zh-CN"/>
              </w:rPr>
              <w:t>6分</w:t>
            </w:r>
            <w:r>
              <w:rPr>
                <w:rFonts w:hint="eastAsia" w:ascii="仿宋_GB2312" w:hAnsi="仿宋_GB2312" w:cs="仿宋_GB2312"/>
                <w:kern w:val="0"/>
                <w:sz w:val="22"/>
                <w:szCs w:val="24"/>
                <w:highlight w:val="none"/>
              </w:rPr>
              <w:t>；</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4.评价为差（实施方案不完善，对</w:t>
            </w:r>
            <w:r>
              <w:rPr>
                <w:rFonts w:hint="eastAsia" w:ascii="仿宋_GB2312" w:hAnsi="仿宋_GB2312" w:cs="仿宋_GB2312"/>
                <w:kern w:val="0"/>
                <w:sz w:val="22"/>
                <w:szCs w:val="24"/>
                <w:highlight w:val="none"/>
                <w:lang w:eastAsia="zh-CN"/>
              </w:rPr>
              <w:t>光明区</w:t>
            </w:r>
            <w:r>
              <w:rPr>
                <w:rFonts w:hint="eastAsia" w:ascii="仿宋_GB2312" w:hAnsi="仿宋_GB2312" w:cs="仿宋_GB2312"/>
                <w:kern w:val="0"/>
                <w:sz w:val="22"/>
                <w:szCs w:val="24"/>
                <w:highlight w:val="none"/>
                <w:lang w:val="en-US" w:eastAsia="zh-CN"/>
              </w:rPr>
              <w:t>经济社会</w:t>
            </w:r>
            <w:r>
              <w:rPr>
                <w:rFonts w:hint="eastAsia" w:ascii="仿宋_GB2312" w:hAnsi="仿宋_GB2312" w:cs="仿宋_GB2312"/>
                <w:kern w:val="0"/>
                <w:sz w:val="22"/>
                <w:szCs w:val="24"/>
                <w:highlight w:val="none"/>
                <w:lang w:eastAsia="zh-CN"/>
              </w:rPr>
              <w:t>发展各方面</w:t>
            </w:r>
            <w:r>
              <w:rPr>
                <w:rFonts w:hint="eastAsia" w:ascii="仿宋_GB2312" w:hAnsi="仿宋_GB2312" w:cs="仿宋_GB2312"/>
                <w:kern w:val="0"/>
                <w:sz w:val="22"/>
                <w:szCs w:val="24"/>
                <w:highlight w:val="none"/>
              </w:rPr>
              <w:t>相关情况不熟悉，不具备可操作性），不得分。</w:t>
            </w:r>
          </w:p>
        </w:tc>
        <w:tc>
          <w:tcPr>
            <w:tcW w:w="541" w:type="dxa"/>
            <w:tcBorders>
              <w:right w:val="single" w:color="auto" w:sz="4" w:space="0"/>
            </w:tcBorders>
            <w:noWrap w:val="0"/>
            <w:vAlign w:val="center"/>
          </w:tcPr>
          <w:p>
            <w:pPr>
              <w:shd w:val="clear"/>
              <w:ind w:firstLine="0" w:firstLineChars="0"/>
              <w:jc w:val="center"/>
              <w:rPr>
                <w:rFonts w:hint="eastAsia" w:ascii="仿宋_GB2312" w:hAnsi="仿宋_GB2312" w:eastAsia="仿宋_GB2312" w:cs="仿宋_GB2312"/>
                <w:sz w:val="22"/>
                <w:szCs w:val="24"/>
                <w:highlight w:val="none"/>
                <w:lang w:val="en-US" w:eastAsia="zh-CN"/>
              </w:rPr>
            </w:pPr>
            <w:r>
              <w:rPr>
                <w:rFonts w:hint="eastAsia" w:ascii="仿宋_GB2312" w:hAnsi="仿宋_GB2312" w:cs="仿宋_GB2312"/>
                <w:sz w:val="22"/>
                <w:szCs w:val="24"/>
                <w:highlight w:val="none"/>
                <w:lang w:val="en-US" w:eastAsia="zh-CN"/>
              </w:rPr>
              <w:t>20</w:t>
            </w:r>
          </w:p>
        </w:tc>
        <w:tc>
          <w:tcPr>
            <w:tcW w:w="0" w:type="auto"/>
            <w:tcBorders>
              <w:left w:val="single" w:color="auto" w:sz="4" w:space="0"/>
            </w:tcBorders>
            <w:noWrap w:val="0"/>
            <w:vAlign w:val="center"/>
          </w:tcPr>
          <w:p>
            <w:pPr>
              <w:shd w:val="clear"/>
              <w:ind w:firstLine="0" w:firstLineChars="0"/>
              <w:jc w:val="center"/>
              <w:rPr>
                <w:rFonts w:hint="eastAsia" w:ascii="仿宋_GB2312" w:hAnsi="仿宋_GB2312" w:eastAsia="仿宋_GB2312" w:cs="仿宋_GB2312"/>
                <w:sz w:val="22"/>
                <w:szCs w:val="24"/>
                <w:highlight w:val="none"/>
                <w:lang w:val="en-US" w:eastAsia="zh-CN"/>
              </w:rPr>
            </w:pPr>
            <w:r>
              <w:rPr>
                <w:rFonts w:hint="eastAsia" w:ascii="仿宋_GB2312" w:hAnsi="仿宋_GB2312" w:cs="仿宋_GB2312"/>
                <w:sz w:val="22"/>
                <w:szCs w:val="24"/>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0" w:type="auto"/>
            <w:noWrap w:val="0"/>
            <w:vAlign w:val="center"/>
          </w:tcPr>
          <w:p>
            <w:pPr>
              <w:shd w:val="clear"/>
              <w:spacing w:line="300" w:lineRule="exact"/>
              <w:ind w:firstLine="0" w:firstLineChars="0"/>
              <w:jc w:val="center"/>
              <w:rPr>
                <w:rFonts w:hint="eastAsia" w:ascii="仿宋_GB2312" w:hAnsi="仿宋_GB2312" w:cs="仿宋_GB2312"/>
                <w:sz w:val="22"/>
                <w:szCs w:val="24"/>
                <w:highlight w:val="none"/>
              </w:rPr>
            </w:pPr>
            <w:r>
              <w:rPr>
                <w:rFonts w:hint="eastAsia" w:ascii="仿宋_GB2312" w:hAnsi="仿宋_GB2312" w:cs="仿宋_GB2312"/>
                <w:sz w:val="22"/>
                <w:szCs w:val="24"/>
                <w:highlight w:val="none"/>
                <w:lang w:eastAsia="zh-CN"/>
              </w:rPr>
              <w:t>（二）</w:t>
            </w:r>
            <w:r>
              <w:rPr>
                <w:rFonts w:hint="eastAsia" w:ascii="仿宋_GB2312" w:hAnsi="仿宋_GB2312" w:cs="仿宋_GB2312"/>
                <w:sz w:val="22"/>
                <w:szCs w:val="24"/>
                <w:highlight w:val="none"/>
              </w:rPr>
              <w:t>项目重难点分析及应对措施</w:t>
            </w:r>
          </w:p>
        </w:tc>
        <w:tc>
          <w:tcPr>
            <w:tcW w:w="5641" w:type="dxa"/>
            <w:noWrap w:val="0"/>
            <w:vAlign w:val="top"/>
          </w:tcPr>
          <w:p>
            <w:pPr>
              <w:shd w:val="clear"/>
              <w:spacing w:line="300" w:lineRule="exact"/>
              <w:ind w:firstLine="0" w:firstLineChars="0"/>
              <w:jc w:val="both"/>
              <w:rPr>
                <w:rFonts w:hint="eastAsia" w:ascii="仿宋_GB2312" w:hAnsi="仿宋_GB2312" w:cs="仿宋_GB2312"/>
                <w:b/>
                <w:kern w:val="0"/>
                <w:sz w:val="22"/>
                <w:szCs w:val="24"/>
                <w:highlight w:val="none"/>
              </w:rPr>
            </w:pPr>
            <w:r>
              <w:rPr>
                <w:rFonts w:hint="eastAsia" w:ascii="仿宋_GB2312" w:hAnsi="仿宋_GB2312" w:cs="仿宋_GB2312"/>
                <w:b/>
                <w:kern w:val="0"/>
                <w:sz w:val="22"/>
                <w:szCs w:val="24"/>
                <w:highlight w:val="none"/>
              </w:rPr>
              <w:t>1.评分内容：</w:t>
            </w:r>
          </w:p>
          <w:p>
            <w:pPr>
              <w:shd w:val="clear"/>
              <w:spacing w:line="300" w:lineRule="exact"/>
              <w:ind w:left="0" w:leftChars="0" w:right="0" w:rightChars="0"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投标人应当提供项目重难点分析和相关应对措施，提供得3</w:t>
            </w:r>
            <w:r>
              <w:rPr>
                <w:rFonts w:hint="eastAsia" w:ascii="仿宋_GB2312" w:hAnsi="仿宋_GB2312" w:cs="仿宋_GB2312"/>
                <w:kern w:val="0"/>
                <w:sz w:val="22"/>
                <w:szCs w:val="24"/>
                <w:highlight w:val="none"/>
                <w:lang w:eastAsia="zh-CN"/>
              </w:rPr>
              <w:t>分</w:t>
            </w:r>
            <w:r>
              <w:rPr>
                <w:rFonts w:hint="eastAsia" w:ascii="仿宋_GB2312" w:hAnsi="仿宋_GB2312" w:cs="仿宋_GB2312"/>
                <w:kern w:val="0"/>
                <w:sz w:val="22"/>
                <w:szCs w:val="24"/>
                <w:highlight w:val="none"/>
              </w:rPr>
              <w:t>，不提供不得分。在此基础上，考察以下方面：</w:t>
            </w:r>
          </w:p>
          <w:p>
            <w:pPr>
              <w:shd w:val="clear"/>
              <w:spacing w:line="300" w:lineRule="exact"/>
              <w:ind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（1）重难点分析及应对措施是否具体、科学、合理；</w:t>
            </w:r>
          </w:p>
          <w:p>
            <w:pPr>
              <w:shd w:val="clear"/>
              <w:spacing w:line="300" w:lineRule="exact"/>
              <w:ind w:firstLine="0" w:firstLineChars="0"/>
              <w:jc w:val="both"/>
              <w:rPr>
                <w:rFonts w:hint="eastAsia" w:ascii="仿宋_GB2312" w:hAnsi="仿宋_GB2312" w:eastAsia="仿宋_GB2312" w:cs="仿宋_GB2312"/>
                <w:kern w:val="0"/>
                <w:sz w:val="22"/>
                <w:szCs w:val="24"/>
                <w:highlight w:val="none"/>
                <w:lang w:eastAsia="zh-CN"/>
              </w:rPr>
            </w:pPr>
            <w:r>
              <w:rPr>
                <w:rFonts w:hint="eastAsia" w:ascii="仿宋_GB2312" w:hAnsi="仿宋_GB2312" w:cs="仿宋_GB2312"/>
                <w:kern w:val="0"/>
                <w:sz w:val="22"/>
                <w:szCs w:val="24"/>
                <w:highlight w:val="none"/>
              </w:rPr>
              <w:t>（2）重难点分析及应对措施是否具备针对性和可操作性</w:t>
            </w:r>
            <w:r>
              <w:rPr>
                <w:rFonts w:hint="eastAsia" w:ascii="仿宋_GB2312" w:hAnsi="仿宋_GB2312" w:cs="仿宋_GB2312"/>
                <w:kern w:val="0"/>
                <w:sz w:val="22"/>
                <w:szCs w:val="24"/>
                <w:highlight w:val="none"/>
                <w:lang w:eastAsia="zh-CN"/>
              </w:rPr>
              <w:t>。</w:t>
            </w:r>
          </w:p>
          <w:p>
            <w:pPr>
              <w:shd w:val="clear"/>
              <w:spacing w:line="300" w:lineRule="exact"/>
              <w:ind w:left="-118" w:leftChars="-37" w:right="-112" w:rightChars="-35" w:firstLine="0" w:firstLineChars="0"/>
              <w:jc w:val="both"/>
              <w:rPr>
                <w:rFonts w:hint="eastAsia" w:ascii="仿宋_GB2312" w:hAnsi="仿宋_GB2312" w:cs="仿宋_GB2312"/>
                <w:b/>
                <w:bCs/>
                <w:kern w:val="0"/>
                <w:sz w:val="22"/>
                <w:szCs w:val="24"/>
                <w:highlight w:val="none"/>
              </w:rPr>
            </w:pPr>
            <w:r>
              <w:rPr>
                <w:rFonts w:hint="eastAsia" w:ascii="仿宋_GB2312" w:hAnsi="仿宋_GB2312" w:cs="仿宋_GB2312"/>
                <w:b/>
                <w:bCs/>
                <w:kern w:val="0"/>
                <w:sz w:val="22"/>
                <w:szCs w:val="24"/>
                <w:highlight w:val="none"/>
              </w:rPr>
              <w:t>以上内容进行分档评审：</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1.评价为优（重难点分析及应对措施具体、科学、合理，针对性和可操作性强），得7</w:t>
            </w:r>
            <w:r>
              <w:rPr>
                <w:rFonts w:hint="eastAsia" w:ascii="仿宋_GB2312" w:hAnsi="仿宋_GB2312" w:cs="仿宋_GB2312"/>
                <w:kern w:val="0"/>
                <w:sz w:val="22"/>
                <w:szCs w:val="24"/>
                <w:highlight w:val="none"/>
                <w:lang w:eastAsia="zh-CN"/>
              </w:rPr>
              <w:t>分</w:t>
            </w:r>
            <w:r>
              <w:rPr>
                <w:rFonts w:hint="eastAsia" w:ascii="仿宋_GB2312" w:hAnsi="仿宋_GB2312" w:cs="仿宋_GB2312"/>
                <w:kern w:val="0"/>
                <w:sz w:val="22"/>
                <w:szCs w:val="24"/>
                <w:highlight w:val="none"/>
              </w:rPr>
              <w:t>；</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2.评价为良（重难点分析及应对措施具体、科学、合理，针对性和可操作性较强），得5</w:t>
            </w:r>
            <w:r>
              <w:rPr>
                <w:rFonts w:hint="eastAsia" w:ascii="仿宋_GB2312" w:hAnsi="仿宋_GB2312" w:cs="仿宋_GB2312"/>
                <w:kern w:val="0"/>
                <w:sz w:val="22"/>
                <w:szCs w:val="24"/>
                <w:highlight w:val="none"/>
                <w:lang w:eastAsia="zh-CN"/>
              </w:rPr>
              <w:t>分</w:t>
            </w:r>
            <w:r>
              <w:rPr>
                <w:rFonts w:hint="eastAsia" w:ascii="仿宋_GB2312" w:hAnsi="仿宋_GB2312" w:cs="仿宋_GB2312"/>
                <w:kern w:val="0"/>
                <w:sz w:val="22"/>
                <w:szCs w:val="24"/>
                <w:highlight w:val="none"/>
              </w:rPr>
              <w:t>；</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3.评价为中（重难点分析及应对措施具体、科学、合理，针对性和可操作性一般），得3</w:t>
            </w:r>
            <w:r>
              <w:rPr>
                <w:rFonts w:hint="eastAsia" w:ascii="仿宋_GB2312" w:hAnsi="仿宋_GB2312" w:cs="仿宋_GB2312"/>
                <w:kern w:val="0"/>
                <w:sz w:val="22"/>
                <w:szCs w:val="24"/>
                <w:highlight w:val="none"/>
                <w:lang w:eastAsia="zh-CN"/>
              </w:rPr>
              <w:t>分</w:t>
            </w:r>
            <w:r>
              <w:rPr>
                <w:rFonts w:hint="eastAsia" w:ascii="仿宋_GB2312" w:hAnsi="仿宋_GB2312" w:cs="仿宋_GB2312"/>
                <w:kern w:val="0"/>
                <w:sz w:val="22"/>
                <w:szCs w:val="24"/>
                <w:highlight w:val="none"/>
              </w:rPr>
              <w:t>；</w:t>
            </w:r>
          </w:p>
          <w:p>
            <w:pPr>
              <w:shd w:val="clear"/>
              <w:spacing w:line="300" w:lineRule="exact"/>
              <w:ind w:firstLine="0" w:firstLineChars="0"/>
              <w:jc w:val="both"/>
              <w:rPr>
                <w:rFonts w:hint="eastAsia" w:ascii="仿宋_GB2312" w:hAnsi="仿宋_GB2312" w:cs="仿宋_GB2312"/>
                <w:b/>
                <w:kern w:val="0"/>
                <w:sz w:val="22"/>
                <w:szCs w:val="24"/>
                <w:highlight w:val="none"/>
              </w:rPr>
            </w:pPr>
            <w:r>
              <w:rPr>
                <w:rFonts w:hint="eastAsia" w:ascii="仿宋_GB2312" w:hAnsi="仿宋_GB2312" w:cs="仿宋_GB2312"/>
                <w:kern w:val="0"/>
                <w:sz w:val="22"/>
                <w:szCs w:val="24"/>
                <w:highlight w:val="none"/>
              </w:rPr>
              <w:t>4.评价为差（重难点分析及应对措施不完善），不得分。</w:t>
            </w:r>
          </w:p>
        </w:tc>
        <w:tc>
          <w:tcPr>
            <w:tcW w:w="541" w:type="dxa"/>
            <w:tcBorders>
              <w:right w:val="single" w:color="auto" w:sz="4" w:space="0"/>
            </w:tcBorders>
            <w:noWrap w:val="0"/>
            <w:vAlign w:val="center"/>
          </w:tcPr>
          <w:p>
            <w:pPr>
              <w:shd w:val="clear"/>
              <w:ind w:firstLine="0" w:firstLineChars="0"/>
              <w:jc w:val="center"/>
              <w:rPr>
                <w:rFonts w:hint="eastAsia" w:ascii="仿宋_GB2312" w:hAnsi="仿宋_GB2312" w:cs="仿宋_GB2312"/>
                <w:sz w:val="22"/>
                <w:szCs w:val="24"/>
                <w:highlight w:val="none"/>
              </w:rPr>
            </w:pPr>
            <w:r>
              <w:rPr>
                <w:rFonts w:hint="eastAsia" w:ascii="仿宋_GB2312" w:hAnsi="仿宋_GB2312" w:cs="仿宋_GB2312"/>
                <w:sz w:val="22"/>
                <w:szCs w:val="24"/>
                <w:highlight w:val="none"/>
              </w:rPr>
              <w:t>10</w:t>
            </w:r>
          </w:p>
        </w:tc>
        <w:tc>
          <w:tcPr>
            <w:tcW w:w="0" w:type="auto"/>
            <w:tcBorders>
              <w:left w:val="single" w:color="auto" w:sz="4" w:space="0"/>
            </w:tcBorders>
            <w:noWrap w:val="0"/>
            <w:vAlign w:val="center"/>
          </w:tcPr>
          <w:p>
            <w:pPr>
              <w:shd w:val="clear"/>
              <w:ind w:firstLine="0" w:firstLineChars="0"/>
              <w:jc w:val="center"/>
              <w:rPr>
                <w:rFonts w:hint="eastAsia" w:ascii="仿宋_GB2312" w:hAnsi="仿宋_GB2312" w:cs="仿宋_GB2312"/>
                <w:sz w:val="22"/>
                <w:szCs w:val="24"/>
                <w:highlight w:val="none"/>
              </w:rPr>
            </w:pPr>
            <w:r>
              <w:rPr>
                <w:rFonts w:hint="eastAsia" w:ascii="仿宋_GB2312" w:hAnsi="仿宋_GB2312" w:cs="仿宋_GB2312"/>
                <w:sz w:val="22"/>
                <w:szCs w:val="24"/>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0" w:type="auto"/>
            <w:noWrap w:val="0"/>
            <w:vAlign w:val="center"/>
          </w:tcPr>
          <w:p>
            <w:pPr>
              <w:shd w:val="clear"/>
              <w:spacing w:line="300" w:lineRule="exact"/>
              <w:ind w:firstLine="0" w:firstLineChars="0"/>
              <w:jc w:val="center"/>
              <w:rPr>
                <w:rFonts w:hint="eastAsia" w:ascii="仿宋_GB2312" w:hAnsi="仿宋_GB2312" w:cs="仿宋_GB2312"/>
                <w:sz w:val="22"/>
                <w:szCs w:val="24"/>
                <w:highlight w:val="none"/>
              </w:rPr>
            </w:pPr>
            <w:r>
              <w:rPr>
                <w:rFonts w:hint="eastAsia" w:ascii="仿宋_GB2312" w:hAnsi="仿宋_GB2312" w:cs="仿宋_GB2312"/>
                <w:sz w:val="22"/>
                <w:szCs w:val="24"/>
                <w:highlight w:val="none"/>
                <w:lang w:eastAsia="zh-CN"/>
              </w:rPr>
              <w:t>（三）</w:t>
            </w:r>
            <w:r>
              <w:rPr>
                <w:rFonts w:hint="eastAsia" w:ascii="仿宋_GB2312" w:hAnsi="仿宋_GB2312" w:cs="仿宋_GB2312"/>
                <w:sz w:val="22"/>
                <w:szCs w:val="24"/>
                <w:highlight w:val="none"/>
              </w:rPr>
              <w:t>质量保障措施及方案</w:t>
            </w:r>
          </w:p>
        </w:tc>
        <w:tc>
          <w:tcPr>
            <w:tcW w:w="5641" w:type="dxa"/>
            <w:noWrap w:val="0"/>
            <w:vAlign w:val="top"/>
          </w:tcPr>
          <w:p>
            <w:pPr>
              <w:shd w:val="clear"/>
              <w:spacing w:line="300" w:lineRule="exact"/>
              <w:ind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根据投标人对项目进度计划和人员安排、质量和进度保障措施是否合理、可行等进行分档评审：</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1.评价为优</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rPr>
              <w:t>项目进度控制机制合理，项目实施涉及的质量保障措施全面、具有可行性</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rPr>
              <w:t>，得</w:t>
            </w:r>
            <w:r>
              <w:rPr>
                <w:rFonts w:hint="eastAsia" w:ascii="仿宋_GB2312" w:hAnsi="仿宋_GB2312" w:cs="仿宋_GB2312"/>
                <w:kern w:val="0"/>
                <w:sz w:val="22"/>
                <w:szCs w:val="24"/>
                <w:highlight w:val="none"/>
                <w:lang w:val="en-US" w:eastAsia="zh-CN"/>
              </w:rPr>
              <w:t>10分</w:t>
            </w:r>
            <w:r>
              <w:rPr>
                <w:rFonts w:hint="eastAsia" w:ascii="仿宋_GB2312" w:hAnsi="仿宋_GB2312" w:cs="仿宋_GB2312"/>
                <w:kern w:val="0"/>
                <w:sz w:val="22"/>
                <w:szCs w:val="24"/>
                <w:highlight w:val="none"/>
              </w:rPr>
              <w:t>；</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2.评价为良</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rPr>
              <w:t>项目进度控制机制</w:t>
            </w:r>
            <w:r>
              <w:rPr>
                <w:rFonts w:hint="eastAsia" w:ascii="仿宋_GB2312" w:hAnsi="仿宋_GB2312" w:eastAsia="仿宋_GB2312" w:cs="仿宋_GB2312"/>
                <w:kern w:val="0"/>
                <w:sz w:val="22"/>
                <w:szCs w:val="24"/>
                <w:highlight w:val="none"/>
                <w:lang w:eastAsia="zh-CN"/>
              </w:rPr>
              <w:t>较</w:t>
            </w:r>
            <w:r>
              <w:rPr>
                <w:rFonts w:hint="eastAsia" w:ascii="仿宋_GB2312" w:hAnsi="仿宋_GB2312" w:cs="仿宋_GB2312"/>
                <w:kern w:val="0"/>
                <w:sz w:val="22"/>
                <w:szCs w:val="24"/>
                <w:highlight w:val="none"/>
              </w:rPr>
              <w:t>合理，项目实施涉及的质量保障措施</w:t>
            </w:r>
            <w:r>
              <w:rPr>
                <w:rFonts w:hint="eastAsia" w:ascii="仿宋_GB2312" w:hAnsi="仿宋_GB2312" w:eastAsia="仿宋_GB2312" w:cs="仿宋_GB2312"/>
                <w:kern w:val="0"/>
                <w:sz w:val="22"/>
                <w:szCs w:val="24"/>
                <w:highlight w:val="none"/>
                <w:lang w:eastAsia="zh-CN"/>
              </w:rPr>
              <w:t>较</w:t>
            </w:r>
            <w:r>
              <w:rPr>
                <w:rFonts w:hint="eastAsia" w:ascii="仿宋_GB2312" w:hAnsi="仿宋_GB2312" w:cs="仿宋_GB2312"/>
                <w:kern w:val="0"/>
                <w:sz w:val="22"/>
                <w:szCs w:val="24"/>
                <w:highlight w:val="none"/>
              </w:rPr>
              <w:t>全面，相对</w:t>
            </w:r>
            <w:r>
              <w:rPr>
                <w:rFonts w:hint="eastAsia" w:ascii="仿宋_GB2312" w:hAnsi="仿宋_GB2312" w:eastAsia="仿宋_GB2312" w:cs="仿宋_GB2312"/>
                <w:kern w:val="0"/>
                <w:sz w:val="22"/>
                <w:szCs w:val="24"/>
                <w:highlight w:val="none"/>
              </w:rPr>
              <w:t>具有可行性</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rPr>
              <w:t>，得</w:t>
            </w:r>
            <w:r>
              <w:rPr>
                <w:rFonts w:hint="eastAsia" w:ascii="仿宋_GB2312" w:hAnsi="仿宋_GB2312" w:eastAsia="仿宋_GB2312" w:cs="仿宋_GB2312"/>
                <w:kern w:val="0"/>
                <w:sz w:val="22"/>
                <w:szCs w:val="24"/>
                <w:highlight w:val="none"/>
                <w:lang w:val="en-US" w:eastAsia="zh-CN"/>
              </w:rPr>
              <w:t>7</w:t>
            </w:r>
            <w:r>
              <w:rPr>
                <w:rFonts w:hint="eastAsia" w:ascii="仿宋_GB2312" w:hAnsi="仿宋_GB2312" w:cs="仿宋_GB2312"/>
                <w:kern w:val="0"/>
                <w:sz w:val="22"/>
                <w:szCs w:val="24"/>
                <w:highlight w:val="none"/>
                <w:lang w:val="en-US" w:eastAsia="zh-CN"/>
              </w:rPr>
              <w:t>分</w:t>
            </w:r>
            <w:r>
              <w:rPr>
                <w:rFonts w:hint="eastAsia" w:ascii="仿宋_GB2312" w:hAnsi="仿宋_GB2312" w:cs="仿宋_GB2312"/>
                <w:kern w:val="0"/>
                <w:sz w:val="22"/>
                <w:szCs w:val="24"/>
                <w:highlight w:val="none"/>
              </w:rPr>
              <w:t>；</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3.评价为中</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rPr>
              <w:t>项目进度控制机制合理性一般，</w:t>
            </w:r>
            <w:r>
              <w:rPr>
                <w:rFonts w:hint="eastAsia" w:ascii="仿宋_GB2312" w:hAnsi="仿宋_GB2312" w:eastAsia="仿宋_GB2312" w:cs="仿宋_GB2312"/>
                <w:kern w:val="0"/>
                <w:sz w:val="22"/>
                <w:szCs w:val="24"/>
                <w:highlight w:val="none"/>
              </w:rPr>
              <w:t>项目实施涉及的</w:t>
            </w:r>
            <w:r>
              <w:rPr>
                <w:rFonts w:hint="eastAsia" w:ascii="仿宋_GB2312" w:hAnsi="仿宋_GB2312" w:cs="仿宋_GB2312"/>
                <w:kern w:val="0"/>
                <w:sz w:val="22"/>
                <w:szCs w:val="24"/>
                <w:highlight w:val="none"/>
              </w:rPr>
              <w:t>质量保障措施</w:t>
            </w:r>
            <w:r>
              <w:rPr>
                <w:rFonts w:hint="eastAsia" w:ascii="仿宋_GB2312" w:hAnsi="仿宋_GB2312" w:eastAsia="仿宋_GB2312" w:cs="仿宋_GB2312"/>
                <w:kern w:val="0"/>
                <w:sz w:val="22"/>
                <w:szCs w:val="24"/>
                <w:highlight w:val="none"/>
                <w:lang w:eastAsia="zh-CN"/>
              </w:rPr>
              <w:t>一般</w:t>
            </w:r>
            <w:r>
              <w:rPr>
                <w:rFonts w:hint="eastAsia" w:ascii="仿宋_GB2312" w:hAnsi="仿宋_GB2312" w:cs="仿宋_GB2312"/>
                <w:kern w:val="0"/>
                <w:sz w:val="22"/>
                <w:szCs w:val="24"/>
                <w:highlight w:val="none"/>
              </w:rPr>
              <w:t>、可行性一般</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rPr>
              <w:t>，得</w:t>
            </w:r>
            <w:r>
              <w:rPr>
                <w:rFonts w:hint="eastAsia" w:ascii="仿宋_GB2312" w:hAnsi="仿宋_GB2312" w:cs="仿宋_GB2312"/>
                <w:kern w:val="0"/>
                <w:sz w:val="22"/>
                <w:szCs w:val="24"/>
                <w:highlight w:val="none"/>
                <w:lang w:val="en-US" w:eastAsia="zh-CN"/>
              </w:rPr>
              <w:t>4分</w:t>
            </w:r>
            <w:r>
              <w:rPr>
                <w:rFonts w:hint="eastAsia" w:ascii="仿宋_GB2312" w:hAnsi="仿宋_GB2312" w:cs="仿宋_GB2312"/>
                <w:kern w:val="0"/>
                <w:sz w:val="22"/>
                <w:szCs w:val="24"/>
                <w:highlight w:val="none"/>
              </w:rPr>
              <w:t>；</w:t>
            </w:r>
          </w:p>
          <w:p>
            <w:pPr>
              <w:shd w:val="clear"/>
              <w:spacing w:line="300" w:lineRule="exact"/>
              <w:ind w:left="-118" w:leftChars="-37" w:right="-112" w:rightChars="-35" w:firstLine="0" w:firstLineChars="0"/>
              <w:jc w:val="both"/>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4.评价为差</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rPr>
              <w:t>项目进度控制机制</w:t>
            </w:r>
            <w:r>
              <w:rPr>
                <w:rFonts w:hint="eastAsia" w:ascii="仿宋_GB2312" w:hAnsi="仿宋_GB2312" w:cs="仿宋_GB2312"/>
                <w:kern w:val="0"/>
                <w:sz w:val="22"/>
                <w:szCs w:val="24"/>
                <w:highlight w:val="none"/>
                <w:lang w:eastAsia="zh-CN"/>
              </w:rPr>
              <w:t>不合理、</w:t>
            </w:r>
            <w:r>
              <w:rPr>
                <w:rFonts w:hint="eastAsia" w:ascii="仿宋_GB2312" w:hAnsi="仿宋_GB2312" w:eastAsia="仿宋_GB2312" w:cs="仿宋_GB2312"/>
                <w:kern w:val="0"/>
                <w:sz w:val="22"/>
                <w:szCs w:val="24"/>
                <w:highlight w:val="none"/>
              </w:rPr>
              <w:t>项目实施涉及的</w:t>
            </w:r>
            <w:r>
              <w:rPr>
                <w:rFonts w:hint="eastAsia" w:ascii="仿宋_GB2312" w:hAnsi="仿宋_GB2312" w:cs="仿宋_GB2312"/>
                <w:kern w:val="0"/>
                <w:sz w:val="22"/>
                <w:szCs w:val="24"/>
                <w:highlight w:val="none"/>
              </w:rPr>
              <w:t>质量保障措施不全面、可行性</w:t>
            </w:r>
            <w:r>
              <w:rPr>
                <w:rFonts w:hint="eastAsia" w:ascii="仿宋_GB2312" w:hAnsi="仿宋_GB2312" w:eastAsia="仿宋_GB2312" w:cs="仿宋_GB2312"/>
                <w:kern w:val="0"/>
                <w:sz w:val="22"/>
                <w:szCs w:val="24"/>
                <w:highlight w:val="none"/>
                <w:lang w:eastAsia="zh-CN"/>
              </w:rPr>
              <w:t>较差</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rPr>
              <w:t>，</w:t>
            </w:r>
            <w:r>
              <w:rPr>
                <w:rFonts w:hint="eastAsia" w:ascii="仿宋_GB2312" w:hAnsi="仿宋_GB2312" w:eastAsia="仿宋_GB2312" w:cs="仿宋_GB2312"/>
                <w:kern w:val="0"/>
                <w:sz w:val="22"/>
                <w:szCs w:val="24"/>
                <w:highlight w:val="none"/>
                <w:lang w:eastAsia="zh-CN"/>
              </w:rPr>
              <w:t>不</w:t>
            </w:r>
            <w:r>
              <w:rPr>
                <w:rFonts w:hint="eastAsia" w:ascii="仿宋_GB2312" w:hAnsi="仿宋_GB2312" w:cs="仿宋_GB2312"/>
                <w:kern w:val="0"/>
                <w:sz w:val="22"/>
                <w:szCs w:val="24"/>
                <w:highlight w:val="none"/>
              </w:rPr>
              <w:t>得</w:t>
            </w:r>
            <w:r>
              <w:rPr>
                <w:rFonts w:hint="eastAsia" w:ascii="仿宋_GB2312" w:hAnsi="仿宋_GB2312" w:cs="仿宋_GB2312"/>
                <w:kern w:val="0"/>
                <w:sz w:val="22"/>
                <w:szCs w:val="24"/>
                <w:highlight w:val="none"/>
                <w:lang w:eastAsia="zh-CN"/>
              </w:rPr>
              <w:t>分</w:t>
            </w:r>
            <w:r>
              <w:rPr>
                <w:rFonts w:hint="eastAsia" w:ascii="仿宋_GB2312" w:hAnsi="仿宋_GB2312" w:cs="仿宋_GB2312"/>
                <w:kern w:val="0"/>
                <w:sz w:val="22"/>
                <w:szCs w:val="24"/>
                <w:highlight w:val="none"/>
              </w:rPr>
              <w:t>。</w:t>
            </w:r>
          </w:p>
        </w:tc>
        <w:tc>
          <w:tcPr>
            <w:tcW w:w="541" w:type="dxa"/>
            <w:tcBorders>
              <w:right w:val="single" w:color="auto" w:sz="4" w:space="0"/>
            </w:tcBorders>
            <w:noWrap w:val="0"/>
            <w:vAlign w:val="center"/>
          </w:tcPr>
          <w:p>
            <w:pPr>
              <w:shd w:val="clear"/>
              <w:ind w:firstLine="0" w:firstLineChars="0"/>
              <w:jc w:val="center"/>
              <w:rPr>
                <w:rFonts w:hint="eastAsia" w:ascii="仿宋_GB2312" w:hAnsi="仿宋_GB2312" w:eastAsia="仿宋_GB2312" w:cs="仿宋_GB2312"/>
                <w:sz w:val="22"/>
                <w:szCs w:val="24"/>
                <w:highlight w:val="none"/>
                <w:lang w:val="en-US" w:eastAsia="zh-CN"/>
              </w:rPr>
            </w:pPr>
            <w:r>
              <w:rPr>
                <w:rFonts w:hint="eastAsia" w:ascii="仿宋_GB2312" w:hAnsi="仿宋_GB2312" w:cs="仿宋_GB2312"/>
                <w:sz w:val="22"/>
                <w:szCs w:val="24"/>
                <w:highlight w:val="none"/>
                <w:lang w:val="en-US" w:eastAsia="zh-CN"/>
              </w:rPr>
              <w:t>10</w:t>
            </w:r>
          </w:p>
        </w:tc>
        <w:tc>
          <w:tcPr>
            <w:tcW w:w="0" w:type="auto"/>
            <w:tcBorders>
              <w:left w:val="single" w:color="auto" w:sz="4" w:space="0"/>
            </w:tcBorders>
            <w:noWrap w:val="0"/>
            <w:vAlign w:val="center"/>
          </w:tcPr>
          <w:p>
            <w:pPr>
              <w:shd w:val="clear"/>
              <w:ind w:firstLine="0" w:firstLineChars="0"/>
              <w:jc w:val="center"/>
              <w:rPr>
                <w:rFonts w:hint="eastAsia" w:ascii="仿宋_GB2312" w:hAnsi="仿宋_GB2312" w:eastAsia="仿宋_GB2312" w:cs="仿宋_GB2312"/>
                <w:sz w:val="22"/>
                <w:szCs w:val="24"/>
                <w:highlight w:val="none"/>
                <w:lang w:val="en-US" w:eastAsia="zh-CN"/>
              </w:rPr>
            </w:pPr>
            <w:r>
              <w:rPr>
                <w:rFonts w:hint="eastAsia" w:ascii="仿宋_GB2312" w:hAnsi="仿宋_GB2312" w:cs="仿宋_GB2312"/>
                <w:sz w:val="22"/>
                <w:szCs w:val="24"/>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0" w:type="auto"/>
            <w:gridSpan w:val="4"/>
            <w:noWrap w:val="0"/>
            <w:vAlign w:val="center"/>
          </w:tcPr>
          <w:p>
            <w:pPr>
              <w:shd w:val="clear"/>
              <w:spacing w:line="300" w:lineRule="exact"/>
              <w:ind w:left="-118" w:leftChars="-37" w:right="-112" w:rightChars="-35" w:firstLine="0" w:firstLineChars="0"/>
              <w:jc w:val="center"/>
              <w:rPr>
                <w:rFonts w:hint="eastAsia" w:ascii="仿宋_GB2312" w:hAnsi="仿宋_GB2312" w:cs="仿宋_GB2312"/>
                <w:b/>
                <w:sz w:val="22"/>
                <w:szCs w:val="24"/>
                <w:highlight w:val="none"/>
              </w:rPr>
            </w:pPr>
            <w:r>
              <w:rPr>
                <w:rFonts w:hint="eastAsia" w:ascii="仿宋_GB2312" w:hAnsi="仿宋_GB2312" w:cs="仿宋_GB2312"/>
                <w:b/>
                <w:sz w:val="22"/>
                <w:szCs w:val="24"/>
                <w:highlight w:val="none"/>
                <w:lang w:eastAsia="zh-CN"/>
              </w:rPr>
              <w:t>二、</w:t>
            </w:r>
            <w:r>
              <w:rPr>
                <w:rFonts w:hint="eastAsia" w:ascii="仿宋_GB2312" w:hAnsi="仿宋_GB2312" w:cs="仿宋_GB2312"/>
                <w:b/>
                <w:sz w:val="22"/>
                <w:szCs w:val="24"/>
                <w:highlight w:val="none"/>
              </w:rPr>
              <w:t>商务部分（合计</w:t>
            </w:r>
            <w:r>
              <w:rPr>
                <w:rFonts w:hint="eastAsia" w:ascii="仿宋_GB2312" w:hAnsi="仿宋_GB2312" w:cs="仿宋_GB2312"/>
                <w:b/>
                <w:sz w:val="22"/>
                <w:szCs w:val="24"/>
                <w:highlight w:val="none"/>
                <w:lang w:val="en-US" w:eastAsia="zh-CN"/>
              </w:rPr>
              <w:t>50</w:t>
            </w:r>
            <w:r>
              <w:rPr>
                <w:rFonts w:hint="eastAsia" w:ascii="仿宋_GB2312" w:hAnsi="仿宋_GB2312" w:cs="仿宋_GB2312"/>
                <w:b/>
                <w:sz w:val="22"/>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0" w:type="auto"/>
            <w:noWrap w:val="0"/>
            <w:vAlign w:val="center"/>
          </w:tcPr>
          <w:p>
            <w:pPr>
              <w:shd w:val="clear"/>
              <w:spacing w:line="300" w:lineRule="exact"/>
              <w:ind w:firstLine="0" w:firstLineChars="0"/>
              <w:jc w:val="center"/>
              <w:rPr>
                <w:rFonts w:hint="eastAsia" w:ascii="仿宋_GB2312" w:hAnsi="仿宋_GB2312" w:cs="仿宋_GB2312"/>
                <w:sz w:val="22"/>
                <w:szCs w:val="24"/>
                <w:highlight w:val="none"/>
              </w:rPr>
            </w:pPr>
            <w:r>
              <w:rPr>
                <w:rFonts w:hint="eastAsia" w:ascii="仿宋_GB2312" w:hAnsi="仿宋_GB2312" w:cs="仿宋_GB2312"/>
                <w:sz w:val="22"/>
                <w:szCs w:val="24"/>
                <w:highlight w:val="none"/>
                <w:lang w:eastAsia="zh-CN"/>
              </w:rPr>
              <w:t>（一）</w:t>
            </w:r>
            <w:r>
              <w:rPr>
                <w:rFonts w:hint="eastAsia" w:ascii="仿宋_GB2312" w:hAnsi="仿宋_GB2312" w:cs="仿宋_GB2312"/>
                <w:sz w:val="22"/>
                <w:szCs w:val="24"/>
                <w:highlight w:val="none"/>
              </w:rPr>
              <w:t>投标人经验</w:t>
            </w:r>
          </w:p>
        </w:tc>
        <w:tc>
          <w:tcPr>
            <w:tcW w:w="5641" w:type="dxa"/>
            <w:noWrap w:val="0"/>
            <w:vAlign w:val="top"/>
          </w:tcPr>
          <w:p>
            <w:pPr>
              <w:shd w:val="clear"/>
              <w:spacing w:line="300" w:lineRule="exact"/>
              <w:ind w:firstLine="0" w:firstLineChars="0"/>
              <w:jc w:val="both"/>
              <w:rPr>
                <w:rFonts w:hint="eastAsia" w:ascii="仿宋_GB2312" w:hAnsi="仿宋_GB2312" w:cs="仿宋_GB2312"/>
                <w:b/>
                <w:kern w:val="0"/>
                <w:sz w:val="22"/>
                <w:szCs w:val="24"/>
                <w:highlight w:val="none"/>
              </w:rPr>
            </w:pPr>
            <w:r>
              <w:rPr>
                <w:rFonts w:hint="eastAsia" w:ascii="仿宋_GB2312" w:hAnsi="仿宋_GB2312" w:cs="仿宋_GB2312"/>
                <w:b/>
                <w:kern w:val="0"/>
                <w:sz w:val="22"/>
                <w:szCs w:val="24"/>
                <w:highlight w:val="none"/>
              </w:rPr>
              <w:t>1.评分内容：</w:t>
            </w:r>
          </w:p>
          <w:p>
            <w:pPr>
              <w:shd w:val="clear"/>
              <w:spacing w:line="300" w:lineRule="exact"/>
              <w:ind w:firstLine="0" w:firstLineChars="0"/>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投标人自20</w:t>
            </w:r>
            <w:r>
              <w:rPr>
                <w:rFonts w:hint="eastAsia" w:ascii="仿宋_GB2312" w:hAnsi="仿宋_GB2312" w:cs="仿宋_GB2312"/>
                <w:kern w:val="0"/>
                <w:sz w:val="22"/>
                <w:szCs w:val="24"/>
                <w:highlight w:val="none"/>
                <w:lang w:val="en-US" w:eastAsia="zh-CN"/>
              </w:rPr>
              <w:t>19</w:t>
            </w:r>
            <w:r>
              <w:rPr>
                <w:rFonts w:hint="eastAsia" w:ascii="仿宋_GB2312" w:hAnsi="仿宋_GB2312" w:cs="仿宋_GB2312"/>
                <w:kern w:val="0"/>
                <w:sz w:val="22"/>
                <w:szCs w:val="24"/>
                <w:highlight w:val="none"/>
              </w:rPr>
              <w:t>年1月1日至投标截止时间承担过的同类业绩，无或其他不得分。注：同类项目业绩指有关</w:t>
            </w:r>
            <w:r>
              <w:rPr>
                <w:rFonts w:hint="eastAsia" w:ascii="仿宋_GB2312" w:hAnsi="仿宋_GB2312" w:cs="仿宋_GB2312"/>
                <w:kern w:val="0"/>
                <w:sz w:val="22"/>
                <w:szCs w:val="24"/>
                <w:highlight w:val="none"/>
                <w:lang w:val="en-US" w:eastAsia="zh-CN"/>
              </w:rPr>
              <w:t>发展规划、规划前期研究</w:t>
            </w:r>
            <w:r>
              <w:rPr>
                <w:rFonts w:hint="eastAsia" w:ascii="仿宋_GB2312" w:hAnsi="仿宋_GB2312" w:cs="仿宋_GB2312"/>
                <w:kern w:val="0"/>
                <w:sz w:val="22"/>
                <w:szCs w:val="24"/>
                <w:highlight w:val="none"/>
              </w:rPr>
              <w:t>、产业领域</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rPr>
              <w:t>区域</w:t>
            </w:r>
            <w:r>
              <w:rPr>
                <w:rFonts w:hint="eastAsia" w:ascii="仿宋_GB2312" w:hAnsi="仿宋_GB2312" w:cs="仿宋_GB2312"/>
                <w:kern w:val="0"/>
                <w:sz w:val="22"/>
                <w:szCs w:val="24"/>
                <w:highlight w:val="none"/>
                <w:lang w:val="en-US" w:eastAsia="zh-CN"/>
              </w:rPr>
              <w:t>发展</w:t>
            </w:r>
            <w:r>
              <w:rPr>
                <w:rFonts w:hint="eastAsia" w:ascii="仿宋_GB2312" w:hAnsi="仿宋_GB2312" w:cs="仿宋_GB2312"/>
                <w:kern w:val="0"/>
                <w:sz w:val="22"/>
                <w:szCs w:val="24"/>
                <w:highlight w:val="none"/>
              </w:rPr>
              <w:t>、平台载体建设</w:t>
            </w:r>
            <w:r>
              <w:rPr>
                <w:rFonts w:hint="eastAsia" w:ascii="仿宋_GB2312" w:hAnsi="仿宋_GB2312" w:cs="仿宋_GB2312"/>
                <w:kern w:val="0"/>
                <w:sz w:val="22"/>
                <w:szCs w:val="24"/>
                <w:highlight w:val="none"/>
                <w:lang w:val="en-US" w:eastAsia="zh-CN"/>
              </w:rPr>
              <w:t>等</w:t>
            </w:r>
            <w:r>
              <w:rPr>
                <w:rFonts w:hint="eastAsia" w:ascii="仿宋_GB2312" w:hAnsi="仿宋_GB2312" w:cs="仿宋_GB2312"/>
                <w:kern w:val="0"/>
                <w:sz w:val="22"/>
                <w:szCs w:val="24"/>
                <w:highlight w:val="none"/>
              </w:rPr>
              <w:t>相关领域的专题研究、规划咨询服务类等项目业绩。</w:t>
            </w:r>
          </w:p>
          <w:p>
            <w:pPr>
              <w:shd w:val="clear"/>
              <w:spacing w:line="300" w:lineRule="exact"/>
              <w:ind w:firstLine="0" w:firstLineChars="0"/>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须提供投标人</w:t>
            </w:r>
            <w:r>
              <w:rPr>
                <w:rFonts w:hint="eastAsia" w:hAnsi="仿宋_GB2312" w:cs="仿宋_GB2312"/>
                <w:kern w:val="0"/>
                <w:sz w:val="22"/>
                <w:szCs w:val="24"/>
                <w:highlight w:val="none"/>
                <w:u w:val="none"/>
                <w:shd w:val="clear"/>
              </w:rPr>
              <w:t>2019年</w:t>
            </w:r>
            <w:r>
              <w:rPr>
                <w:rFonts w:hint="eastAsia" w:hAnsi="仿宋_GB2312" w:cs="仿宋_GB2312"/>
                <w:kern w:val="0"/>
                <w:sz w:val="22"/>
                <w:szCs w:val="24"/>
                <w:highlight w:val="none"/>
                <w:u w:val="none"/>
                <w:shd w:val="clear"/>
                <w:lang w:val="en-US" w:eastAsia="zh-CN"/>
              </w:rPr>
              <w:t>1月1日</w:t>
            </w:r>
            <w:r>
              <w:rPr>
                <w:rFonts w:hint="eastAsia" w:hAnsi="仿宋_GB2312" w:cs="仿宋_GB2312"/>
                <w:kern w:val="0"/>
                <w:sz w:val="22"/>
                <w:szCs w:val="24"/>
                <w:highlight w:val="none"/>
                <w:u w:val="none"/>
                <w:shd w:val="clear"/>
              </w:rPr>
              <w:t>以来</w:t>
            </w:r>
            <w:r>
              <w:rPr>
                <w:rFonts w:hint="eastAsia" w:ascii="仿宋_GB2312" w:hAnsi="仿宋_GB2312" w:cs="仿宋_GB2312"/>
                <w:kern w:val="0"/>
                <w:sz w:val="22"/>
                <w:szCs w:val="24"/>
                <w:highlight w:val="none"/>
              </w:rPr>
              <w:t>（以合同签订日期为准）：</w:t>
            </w:r>
          </w:p>
          <w:p>
            <w:pPr>
              <w:shd w:val="clear"/>
              <w:spacing w:line="300" w:lineRule="exact"/>
              <w:ind w:firstLine="0" w:firstLineChars="0"/>
              <w:rPr>
                <w:rFonts w:hint="eastAsia" w:ascii="仿宋_GB2312" w:hAnsi="仿宋_GB2312" w:eastAsia="仿宋_GB2312" w:cs="仿宋_GB2312"/>
                <w:kern w:val="0"/>
                <w:sz w:val="22"/>
                <w:szCs w:val="24"/>
                <w:highlight w:val="none"/>
                <w:lang w:eastAsia="zh-CN"/>
              </w:rPr>
            </w:pPr>
            <w:r>
              <w:rPr>
                <w:rFonts w:hint="eastAsia" w:ascii="仿宋_GB2312" w:hAnsi="仿宋_GB2312" w:cs="仿宋_GB2312"/>
                <w:kern w:val="0"/>
                <w:sz w:val="22"/>
                <w:szCs w:val="24"/>
                <w:highlight w:val="none"/>
              </w:rPr>
              <w:t>（1）承担过副省级或以上的</w:t>
            </w:r>
            <w:r>
              <w:rPr>
                <w:rFonts w:hint="eastAsia" w:ascii="仿宋_GB2312" w:hAnsi="仿宋_GB2312" w:cs="仿宋_GB2312"/>
                <w:kern w:val="0"/>
                <w:sz w:val="22"/>
                <w:szCs w:val="24"/>
                <w:highlight w:val="none"/>
                <w:lang w:val="en-US" w:eastAsia="zh-CN"/>
              </w:rPr>
              <w:t>同类业绩</w:t>
            </w:r>
            <w:r>
              <w:rPr>
                <w:rFonts w:hint="eastAsia" w:ascii="仿宋_GB2312" w:hAnsi="仿宋_GB2312" w:cs="仿宋_GB2312"/>
                <w:kern w:val="0"/>
                <w:sz w:val="22"/>
                <w:szCs w:val="24"/>
                <w:highlight w:val="none"/>
              </w:rPr>
              <w:t>，每提供1个得</w:t>
            </w:r>
            <w:r>
              <w:rPr>
                <w:rFonts w:hint="eastAsia" w:ascii="仿宋_GB2312" w:hAnsi="仿宋_GB2312" w:cs="仿宋_GB2312"/>
                <w:kern w:val="0"/>
                <w:sz w:val="22"/>
                <w:szCs w:val="24"/>
                <w:highlight w:val="none"/>
                <w:lang w:eastAsia="zh-CN"/>
              </w:rPr>
              <w:t>1</w:t>
            </w:r>
            <w:r>
              <w:rPr>
                <w:rFonts w:hint="eastAsia" w:ascii="仿宋_GB2312" w:hAnsi="仿宋_GB2312" w:cs="仿宋_GB2312"/>
                <w:kern w:val="0"/>
                <w:sz w:val="22"/>
                <w:szCs w:val="24"/>
                <w:highlight w:val="none"/>
                <w:lang w:val="en-US" w:eastAsia="zh-CN"/>
              </w:rPr>
              <w:t>.5分，最高得9分</w:t>
            </w:r>
            <w:r>
              <w:rPr>
                <w:rFonts w:hint="eastAsia" w:ascii="仿宋_GB2312" w:hAnsi="仿宋_GB2312" w:cs="仿宋_GB2312"/>
                <w:kern w:val="0"/>
                <w:sz w:val="22"/>
                <w:szCs w:val="24"/>
                <w:highlight w:val="none"/>
                <w:lang w:eastAsia="zh-CN"/>
              </w:rPr>
              <w:t>；</w:t>
            </w:r>
          </w:p>
          <w:p>
            <w:pPr>
              <w:shd w:val="clear"/>
              <w:spacing w:line="300" w:lineRule="exact"/>
              <w:ind w:firstLine="0" w:firstLineChars="0"/>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（2）承担过</w:t>
            </w:r>
            <w:r>
              <w:rPr>
                <w:rFonts w:hint="eastAsia" w:ascii="仿宋_GB2312" w:hAnsi="仿宋_GB2312" w:cs="仿宋_GB2312"/>
                <w:kern w:val="0"/>
                <w:sz w:val="22"/>
                <w:szCs w:val="24"/>
                <w:highlight w:val="none"/>
                <w:lang w:val="en-US" w:eastAsia="zh-CN"/>
              </w:rPr>
              <w:t>地市或区县级的同类业绩，</w:t>
            </w:r>
            <w:r>
              <w:rPr>
                <w:rFonts w:hint="eastAsia" w:ascii="仿宋_GB2312" w:hAnsi="仿宋_GB2312" w:cs="仿宋_GB2312"/>
                <w:kern w:val="0"/>
                <w:sz w:val="22"/>
                <w:szCs w:val="24"/>
                <w:highlight w:val="none"/>
              </w:rPr>
              <w:t>每提供1个得</w:t>
            </w:r>
            <w:r>
              <w:rPr>
                <w:rFonts w:hint="eastAsia" w:ascii="仿宋_GB2312" w:hAnsi="仿宋_GB2312" w:cs="仿宋_GB2312"/>
                <w:kern w:val="0"/>
                <w:sz w:val="22"/>
                <w:szCs w:val="24"/>
                <w:highlight w:val="none"/>
                <w:lang w:val="en-US" w:eastAsia="zh-CN"/>
              </w:rPr>
              <w:t>1分，最高得11分</w:t>
            </w:r>
            <w:r>
              <w:rPr>
                <w:rFonts w:hint="eastAsia" w:ascii="仿宋_GB2312" w:hAnsi="仿宋_GB2312" w:cs="仿宋_GB2312"/>
                <w:kern w:val="0"/>
                <w:sz w:val="22"/>
                <w:szCs w:val="24"/>
                <w:highlight w:val="none"/>
              </w:rPr>
              <w:t>；</w:t>
            </w:r>
          </w:p>
          <w:p>
            <w:pPr>
              <w:shd w:val="clear"/>
              <w:spacing w:line="300" w:lineRule="exact"/>
              <w:ind w:firstLine="0" w:firstLineChars="0"/>
              <w:rPr>
                <w:rFonts w:hint="eastAsia" w:ascii="仿宋_GB2312" w:hAnsi="仿宋_GB2312" w:eastAsia="仿宋_GB2312" w:cs="仿宋_GB2312"/>
                <w:kern w:val="0"/>
                <w:sz w:val="22"/>
                <w:szCs w:val="24"/>
                <w:highlight w:val="none"/>
                <w:lang w:eastAsia="zh-CN"/>
              </w:rPr>
            </w:pP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lang w:val="en-US" w:eastAsia="zh-CN"/>
              </w:rPr>
              <w:t>3</w:t>
            </w:r>
            <w:r>
              <w:rPr>
                <w:rFonts w:hint="eastAsia" w:ascii="仿宋_GB2312" w:hAnsi="仿宋_GB2312" w:cs="仿宋_GB2312"/>
                <w:kern w:val="0"/>
                <w:sz w:val="22"/>
                <w:szCs w:val="24"/>
                <w:highlight w:val="none"/>
                <w:lang w:eastAsia="zh-CN"/>
              </w:rPr>
              <w:t>）</w:t>
            </w:r>
            <w:r>
              <w:rPr>
                <w:rFonts w:hint="eastAsia" w:ascii="仿宋_GB2312" w:hAnsi="仿宋_GB2312" w:cs="仿宋_GB2312"/>
                <w:kern w:val="0"/>
                <w:sz w:val="22"/>
                <w:szCs w:val="24"/>
                <w:highlight w:val="none"/>
                <w:lang w:val="en-US" w:eastAsia="zh-CN"/>
              </w:rPr>
              <w:t>累计(1)(2)，本项最高得</w:t>
            </w:r>
            <w:r>
              <w:rPr>
                <w:rFonts w:hint="eastAsia" w:hAnsi="仿宋_GB2312" w:cs="仿宋_GB2312"/>
                <w:kern w:val="0"/>
                <w:sz w:val="22"/>
                <w:szCs w:val="24"/>
                <w:highlight w:val="none"/>
                <w:lang w:val="en-US" w:eastAsia="zh-CN"/>
              </w:rPr>
              <w:t>20</w:t>
            </w:r>
            <w:r>
              <w:rPr>
                <w:rFonts w:hint="eastAsia" w:ascii="仿宋_GB2312" w:hAnsi="仿宋_GB2312" w:cs="仿宋_GB2312"/>
                <w:kern w:val="0"/>
                <w:sz w:val="22"/>
                <w:szCs w:val="24"/>
                <w:highlight w:val="none"/>
                <w:lang w:val="en-US" w:eastAsia="zh-CN"/>
              </w:rPr>
              <w:t>分。</w:t>
            </w:r>
          </w:p>
          <w:p>
            <w:pPr>
              <w:shd w:val="clear"/>
              <w:spacing w:line="300" w:lineRule="exact"/>
              <w:ind w:firstLine="0" w:firstLineChars="0"/>
              <w:jc w:val="both"/>
              <w:rPr>
                <w:rFonts w:hint="eastAsia" w:ascii="仿宋_GB2312" w:hAnsi="仿宋_GB2312" w:cs="仿宋_GB2312"/>
                <w:b/>
                <w:kern w:val="0"/>
                <w:sz w:val="22"/>
                <w:szCs w:val="24"/>
                <w:highlight w:val="none"/>
              </w:rPr>
            </w:pPr>
            <w:r>
              <w:rPr>
                <w:rFonts w:hint="eastAsia" w:ascii="仿宋_GB2312" w:hAnsi="仿宋_GB2312" w:cs="仿宋_GB2312"/>
                <w:b/>
                <w:kern w:val="0"/>
                <w:sz w:val="22"/>
                <w:szCs w:val="24"/>
                <w:highlight w:val="none"/>
              </w:rPr>
              <w:t>2.评分依据：</w:t>
            </w:r>
          </w:p>
          <w:p>
            <w:pPr>
              <w:shd w:val="clear"/>
              <w:spacing w:line="300" w:lineRule="exact"/>
              <w:ind w:left="-96" w:leftChars="-30" w:right="-134" w:rightChars="-42" w:firstLine="0" w:firstLineChars="0"/>
              <w:jc w:val="both"/>
              <w:rPr>
                <w:rFonts w:hint="eastAsia" w:ascii="仿宋_GB2312" w:hAnsi="仿宋_GB2312" w:eastAsia="仿宋_GB2312" w:cs="仿宋_GB2312"/>
                <w:kern w:val="0"/>
                <w:sz w:val="22"/>
                <w:szCs w:val="24"/>
                <w:highlight w:val="none"/>
                <w:lang w:eastAsia="zh-CN"/>
              </w:rPr>
            </w:pPr>
            <w:r>
              <w:rPr>
                <w:rFonts w:hint="eastAsia" w:ascii="仿宋_GB2312" w:hAnsi="仿宋_GB2312" w:cs="仿宋_GB2312"/>
                <w:kern w:val="0"/>
                <w:sz w:val="22"/>
                <w:szCs w:val="24"/>
                <w:highlight w:val="none"/>
              </w:rPr>
              <w:t>（1）要求提供相关证明文件</w:t>
            </w:r>
            <w:r>
              <w:rPr>
                <w:rFonts w:hint="eastAsia" w:ascii="仿宋_GB2312" w:hAnsi="仿宋_GB2312" w:cs="仿宋_GB2312"/>
                <w:kern w:val="0"/>
                <w:sz w:val="22"/>
                <w:szCs w:val="24"/>
                <w:highlight w:val="none"/>
                <w:lang w:eastAsia="zh-CN"/>
              </w:rPr>
              <w:t>；</w:t>
            </w:r>
          </w:p>
          <w:p>
            <w:pPr>
              <w:shd w:val="clear"/>
              <w:spacing w:line="300" w:lineRule="exact"/>
              <w:ind w:left="-96" w:leftChars="-30" w:right="-134" w:rightChars="-42" w:firstLine="0" w:firstLineChars="0"/>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（2）合同关键页（合同双方的单位名称、合同项目名称、含签订合同双方的落款盖章、签订日期）或相关证明文件作为证明材料并加投标人盖公章。无或未按要求提供证明材料的不得分。</w:t>
            </w:r>
          </w:p>
        </w:tc>
        <w:tc>
          <w:tcPr>
            <w:tcW w:w="541" w:type="dxa"/>
            <w:tcBorders>
              <w:right w:val="single" w:color="auto" w:sz="4" w:space="0"/>
            </w:tcBorders>
            <w:noWrap w:val="0"/>
            <w:vAlign w:val="center"/>
          </w:tcPr>
          <w:p>
            <w:pPr>
              <w:shd w:val="clear"/>
              <w:ind w:firstLine="0" w:firstLineChars="0"/>
              <w:jc w:val="center"/>
              <w:rPr>
                <w:rFonts w:hint="default" w:ascii="仿宋_GB2312" w:hAnsi="仿宋_GB2312" w:eastAsia="仿宋_GB2312" w:cs="仿宋_GB2312"/>
                <w:sz w:val="22"/>
                <w:szCs w:val="24"/>
                <w:highlight w:val="none"/>
                <w:lang w:val="en-US" w:eastAsia="zh-CN"/>
              </w:rPr>
            </w:pPr>
            <w:r>
              <w:rPr>
                <w:rFonts w:hint="eastAsia" w:hAnsi="仿宋_GB2312" w:cs="仿宋_GB2312"/>
                <w:sz w:val="22"/>
                <w:szCs w:val="24"/>
                <w:highlight w:val="none"/>
                <w:lang w:val="en-US" w:eastAsia="zh-CN"/>
              </w:rPr>
              <w:t>20</w:t>
            </w:r>
          </w:p>
        </w:tc>
        <w:tc>
          <w:tcPr>
            <w:tcW w:w="0" w:type="auto"/>
            <w:tcBorders>
              <w:left w:val="single" w:color="auto" w:sz="4" w:space="0"/>
            </w:tcBorders>
            <w:noWrap w:val="0"/>
            <w:vAlign w:val="center"/>
          </w:tcPr>
          <w:p>
            <w:pPr>
              <w:shd w:val="clear"/>
              <w:ind w:firstLine="0" w:firstLineChars="0"/>
              <w:jc w:val="center"/>
              <w:rPr>
                <w:rFonts w:hint="default" w:ascii="仿宋_GB2312" w:hAnsi="仿宋_GB2312" w:eastAsia="仿宋_GB2312" w:cs="仿宋_GB2312"/>
                <w:sz w:val="22"/>
                <w:szCs w:val="24"/>
                <w:highlight w:val="none"/>
                <w:lang w:val="en-US" w:eastAsia="zh-CN"/>
              </w:rPr>
            </w:pPr>
            <w:r>
              <w:rPr>
                <w:rFonts w:hint="eastAsia" w:hAnsi="仿宋_GB2312" w:cs="仿宋_GB2312"/>
                <w:sz w:val="22"/>
                <w:szCs w:val="24"/>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0" w:type="auto"/>
            <w:noWrap w:val="0"/>
            <w:vAlign w:val="center"/>
          </w:tcPr>
          <w:p>
            <w:pPr>
              <w:shd w:val="clear"/>
              <w:spacing w:line="300" w:lineRule="exact"/>
              <w:ind w:firstLine="0" w:firstLineChars="0"/>
              <w:jc w:val="center"/>
              <w:rPr>
                <w:rFonts w:hint="eastAsia" w:ascii="仿宋_GB2312" w:hAnsi="仿宋_GB2312" w:cs="仿宋_GB2312"/>
                <w:sz w:val="22"/>
                <w:szCs w:val="24"/>
                <w:highlight w:val="none"/>
              </w:rPr>
            </w:pPr>
            <w:r>
              <w:rPr>
                <w:rFonts w:hint="eastAsia" w:ascii="仿宋_GB2312" w:hAnsi="仿宋_GB2312" w:cs="仿宋_GB2312"/>
                <w:sz w:val="22"/>
                <w:szCs w:val="24"/>
                <w:highlight w:val="none"/>
                <w:lang w:eastAsia="zh-CN"/>
              </w:rPr>
              <w:t>（二）</w:t>
            </w:r>
            <w:r>
              <w:rPr>
                <w:rFonts w:hint="eastAsia" w:ascii="仿宋_GB2312" w:hAnsi="仿宋_GB2312" w:cs="仿宋_GB2312"/>
                <w:sz w:val="22"/>
                <w:szCs w:val="24"/>
                <w:highlight w:val="none"/>
              </w:rPr>
              <w:t>投标人获奖情况</w:t>
            </w:r>
          </w:p>
        </w:tc>
        <w:tc>
          <w:tcPr>
            <w:tcW w:w="5641" w:type="dxa"/>
            <w:noWrap w:val="0"/>
            <w:vAlign w:val="top"/>
          </w:tcPr>
          <w:p>
            <w:pPr>
              <w:numPr>
                <w:ilvl w:val="-1"/>
                <w:numId w:val="0"/>
              </w:numPr>
              <w:shd w:val="clear"/>
              <w:spacing w:line="300" w:lineRule="exact"/>
              <w:ind w:firstLine="0" w:firstLineChars="0"/>
              <w:jc w:val="left"/>
              <w:rPr>
                <w:rFonts w:hint="eastAsia" w:ascii="仿宋_GB2312" w:hAnsi="仿宋_GB2312" w:cs="仿宋_GB2312"/>
                <w:b/>
                <w:kern w:val="0"/>
                <w:sz w:val="22"/>
                <w:szCs w:val="22"/>
                <w:highlight w:val="none"/>
              </w:rPr>
            </w:pPr>
            <w:r>
              <w:rPr>
                <w:rFonts w:hint="eastAsia" w:ascii="仿宋_GB2312" w:hAnsi="仿宋_GB2312" w:cs="仿宋_GB2312"/>
                <w:b/>
                <w:kern w:val="0"/>
                <w:sz w:val="22"/>
                <w:szCs w:val="22"/>
                <w:highlight w:val="none"/>
                <w:lang w:val="en-US" w:eastAsia="zh-CN"/>
              </w:rPr>
              <w:t>1.</w:t>
            </w:r>
            <w:r>
              <w:rPr>
                <w:rFonts w:hint="eastAsia" w:ascii="仿宋_GB2312" w:hAnsi="仿宋_GB2312" w:cs="仿宋_GB2312"/>
                <w:b/>
                <w:kern w:val="0"/>
                <w:sz w:val="22"/>
                <w:szCs w:val="22"/>
                <w:highlight w:val="none"/>
              </w:rPr>
              <w:t>评分内容：</w:t>
            </w:r>
          </w:p>
          <w:p>
            <w:pPr>
              <w:shd w:val="clear"/>
              <w:spacing w:line="300" w:lineRule="exact"/>
              <w:ind w:firstLine="0" w:firstLineChars="0"/>
              <w:rPr>
                <w:rFonts w:hint="eastAsia" w:ascii="仿宋_GB2312" w:hAnsi="仿宋_GB2312" w:cs="仿宋_GB2312"/>
                <w:kern w:val="0"/>
                <w:sz w:val="22"/>
                <w:szCs w:val="22"/>
                <w:highlight w:val="none"/>
              </w:rPr>
            </w:pPr>
            <w:r>
              <w:rPr>
                <w:rFonts w:hint="eastAsia" w:ascii="仿宋_GB2312" w:hAnsi="仿宋_GB2312" w:cs="仿宋_GB2312"/>
                <w:kern w:val="0"/>
                <w:sz w:val="22"/>
                <w:szCs w:val="22"/>
                <w:highlight w:val="none"/>
              </w:rPr>
              <w:t>投标人自2019年</w:t>
            </w:r>
            <w:r>
              <w:rPr>
                <w:rFonts w:hint="eastAsia" w:hAnsi="仿宋_GB2312" w:cs="仿宋_GB2312"/>
                <w:kern w:val="0"/>
                <w:sz w:val="22"/>
                <w:szCs w:val="22"/>
                <w:highlight w:val="none"/>
                <w:u w:val="none"/>
                <w:shd w:val="clear"/>
                <w:lang w:val="en-US" w:eastAsia="zh-CN"/>
              </w:rPr>
              <w:t>1月1日</w:t>
            </w:r>
            <w:r>
              <w:rPr>
                <w:rFonts w:hint="eastAsia" w:ascii="仿宋_GB2312" w:hAnsi="仿宋_GB2312" w:cs="仿宋_GB2312"/>
                <w:kern w:val="0"/>
                <w:sz w:val="22"/>
                <w:szCs w:val="22"/>
                <w:highlight w:val="none"/>
              </w:rPr>
              <w:t>至投标截止时间咨询成果获奖情况：</w:t>
            </w:r>
          </w:p>
          <w:p>
            <w:pPr>
              <w:shd w:val="clear"/>
              <w:spacing w:line="300" w:lineRule="exact"/>
              <w:ind w:firstLine="0" w:firstLineChars="0"/>
              <w:rPr>
                <w:rFonts w:hint="eastAsia" w:ascii="仿宋_GB2312" w:hAnsi="仿宋_GB2312" w:cs="仿宋_GB2312"/>
                <w:kern w:val="0"/>
                <w:sz w:val="22"/>
                <w:szCs w:val="22"/>
                <w:highlight w:val="none"/>
              </w:rPr>
            </w:pPr>
            <w:r>
              <w:rPr>
                <w:rFonts w:hint="eastAsia" w:ascii="仿宋_GB2312" w:hAnsi="仿宋_GB2312" w:cs="仿宋_GB2312"/>
                <w:kern w:val="0"/>
                <w:sz w:val="22"/>
                <w:szCs w:val="22"/>
                <w:highlight w:val="none"/>
                <w:lang w:eastAsia="zh-CN"/>
              </w:rPr>
              <w:t>（</w:t>
            </w:r>
            <w:r>
              <w:rPr>
                <w:rFonts w:hint="eastAsia" w:ascii="仿宋_GB2312" w:hAnsi="仿宋_GB2312" w:cs="仿宋_GB2312"/>
                <w:kern w:val="0"/>
                <w:sz w:val="22"/>
                <w:szCs w:val="22"/>
                <w:highlight w:val="none"/>
                <w:lang w:val="en-US" w:eastAsia="zh-CN"/>
              </w:rPr>
              <w:t>1</w:t>
            </w:r>
            <w:r>
              <w:rPr>
                <w:rFonts w:hint="eastAsia" w:ascii="仿宋_GB2312" w:hAnsi="仿宋_GB2312" w:cs="仿宋_GB2312"/>
                <w:kern w:val="0"/>
                <w:sz w:val="22"/>
                <w:szCs w:val="22"/>
                <w:highlight w:val="none"/>
                <w:lang w:eastAsia="zh-CN"/>
              </w:rPr>
              <w:t>）</w:t>
            </w:r>
            <w:r>
              <w:rPr>
                <w:rFonts w:hint="eastAsia" w:ascii="仿宋_GB2312" w:hAnsi="仿宋_GB2312" w:cs="仿宋_GB2312"/>
                <w:kern w:val="0"/>
                <w:sz w:val="22"/>
                <w:szCs w:val="22"/>
                <w:highlight w:val="none"/>
              </w:rPr>
              <w:t>获国家级优秀咨询成果奖的，每项得1分，最高得</w:t>
            </w:r>
            <w:r>
              <w:rPr>
                <w:rFonts w:hint="eastAsia" w:ascii="仿宋_GB2312" w:hAnsi="仿宋_GB2312" w:cs="仿宋_GB2312"/>
                <w:kern w:val="0"/>
                <w:sz w:val="22"/>
                <w:szCs w:val="22"/>
                <w:highlight w:val="none"/>
                <w:lang w:eastAsia="zh-CN"/>
              </w:rPr>
              <w:t>5</w:t>
            </w:r>
            <w:r>
              <w:rPr>
                <w:rFonts w:hint="eastAsia" w:ascii="仿宋_GB2312" w:hAnsi="仿宋_GB2312" w:cs="仿宋_GB2312"/>
                <w:kern w:val="0"/>
                <w:sz w:val="22"/>
                <w:szCs w:val="22"/>
                <w:highlight w:val="none"/>
              </w:rPr>
              <w:t>分；</w:t>
            </w:r>
          </w:p>
          <w:p>
            <w:pPr>
              <w:shd w:val="clear"/>
              <w:spacing w:line="300" w:lineRule="exact"/>
              <w:ind w:firstLine="0" w:firstLineChars="0"/>
              <w:rPr>
                <w:rFonts w:hint="eastAsia" w:ascii="仿宋_GB2312" w:hAnsi="仿宋_GB2312" w:cs="仿宋_GB2312"/>
                <w:kern w:val="0"/>
                <w:sz w:val="22"/>
                <w:szCs w:val="22"/>
                <w:highlight w:val="none"/>
                <w:lang w:eastAsia="zh-CN"/>
              </w:rPr>
            </w:pPr>
            <w:r>
              <w:rPr>
                <w:rFonts w:hint="eastAsia" w:ascii="仿宋_GB2312" w:hAnsi="仿宋_GB2312" w:cs="仿宋_GB2312"/>
                <w:kern w:val="0"/>
                <w:sz w:val="22"/>
                <w:szCs w:val="22"/>
                <w:highlight w:val="none"/>
              </w:rPr>
              <w:t>（2）获省级优秀咨询成果奖的，每项得0.5分，最高得</w:t>
            </w:r>
            <w:r>
              <w:rPr>
                <w:rFonts w:hint="eastAsia" w:ascii="仿宋_GB2312" w:hAnsi="仿宋_GB2312" w:cs="仿宋_GB2312"/>
                <w:kern w:val="0"/>
                <w:sz w:val="22"/>
                <w:szCs w:val="22"/>
                <w:highlight w:val="none"/>
                <w:lang w:eastAsia="zh-CN"/>
              </w:rPr>
              <w:t>5</w:t>
            </w:r>
            <w:r>
              <w:rPr>
                <w:rFonts w:hint="eastAsia" w:ascii="仿宋_GB2312" w:hAnsi="仿宋_GB2312" w:cs="仿宋_GB2312"/>
                <w:kern w:val="0"/>
                <w:sz w:val="22"/>
                <w:szCs w:val="22"/>
                <w:highlight w:val="none"/>
              </w:rPr>
              <w:t>分</w:t>
            </w:r>
            <w:r>
              <w:rPr>
                <w:rFonts w:hint="eastAsia" w:ascii="仿宋_GB2312" w:hAnsi="仿宋_GB2312" w:cs="仿宋_GB2312"/>
                <w:kern w:val="0"/>
                <w:sz w:val="22"/>
                <w:szCs w:val="22"/>
                <w:highlight w:val="none"/>
                <w:lang w:eastAsia="zh-CN"/>
              </w:rPr>
              <w:t>；</w:t>
            </w:r>
          </w:p>
          <w:p>
            <w:pPr>
              <w:shd w:val="clear"/>
              <w:spacing w:line="300" w:lineRule="exact"/>
              <w:ind w:firstLine="0" w:firstLineChars="0"/>
              <w:rPr>
                <w:rFonts w:hint="eastAsia" w:hAnsi="仿宋_GB2312" w:cs="仿宋_GB2312"/>
                <w:highlight w:val="none"/>
              </w:rPr>
            </w:pPr>
            <w:r>
              <w:rPr>
                <w:rFonts w:hint="eastAsia" w:hAnsi="仿宋_GB2312" w:cs="仿宋_GB2312"/>
                <w:kern w:val="0"/>
                <w:sz w:val="22"/>
                <w:szCs w:val="22"/>
                <w:highlight w:val="none"/>
                <w:lang w:eastAsia="zh-CN"/>
              </w:rPr>
              <w:t>（</w:t>
            </w:r>
            <w:r>
              <w:rPr>
                <w:rFonts w:hint="eastAsia" w:hAnsi="仿宋_GB2312" w:cs="仿宋_GB2312"/>
                <w:kern w:val="0"/>
                <w:sz w:val="22"/>
                <w:szCs w:val="22"/>
                <w:highlight w:val="none"/>
                <w:lang w:val="en-US" w:eastAsia="zh-CN"/>
              </w:rPr>
              <w:t>3</w:t>
            </w:r>
            <w:r>
              <w:rPr>
                <w:rFonts w:hint="eastAsia" w:hAnsi="仿宋_GB2312" w:cs="仿宋_GB2312"/>
                <w:kern w:val="0"/>
                <w:sz w:val="22"/>
                <w:szCs w:val="22"/>
                <w:highlight w:val="none"/>
                <w:lang w:eastAsia="zh-CN"/>
              </w:rPr>
              <w:t>）获得地市</w:t>
            </w:r>
            <w:r>
              <w:rPr>
                <w:rFonts w:hint="eastAsia" w:ascii="仿宋_GB2312" w:hAnsi="仿宋_GB2312" w:cs="仿宋_GB2312"/>
                <w:kern w:val="0"/>
                <w:sz w:val="22"/>
                <w:szCs w:val="22"/>
                <w:highlight w:val="none"/>
              </w:rPr>
              <w:t>级优秀咨询成果奖的，每项得0.</w:t>
            </w:r>
            <w:r>
              <w:rPr>
                <w:rFonts w:hint="eastAsia" w:hAnsi="仿宋_GB2312" w:cs="仿宋_GB2312"/>
                <w:kern w:val="0"/>
                <w:sz w:val="22"/>
                <w:szCs w:val="22"/>
                <w:highlight w:val="none"/>
                <w:lang w:val="en-US" w:eastAsia="zh-CN"/>
              </w:rPr>
              <w:t>25</w:t>
            </w:r>
            <w:r>
              <w:rPr>
                <w:rFonts w:hint="eastAsia" w:ascii="仿宋_GB2312" w:hAnsi="仿宋_GB2312" w:cs="仿宋_GB2312"/>
                <w:kern w:val="0"/>
                <w:sz w:val="22"/>
                <w:szCs w:val="22"/>
                <w:highlight w:val="none"/>
              </w:rPr>
              <w:t>分，最高得</w:t>
            </w:r>
            <w:r>
              <w:rPr>
                <w:rFonts w:hint="eastAsia" w:ascii="仿宋_GB2312" w:hAnsi="仿宋_GB2312" w:cs="仿宋_GB2312"/>
                <w:kern w:val="0"/>
                <w:sz w:val="22"/>
                <w:szCs w:val="22"/>
                <w:highlight w:val="none"/>
                <w:lang w:eastAsia="zh-CN"/>
              </w:rPr>
              <w:t>5</w:t>
            </w:r>
            <w:r>
              <w:rPr>
                <w:rFonts w:hint="eastAsia" w:ascii="仿宋_GB2312" w:hAnsi="仿宋_GB2312" w:cs="仿宋_GB2312"/>
                <w:kern w:val="0"/>
                <w:sz w:val="22"/>
                <w:szCs w:val="22"/>
                <w:highlight w:val="none"/>
              </w:rPr>
              <w:t>分</w:t>
            </w:r>
            <w:r>
              <w:rPr>
                <w:rFonts w:hint="eastAsia" w:ascii="仿宋_GB2312" w:hAnsi="仿宋_GB2312" w:cs="仿宋_GB2312"/>
                <w:kern w:val="0"/>
                <w:sz w:val="22"/>
                <w:szCs w:val="22"/>
                <w:highlight w:val="none"/>
                <w:lang w:eastAsia="zh-CN"/>
              </w:rPr>
              <w:t>；</w:t>
            </w:r>
          </w:p>
          <w:p>
            <w:pPr>
              <w:shd w:val="clear"/>
              <w:spacing w:line="300" w:lineRule="exact"/>
              <w:ind w:firstLine="0" w:firstLineChars="0"/>
              <w:rPr>
                <w:rFonts w:hint="eastAsia" w:ascii="仿宋_GB2312" w:hAnsi="仿宋_GB2312" w:eastAsia="仿宋_GB2312" w:cs="仿宋_GB2312"/>
                <w:kern w:val="0"/>
                <w:sz w:val="22"/>
                <w:szCs w:val="22"/>
                <w:highlight w:val="none"/>
                <w:lang w:eastAsia="zh-CN"/>
              </w:rPr>
            </w:pPr>
            <w:r>
              <w:rPr>
                <w:rFonts w:hint="eastAsia" w:ascii="仿宋_GB2312" w:hAnsi="仿宋_GB2312" w:cs="仿宋_GB2312"/>
                <w:kern w:val="0"/>
                <w:sz w:val="22"/>
                <w:szCs w:val="22"/>
                <w:highlight w:val="none"/>
                <w:lang w:eastAsia="zh-CN"/>
              </w:rPr>
              <w:t>（</w:t>
            </w:r>
            <w:r>
              <w:rPr>
                <w:rFonts w:hint="eastAsia" w:hAnsi="仿宋_GB2312" w:cs="仿宋_GB2312"/>
                <w:kern w:val="0"/>
                <w:sz w:val="22"/>
                <w:szCs w:val="22"/>
                <w:highlight w:val="none"/>
                <w:lang w:val="en-US" w:eastAsia="zh-CN"/>
              </w:rPr>
              <w:t>4</w:t>
            </w:r>
            <w:r>
              <w:rPr>
                <w:rFonts w:hint="eastAsia" w:ascii="仿宋_GB2312" w:hAnsi="仿宋_GB2312" w:cs="仿宋_GB2312"/>
                <w:kern w:val="0"/>
                <w:sz w:val="22"/>
                <w:szCs w:val="22"/>
                <w:highlight w:val="none"/>
                <w:lang w:eastAsia="zh-CN"/>
              </w:rPr>
              <w:t>）</w:t>
            </w:r>
            <w:r>
              <w:rPr>
                <w:rFonts w:hint="eastAsia" w:ascii="仿宋_GB2312" w:hAnsi="仿宋_GB2312" w:cs="仿宋_GB2312"/>
                <w:kern w:val="0"/>
                <w:sz w:val="22"/>
                <w:szCs w:val="22"/>
                <w:highlight w:val="none"/>
                <w:lang w:val="en-US" w:eastAsia="zh-CN"/>
              </w:rPr>
              <w:t>累计(1)(2)</w:t>
            </w:r>
            <w:r>
              <w:rPr>
                <w:rFonts w:hint="eastAsia" w:ascii="仿宋_GB2312" w:hAnsi="仿宋_GB2312" w:eastAsia="仿宋_GB2312" w:cs="仿宋_GB2312"/>
                <w:kern w:val="0"/>
                <w:sz w:val="22"/>
                <w:szCs w:val="22"/>
                <w:highlight w:val="none"/>
                <w:lang w:val="en-US" w:eastAsia="zh-CN"/>
              </w:rPr>
              <w:t>(</w:t>
            </w:r>
            <w:r>
              <w:rPr>
                <w:rFonts w:hint="eastAsia" w:hAnsi="仿宋_GB2312" w:cs="仿宋_GB2312"/>
                <w:kern w:val="0"/>
                <w:sz w:val="22"/>
                <w:szCs w:val="22"/>
                <w:highlight w:val="none"/>
                <w:lang w:val="en-US" w:eastAsia="zh-CN"/>
              </w:rPr>
              <w:t>3</w:t>
            </w:r>
            <w:r>
              <w:rPr>
                <w:rFonts w:hint="eastAsia" w:ascii="仿宋_GB2312" w:hAnsi="仿宋_GB2312" w:eastAsia="仿宋_GB2312" w:cs="仿宋_GB2312"/>
                <w:kern w:val="0"/>
                <w:sz w:val="22"/>
                <w:szCs w:val="22"/>
                <w:highlight w:val="none"/>
                <w:lang w:val="en-US" w:eastAsia="zh-CN"/>
              </w:rPr>
              <w:t>)</w:t>
            </w:r>
            <w:r>
              <w:rPr>
                <w:rFonts w:hint="eastAsia" w:ascii="仿宋_GB2312" w:hAnsi="仿宋_GB2312" w:cs="仿宋_GB2312"/>
                <w:kern w:val="0"/>
                <w:sz w:val="22"/>
                <w:szCs w:val="22"/>
                <w:highlight w:val="none"/>
                <w:lang w:val="en-US" w:eastAsia="zh-CN"/>
              </w:rPr>
              <w:t>，本项最高得10分。</w:t>
            </w:r>
            <w:r>
              <w:rPr>
                <w:rFonts w:hint="eastAsia" w:hAnsi="仿宋_GB2312" w:cs="仿宋_GB2312"/>
                <w:sz w:val="22"/>
                <w:szCs w:val="22"/>
                <w:highlight w:val="none"/>
              </w:rPr>
              <w:t>同一成果</w:t>
            </w:r>
            <w:r>
              <w:rPr>
                <w:rFonts w:hint="eastAsia" w:hAnsi="仿宋_GB2312" w:cs="仿宋_GB2312"/>
                <w:sz w:val="22"/>
                <w:szCs w:val="22"/>
                <w:highlight w:val="none"/>
                <w:u w:val="none"/>
                <w:shd w:val="clear"/>
              </w:rPr>
              <w:t>获得多级奖项的，</w:t>
            </w:r>
            <w:r>
              <w:rPr>
                <w:rFonts w:hint="eastAsia" w:hAnsi="仿宋_GB2312" w:cs="仿宋_GB2312"/>
                <w:sz w:val="22"/>
                <w:szCs w:val="22"/>
                <w:highlight w:val="none"/>
              </w:rPr>
              <w:t>以最高分计入，不重复计分</w:t>
            </w:r>
            <w:r>
              <w:rPr>
                <w:rFonts w:hint="eastAsia" w:hAnsi="仿宋_GB2312" w:cs="仿宋_GB2312"/>
                <w:sz w:val="22"/>
                <w:szCs w:val="22"/>
                <w:highlight w:val="none"/>
                <w:lang w:eastAsia="zh-CN"/>
              </w:rPr>
              <w:t>。</w:t>
            </w:r>
          </w:p>
          <w:p>
            <w:pPr>
              <w:shd w:val="clear"/>
              <w:spacing w:line="300" w:lineRule="exact"/>
              <w:ind w:firstLine="0" w:firstLineChars="0"/>
              <w:jc w:val="left"/>
              <w:rPr>
                <w:rFonts w:hint="eastAsia" w:ascii="仿宋_GB2312" w:hAnsi="仿宋_GB2312" w:cs="仿宋_GB2312"/>
                <w:b/>
                <w:kern w:val="0"/>
                <w:sz w:val="22"/>
                <w:szCs w:val="22"/>
                <w:highlight w:val="none"/>
              </w:rPr>
            </w:pPr>
            <w:r>
              <w:rPr>
                <w:rFonts w:hint="eastAsia" w:ascii="仿宋_GB2312" w:hAnsi="仿宋_GB2312" w:cs="仿宋_GB2312"/>
                <w:b/>
                <w:kern w:val="0"/>
                <w:sz w:val="22"/>
                <w:szCs w:val="22"/>
                <w:highlight w:val="none"/>
              </w:rPr>
              <w:t>2.评分依据：</w:t>
            </w:r>
          </w:p>
          <w:p>
            <w:pPr>
              <w:shd w:val="clear"/>
              <w:spacing w:line="300" w:lineRule="exact"/>
              <w:ind w:firstLine="0" w:firstLineChars="0"/>
              <w:jc w:val="left"/>
              <w:rPr>
                <w:rFonts w:hint="eastAsia" w:ascii="仿宋_GB2312" w:hAnsi="仿宋_GB2312" w:cs="仿宋_GB2312"/>
                <w:b/>
                <w:kern w:val="0"/>
                <w:sz w:val="22"/>
                <w:szCs w:val="22"/>
                <w:highlight w:val="none"/>
              </w:rPr>
            </w:pPr>
            <w:r>
              <w:rPr>
                <w:rFonts w:hint="eastAsia" w:hAnsi="仿宋_GB2312" w:cs="仿宋_GB2312"/>
                <w:sz w:val="22"/>
                <w:szCs w:val="22"/>
                <w:highlight w:val="none"/>
              </w:rPr>
              <w:t>须提供优秀成果获奖证书</w:t>
            </w:r>
            <w:r>
              <w:rPr>
                <w:rFonts w:hint="eastAsia" w:hAnsi="仿宋_GB2312" w:cs="仿宋_GB2312"/>
                <w:sz w:val="22"/>
                <w:szCs w:val="22"/>
                <w:highlight w:val="none"/>
                <w:lang w:val="en-US" w:eastAsia="zh-CN"/>
              </w:rPr>
              <w:t>或</w:t>
            </w:r>
            <w:r>
              <w:rPr>
                <w:rFonts w:hint="eastAsia" w:hAnsi="仿宋_GB2312" w:cs="仿宋_GB2312"/>
                <w:sz w:val="22"/>
                <w:szCs w:val="22"/>
                <w:highlight w:val="none"/>
              </w:rPr>
              <w:t>证明材料（加盖公章）</w:t>
            </w:r>
            <w:r>
              <w:rPr>
                <w:rFonts w:hint="eastAsia" w:ascii="仿宋_GB2312" w:hAnsi="仿宋_GB2312" w:cs="仿宋_GB2312"/>
                <w:kern w:val="2"/>
                <w:sz w:val="22"/>
                <w:szCs w:val="22"/>
                <w:highlight w:val="none"/>
              </w:rPr>
              <w:t>证书上须有“优秀</w:t>
            </w:r>
            <w:r>
              <w:rPr>
                <w:rFonts w:hint="eastAsia" w:ascii="仿宋_GB2312" w:hAnsi="仿宋_GB2312" w:cs="仿宋_GB2312"/>
                <w:kern w:val="2"/>
                <w:sz w:val="22"/>
                <w:szCs w:val="22"/>
                <w:highlight w:val="none"/>
                <w:lang w:val="en-US" w:eastAsia="zh-CN"/>
              </w:rPr>
              <w:t>咨询</w:t>
            </w:r>
            <w:r>
              <w:rPr>
                <w:rFonts w:hint="eastAsia" w:ascii="仿宋_GB2312" w:hAnsi="仿宋_GB2312" w:cs="仿宋_GB2312"/>
                <w:kern w:val="2"/>
                <w:sz w:val="22"/>
                <w:szCs w:val="22"/>
                <w:highlight w:val="none"/>
              </w:rPr>
              <w:t>成果”等</w:t>
            </w:r>
            <w:r>
              <w:rPr>
                <w:rFonts w:hint="eastAsia" w:ascii="仿宋_GB2312" w:hAnsi="仿宋_GB2312" w:cs="仿宋_GB2312"/>
                <w:kern w:val="2"/>
                <w:sz w:val="22"/>
                <w:szCs w:val="22"/>
                <w:highlight w:val="none"/>
                <w:lang w:val="en-US" w:eastAsia="zh-CN"/>
              </w:rPr>
              <w:t>相关</w:t>
            </w:r>
            <w:r>
              <w:rPr>
                <w:rFonts w:hint="eastAsia" w:ascii="仿宋_GB2312" w:hAnsi="仿宋_GB2312" w:cs="仿宋_GB2312"/>
                <w:kern w:val="2"/>
                <w:sz w:val="22"/>
                <w:szCs w:val="22"/>
                <w:highlight w:val="none"/>
              </w:rPr>
              <w:t>字眼</w:t>
            </w:r>
            <w:r>
              <w:rPr>
                <w:rFonts w:hint="eastAsia" w:hAnsi="仿宋_GB2312" w:cs="仿宋_GB2312"/>
                <w:sz w:val="22"/>
                <w:szCs w:val="22"/>
                <w:highlight w:val="none"/>
              </w:rPr>
              <w:t>，</w:t>
            </w:r>
            <w:r>
              <w:rPr>
                <w:rFonts w:hint="eastAsia" w:ascii="仿宋_GB2312" w:hAnsi="仿宋_GB2312" w:cs="仿宋_GB2312"/>
                <w:kern w:val="2"/>
                <w:sz w:val="22"/>
                <w:szCs w:val="22"/>
                <w:highlight w:val="none"/>
              </w:rPr>
              <w:t>未按要求提供相关材料或扫描件，不清晰导致无法识别的不得分。</w:t>
            </w:r>
          </w:p>
        </w:tc>
        <w:tc>
          <w:tcPr>
            <w:tcW w:w="541" w:type="dxa"/>
            <w:tcBorders>
              <w:right w:val="single" w:color="auto" w:sz="4" w:space="0"/>
            </w:tcBorders>
            <w:noWrap w:val="0"/>
            <w:vAlign w:val="center"/>
          </w:tcPr>
          <w:p>
            <w:pPr>
              <w:shd w:val="clear"/>
              <w:ind w:firstLine="0" w:firstLineChars="0"/>
              <w:jc w:val="center"/>
              <w:rPr>
                <w:rFonts w:hint="eastAsia" w:ascii="仿宋_GB2312" w:hAnsi="仿宋_GB2312" w:eastAsia="仿宋_GB2312" w:cs="仿宋_GB2312"/>
                <w:sz w:val="22"/>
                <w:szCs w:val="24"/>
                <w:highlight w:val="none"/>
                <w:lang w:eastAsia="zh-CN"/>
              </w:rPr>
            </w:pPr>
            <w:r>
              <w:rPr>
                <w:rFonts w:hint="eastAsia" w:ascii="仿宋_GB2312" w:hAnsi="仿宋_GB2312" w:cs="仿宋_GB2312"/>
                <w:sz w:val="22"/>
                <w:szCs w:val="24"/>
                <w:highlight w:val="none"/>
                <w:lang w:val="en-US" w:eastAsia="zh-CN"/>
              </w:rPr>
              <w:t>10</w:t>
            </w:r>
          </w:p>
        </w:tc>
        <w:tc>
          <w:tcPr>
            <w:tcW w:w="0" w:type="auto"/>
            <w:tcBorders>
              <w:left w:val="single" w:color="auto" w:sz="4" w:space="0"/>
            </w:tcBorders>
            <w:noWrap w:val="0"/>
            <w:vAlign w:val="center"/>
          </w:tcPr>
          <w:p>
            <w:pPr>
              <w:shd w:val="clear"/>
              <w:ind w:firstLine="0" w:firstLineChars="0"/>
              <w:jc w:val="center"/>
              <w:rPr>
                <w:rFonts w:hint="eastAsia" w:ascii="仿宋_GB2312" w:hAnsi="仿宋_GB2312" w:cs="仿宋_GB2312"/>
                <w:sz w:val="22"/>
                <w:szCs w:val="24"/>
                <w:highlight w:val="none"/>
              </w:rPr>
            </w:pPr>
            <w:r>
              <w:rPr>
                <w:rFonts w:hint="eastAsia" w:ascii="仿宋_GB2312" w:hAnsi="仿宋_GB2312" w:cs="仿宋_GB2312"/>
                <w:sz w:val="22"/>
                <w:szCs w:val="24"/>
                <w:highlight w:val="none"/>
                <w:lang w:eastAsia="zh-CN"/>
              </w:rPr>
              <w:t>1</w:t>
            </w:r>
            <w:r>
              <w:rPr>
                <w:rFonts w:hint="eastAsia" w:ascii="仿宋_GB2312" w:hAnsi="仿宋_GB2312" w:cs="仿宋_GB2312"/>
                <w:sz w:val="22"/>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0" w:type="auto"/>
            <w:noWrap w:val="0"/>
            <w:vAlign w:val="center"/>
          </w:tcPr>
          <w:p>
            <w:pPr>
              <w:shd w:val="clear"/>
              <w:spacing w:line="300" w:lineRule="exact"/>
              <w:ind w:firstLine="0" w:firstLineChars="0"/>
              <w:jc w:val="center"/>
              <w:rPr>
                <w:rFonts w:hint="eastAsia" w:ascii="仿宋_GB2312" w:hAnsi="仿宋_GB2312" w:cs="仿宋_GB2312"/>
                <w:sz w:val="22"/>
                <w:szCs w:val="24"/>
                <w:highlight w:val="none"/>
              </w:rPr>
            </w:pPr>
            <w:r>
              <w:rPr>
                <w:rFonts w:hint="eastAsia" w:ascii="仿宋_GB2312" w:hAnsi="仿宋_GB2312" w:cs="仿宋_GB2312"/>
                <w:sz w:val="22"/>
                <w:szCs w:val="24"/>
                <w:highlight w:val="none"/>
                <w:lang w:eastAsia="zh-CN"/>
              </w:rPr>
              <w:t>（</w:t>
            </w:r>
            <w:r>
              <w:rPr>
                <w:rFonts w:hint="eastAsia" w:hAnsi="仿宋_GB2312" w:cs="仿宋_GB2312"/>
                <w:sz w:val="22"/>
                <w:szCs w:val="24"/>
                <w:highlight w:val="none"/>
                <w:lang w:eastAsia="zh-CN"/>
              </w:rPr>
              <w:t>三</w:t>
            </w:r>
            <w:r>
              <w:rPr>
                <w:rFonts w:hint="eastAsia" w:ascii="仿宋_GB2312" w:hAnsi="仿宋_GB2312" w:cs="仿宋_GB2312"/>
                <w:sz w:val="22"/>
                <w:szCs w:val="24"/>
                <w:highlight w:val="none"/>
                <w:lang w:eastAsia="zh-CN"/>
              </w:rPr>
              <w:t>）</w:t>
            </w:r>
            <w:r>
              <w:rPr>
                <w:rFonts w:hint="eastAsia" w:ascii="仿宋_GB2312" w:hAnsi="仿宋_GB2312" w:cs="仿宋_GB2312"/>
                <w:sz w:val="22"/>
                <w:szCs w:val="24"/>
                <w:highlight w:val="none"/>
              </w:rPr>
              <w:t>拟安排的项目负责人情况（仅限一人）</w:t>
            </w:r>
          </w:p>
        </w:tc>
        <w:tc>
          <w:tcPr>
            <w:tcW w:w="5641" w:type="dxa"/>
            <w:noWrap w:val="0"/>
            <w:vAlign w:val="top"/>
          </w:tcPr>
          <w:p>
            <w:pPr>
              <w:shd w:val="clear"/>
              <w:spacing w:line="300" w:lineRule="exact"/>
              <w:ind w:firstLine="0" w:firstLineChars="0"/>
              <w:jc w:val="left"/>
              <w:rPr>
                <w:rFonts w:hint="eastAsia" w:ascii="仿宋_GB2312" w:hAnsi="仿宋_GB2312" w:cs="仿宋_GB2312"/>
                <w:b/>
                <w:kern w:val="0"/>
                <w:sz w:val="22"/>
                <w:szCs w:val="22"/>
                <w:highlight w:val="none"/>
              </w:rPr>
            </w:pPr>
            <w:r>
              <w:rPr>
                <w:rFonts w:hint="eastAsia" w:ascii="仿宋_GB2312" w:hAnsi="仿宋_GB2312" w:cs="仿宋_GB2312"/>
                <w:b/>
                <w:kern w:val="0"/>
                <w:sz w:val="22"/>
                <w:szCs w:val="22"/>
                <w:highlight w:val="none"/>
              </w:rPr>
              <w:t>1.评分内容：</w:t>
            </w:r>
          </w:p>
          <w:p>
            <w:pPr>
              <w:shd w:val="clear"/>
              <w:spacing w:line="300" w:lineRule="exact"/>
              <w:ind w:firstLine="0" w:firstLineChars="0"/>
              <w:jc w:val="left"/>
              <w:rPr>
                <w:rFonts w:hint="eastAsia" w:hAnsi="仿宋_GB2312" w:cs="仿宋_GB2312"/>
                <w:b w:val="0"/>
                <w:bCs/>
                <w:kern w:val="0"/>
                <w:sz w:val="22"/>
                <w:szCs w:val="22"/>
                <w:highlight w:val="none"/>
              </w:rPr>
            </w:pPr>
            <w:r>
              <w:rPr>
                <w:rFonts w:hint="eastAsia" w:hAnsi="仿宋_GB2312" w:cs="仿宋_GB2312"/>
                <w:b w:val="0"/>
                <w:bCs/>
                <w:kern w:val="0"/>
                <w:sz w:val="22"/>
                <w:szCs w:val="22"/>
                <w:highlight w:val="none"/>
              </w:rPr>
              <w:t>拟安排的项目负责人须为投标人自有员工（提供社保作为证明材料），否则本项不得分。</w:t>
            </w:r>
          </w:p>
          <w:p>
            <w:pPr>
              <w:shd w:val="clear"/>
              <w:spacing w:line="300" w:lineRule="exact"/>
              <w:ind w:left="-96" w:leftChars="-30" w:right="-134" w:rightChars="-42" w:firstLine="0" w:firstLineChars="0"/>
              <w:jc w:val="left"/>
              <w:rPr>
                <w:rFonts w:hint="eastAsia" w:ascii="仿宋_GB2312" w:hAnsi="仿宋_GB2312" w:cs="仿宋_GB2312"/>
                <w:kern w:val="0"/>
                <w:sz w:val="22"/>
                <w:szCs w:val="22"/>
                <w:highlight w:val="none"/>
              </w:rPr>
            </w:pPr>
            <w:r>
              <w:rPr>
                <w:rFonts w:hint="eastAsia" w:ascii="仿宋_GB2312" w:hAnsi="仿宋_GB2312" w:cs="仿宋_GB2312"/>
                <w:kern w:val="0"/>
                <w:sz w:val="22"/>
                <w:szCs w:val="22"/>
                <w:highlight w:val="none"/>
              </w:rPr>
              <w:t>（1）项目负责人具有博士学位</w:t>
            </w:r>
            <w:r>
              <w:rPr>
                <w:rFonts w:hint="eastAsia" w:hAnsi="仿宋_GB2312" w:cs="仿宋_GB2312"/>
                <w:kern w:val="0"/>
                <w:sz w:val="22"/>
                <w:szCs w:val="22"/>
                <w:highlight w:val="none"/>
                <w:lang w:eastAsia="zh-CN"/>
              </w:rPr>
              <w:t>或</w:t>
            </w:r>
            <w:r>
              <w:rPr>
                <w:rFonts w:hint="eastAsia" w:ascii="仿宋_GB2312" w:hAnsi="仿宋_GB2312" w:cs="仿宋_GB2312"/>
                <w:kern w:val="0"/>
                <w:sz w:val="22"/>
                <w:szCs w:val="22"/>
                <w:highlight w:val="none"/>
              </w:rPr>
              <w:t>高级职称的，得</w:t>
            </w:r>
            <w:r>
              <w:rPr>
                <w:rFonts w:hint="eastAsia" w:ascii="仿宋_GB2312" w:hAnsi="仿宋_GB2312" w:cs="仿宋_GB2312"/>
                <w:kern w:val="0"/>
                <w:sz w:val="22"/>
                <w:szCs w:val="22"/>
                <w:highlight w:val="none"/>
                <w:lang w:val="en-US" w:eastAsia="zh-CN"/>
              </w:rPr>
              <w:t>4分</w:t>
            </w:r>
            <w:r>
              <w:rPr>
                <w:rFonts w:hint="eastAsia" w:hAnsi="仿宋_GB2312" w:cs="仿宋_GB2312"/>
                <w:kern w:val="0"/>
                <w:sz w:val="22"/>
                <w:szCs w:val="22"/>
                <w:highlight w:val="none"/>
                <w:lang w:eastAsia="zh-CN"/>
              </w:rPr>
              <w:t>，</w:t>
            </w:r>
            <w:r>
              <w:rPr>
                <w:rFonts w:hint="eastAsia" w:ascii="仿宋_GB2312" w:hAnsi="仿宋_GB2312" w:cs="仿宋_GB2312"/>
                <w:kern w:val="0"/>
                <w:sz w:val="22"/>
                <w:szCs w:val="22"/>
                <w:highlight w:val="none"/>
              </w:rPr>
              <w:t>否则不得分。</w:t>
            </w:r>
          </w:p>
          <w:p>
            <w:pPr>
              <w:shd w:val="clear"/>
              <w:spacing w:line="300" w:lineRule="exact"/>
              <w:ind w:left="-96" w:leftChars="-30" w:right="-134" w:rightChars="-42" w:firstLine="0" w:firstLineChars="0"/>
              <w:jc w:val="left"/>
              <w:rPr>
                <w:rFonts w:hint="eastAsia" w:ascii="仿宋_GB2312" w:hAnsi="仿宋_GB2312" w:cs="仿宋_GB2312"/>
                <w:kern w:val="0"/>
                <w:sz w:val="22"/>
                <w:szCs w:val="22"/>
                <w:highlight w:val="none"/>
              </w:rPr>
            </w:pPr>
            <w:r>
              <w:rPr>
                <w:rFonts w:hint="eastAsia" w:ascii="仿宋_GB2312" w:hAnsi="仿宋_GB2312" w:cs="仿宋_GB2312"/>
                <w:kern w:val="0"/>
                <w:sz w:val="22"/>
                <w:szCs w:val="22"/>
                <w:highlight w:val="none"/>
              </w:rPr>
              <w:t>（2）项目负责人具有</w:t>
            </w:r>
            <w:r>
              <w:rPr>
                <w:rFonts w:hint="eastAsia" w:hAnsi="仿宋_GB2312" w:cs="仿宋_GB2312"/>
                <w:kern w:val="0"/>
                <w:sz w:val="22"/>
                <w:szCs w:val="22"/>
                <w:highlight w:val="none"/>
                <w:lang w:eastAsia="zh-CN"/>
              </w:rPr>
              <w:t>硕士学位或</w:t>
            </w:r>
            <w:r>
              <w:rPr>
                <w:rFonts w:hint="eastAsia" w:ascii="仿宋_GB2312" w:hAnsi="仿宋_GB2312" w:cs="仿宋_GB2312"/>
                <w:kern w:val="0"/>
                <w:sz w:val="22"/>
                <w:szCs w:val="22"/>
                <w:highlight w:val="none"/>
                <w:lang w:val="en-US" w:eastAsia="zh-CN"/>
              </w:rPr>
              <w:t>中级</w:t>
            </w:r>
            <w:r>
              <w:rPr>
                <w:rFonts w:hint="eastAsia" w:ascii="仿宋_GB2312" w:hAnsi="仿宋_GB2312" w:cs="仿宋_GB2312"/>
                <w:kern w:val="0"/>
                <w:sz w:val="22"/>
                <w:szCs w:val="22"/>
                <w:highlight w:val="none"/>
              </w:rPr>
              <w:t>职称的，得</w:t>
            </w:r>
            <w:r>
              <w:rPr>
                <w:rFonts w:hint="eastAsia" w:ascii="仿宋_GB2312" w:hAnsi="仿宋_GB2312" w:cs="仿宋_GB2312"/>
                <w:kern w:val="0"/>
                <w:sz w:val="22"/>
                <w:szCs w:val="22"/>
                <w:highlight w:val="none"/>
                <w:lang w:val="en-US" w:eastAsia="zh-CN"/>
              </w:rPr>
              <w:t>2分</w:t>
            </w:r>
            <w:r>
              <w:rPr>
                <w:rFonts w:hint="eastAsia" w:ascii="仿宋_GB2312" w:hAnsi="仿宋_GB2312" w:cs="仿宋_GB2312"/>
                <w:kern w:val="0"/>
                <w:sz w:val="22"/>
                <w:szCs w:val="22"/>
                <w:highlight w:val="none"/>
              </w:rPr>
              <w:t>；否则不得分。</w:t>
            </w:r>
          </w:p>
          <w:p>
            <w:pPr>
              <w:shd w:val="clear"/>
              <w:spacing w:line="300" w:lineRule="exact"/>
              <w:ind w:left="-96" w:leftChars="-30" w:right="-134" w:rightChars="-42" w:firstLine="0" w:firstLineChars="0"/>
              <w:jc w:val="left"/>
              <w:rPr>
                <w:rFonts w:hint="eastAsia" w:ascii="仿宋_GB2312" w:hAnsi="仿宋_GB2312" w:cs="仿宋_GB2312"/>
                <w:kern w:val="0"/>
                <w:sz w:val="22"/>
                <w:szCs w:val="22"/>
                <w:highlight w:val="none"/>
              </w:rPr>
            </w:pPr>
            <w:r>
              <w:rPr>
                <w:rFonts w:hint="eastAsia" w:ascii="仿宋_GB2312" w:hAnsi="仿宋_GB2312" w:cs="仿宋_GB2312"/>
                <w:kern w:val="0"/>
                <w:sz w:val="22"/>
                <w:szCs w:val="22"/>
                <w:highlight w:val="none"/>
                <w:lang w:eastAsia="zh-CN"/>
              </w:rPr>
              <w:t>（</w:t>
            </w:r>
            <w:r>
              <w:rPr>
                <w:rFonts w:hint="eastAsia" w:ascii="仿宋_GB2312" w:hAnsi="仿宋_GB2312" w:cs="仿宋_GB2312"/>
                <w:kern w:val="0"/>
                <w:sz w:val="22"/>
                <w:szCs w:val="22"/>
                <w:highlight w:val="none"/>
                <w:lang w:val="en-US" w:eastAsia="zh-CN"/>
              </w:rPr>
              <w:t>3</w:t>
            </w:r>
            <w:r>
              <w:rPr>
                <w:rFonts w:hint="eastAsia" w:ascii="仿宋_GB2312" w:hAnsi="仿宋_GB2312" w:cs="仿宋_GB2312"/>
                <w:kern w:val="0"/>
                <w:sz w:val="22"/>
                <w:szCs w:val="22"/>
                <w:highlight w:val="none"/>
                <w:lang w:eastAsia="zh-CN"/>
              </w:rPr>
              <w:t>）</w:t>
            </w:r>
            <w:r>
              <w:rPr>
                <w:rFonts w:hint="eastAsia" w:hAnsi="仿宋_GB2312" w:cs="仿宋_GB2312"/>
                <w:kern w:val="0"/>
                <w:sz w:val="22"/>
                <w:szCs w:val="22"/>
                <w:highlight w:val="none"/>
              </w:rPr>
              <w:t>具备多学位或职称的，以最高等级学位或职称计分，不得重复计分。</w:t>
            </w:r>
            <w:r>
              <w:rPr>
                <w:rFonts w:hint="eastAsia" w:ascii="仿宋_GB2312" w:hAnsi="仿宋_GB2312" w:cs="仿宋_GB2312"/>
                <w:kern w:val="0"/>
                <w:sz w:val="22"/>
                <w:szCs w:val="22"/>
                <w:highlight w:val="none"/>
                <w:lang w:val="en-US" w:eastAsia="zh-CN"/>
              </w:rPr>
              <w:t>累计(1)(2)，本项最高得8分。</w:t>
            </w:r>
          </w:p>
          <w:p>
            <w:pPr>
              <w:shd w:val="clear"/>
              <w:spacing w:line="300" w:lineRule="exact"/>
              <w:ind w:firstLine="0" w:firstLineChars="0"/>
              <w:jc w:val="left"/>
              <w:rPr>
                <w:rFonts w:hint="eastAsia" w:ascii="仿宋_GB2312" w:hAnsi="仿宋_GB2312" w:cs="仿宋_GB2312"/>
                <w:b/>
                <w:kern w:val="0"/>
                <w:sz w:val="22"/>
                <w:szCs w:val="22"/>
                <w:highlight w:val="none"/>
              </w:rPr>
            </w:pPr>
            <w:r>
              <w:rPr>
                <w:rFonts w:hint="eastAsia" w:ascii="仿宋_GB2312" w:hAnsi="仿宋_GB2312" w:cs="仿宋_GB2312"/>
                <w:b/>
                <w:kern w:val="0"/>
                <w:sz w:val="22"/>
                <w:szCs w:val="22"/>
                <w:highlight w:val="none"/>
              </w:rPr>
              <w:t>2.评分依据：</w:t>
            </w:r>
          </w:p>
          <w:p>
            <w:pPr>
              <w:shd w:val="clear"/>
              <w:spacing w:line="300" w:lineRule="exact"/>
              <w:ind w:left="-96" w:leftChars="-30" w:right="-134" w:rightChars="-42" w:firstLine="0" w:firstLineChars="0"/>
              <w:jc w:val="left"/>
              <w:rPr>
                <w:rFonts w:hint="eastAsia" w:ascii="仿宋_GB2312" w:hAnsi="仿宋_GB2312" w:cs="仿宋_GB2312"/>
                <w:kern w:val="0"/>
                <w:sz w:val="22"/>
                <w:szCs w:val="22"/>
                <w:highlight w:val="none"/>
              </w:rPr>
            </w:pPr>
            <w:r>
              <w:rPr>
                <w:rFonts w:hint="eastAsia" w:ascii="仿宋_GB2312" w:hAnsi="仿宋_GB2312" w:cs="仿宋_GB2312"/>
                <w:kern w:val="0"/>
                <w:sz w:val="22"/>
                <w:szCs w:val="22"/>
                <w:highlight w:val="none"/>
              </w:rPr>
              <w:t>（1）项目负责人学位</w:t>
            </w:r>
            <w:r>
              <w:rPr>
                <w:rFonts w:hint="eastAsia" w:hAnsi="仿宋_GB2312" w:cs="仿宋_GB2312"/>
                <w:kern w:val="0"/>
                <w:sz w:val="22"/>
                <w:szCs w:val="22"/>
                <w:highlight w:val="none"/>
                <w:lang w:eastAsia="zh-CN"/>
              </w:rPr>
              <w:t>、</w:t>
            </w:r>
            <w:r>
              <w:rPr>
                <w:rFonts w:hint="eastAsia" w:ascii="仿宋_GB2312" w:hAnsi="仿宋_GB2312" w:cs="仿宋_GB2312"/>
                <w:kern w:val="0"/>
                <w:sz w:val="22"/>
                <w:szCs w:val="22"/>
                <w:highlight w:val="none"/>
              </w:rPr>
              <w:t>职称证书扫描件。</w:t>
            </w:r>
          </w:p>
          <w:p>
            <w:pPr>
              <w:shd w:val="clear"/>
              <w:spacing w:line="300" w:lineRule="exact"/>
              <w:ind w:left="-96" w:leftChars="-30" w:right="-134" w:rightChars="-42" w:firstLine="0" w:firstLineChars="0"/>
              <w:jc w:val="left"/>
              <w:rPr>
                <w:rFonts w:hint="eastAsia" w:ascii="仿宋_GB2312" w:hAnsi="仿宋_GB2312" w:cs="仿宋_GB2312"/>
                <w:kern w:val="0"/>
                <w:sz w:val="22"/>
                <w:szCs w:val="22"/>
                <w:highlight w:val="none"/>
              </w:rPr>
            </w:pPr>
            <w:r>
              <w:rPr>
                <w:rFonts w:hint="eastAsia" w:ascii="仿宋_GB2312" w:hAnsi="仿宋_GB2312" w:cs="仿宋_GB2312"/>
                <w:kern w:val="0"/>
                <w:sz w:val="22"/>
                <w:szCs w:val="22"/>
                <w:highlight w:val="none"/>
              </w:rPr>
              <w:t>（2）项目负责人近三个月社保证明材料。</w:t>
            </w:r>
          </w:p>
        </w:tc>
        <w:tc>
          <w:tcPr>
            <w:tcW w:w="541" w:type="dxa"/>
            <w:tcBorders>
              <w:right w:val="single" w:color="auto" w:sz="4" w:space="0"/>
            </w:tcBorders>
            <w:noWrap w:val="0"/>
            <w:vAlign w:val="center"/>
          </w:tcPr>
          <w:p>
            <w:pPr>
              <w:shd w:val="clear"/>
              <w:ind w:firstLine="0" w:firstLineChars="0"/>
              <w:jc w:val="center"/>
              <w:rPr>
                <w:rFonts w:hint="eastAsia" w:ascii="仿宋_GB2312" w:hAnsi="仿宋_GB2312" w:eastAsia="仿宋_GB2312" w:cs="仿宋_GB2312"/>
                <w:sz w:val="22"/>
                <w:szCs w:val="24"/>
                <w:highlight w:val="none"/>
                <w:lang w:val="en-US" w:eastAsia="zh-CN"/>
              </w:rPr>
            </w:pPr>
            <w:r>
              <w:rPr>
                <w:rFonts w:hint="eastAsia" w:ascii="仿宋_GB2312" w:hAnsi="仿宋_GB2312" w:cs="仿宋_GB2312"/>
                <w:sz w:val="22"/>
                <w:szCs w:val="24"/>
                <w:highlight w:val="none"/>
                <w:lang w:eastAsia="zh-CN"/>
              </w:rPr>
              <w:t>8</w:t>
            </w:r>
          </w:p>
        </w:tc>
        <w:tc>
          <w:tcPr>
            <w:tcW w:w="0" w:type="auto"/>
            <w:tcBorders>
              <w:left w:val="single" w:color="auto" w:sz="4" w:space="0"/>
            </w:tcBorders>
            <w:noWrap w:val="0"/>
            <w:vAlign w:val="center"/>
          </w:tcPr>
          <w:p>
            <w:pPr>
              <w:shd w:val="clear"/>
              <w:ind w:firstLine="0" w:firstLineChars="0"/>
              <w:jc w:val="center"/>
              <w:rPr>
                <w:rFonts w:hint="eastAsia" w:ascii="仿宋_GB2312" w:hAnsi="仿宋_GB2312" w:eastAsia="仿宋_GB2312" w:cs="仿宋_GB2312"/>
                <w:sz w:val="22"/>
                <w:szCs w:val="24"/>
                <w:highlight w:val="none"/>
                <w:lang w:val="en-US" w:eastAsia="zh-CN"/>
              </w:rPr>
            </w:pPr>
            <w:r>
              <w:rPr>
                <w:rFonts w:hint="eastAsia" w:ascii="仿宋_GB2312" w:hAnsi="仿宋_GB2312" w:cs="仿宋_GB2312"/>
                <w:sz w:val="22"/>
                <w:szCs w:val="24"/>
                <w:highlight w:val="none"/>
                <w:lang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2227" w:type="dxa"/>
            <w:noWrap w:val="0"/>
            <w:vAlign w:val="center"/>
          </w:tcPr>
          <w:p>
            <w:pPr>
              <w:shd w:val="clear"/>
              <w:spacing w:line="300" w:lineRule="exact"/>
              <w:ind w:firstLine="0" w:firstLineChars="0"/>
              <w:jc w:val="center"/>
              <w:rPr>
                <w:rFonts w:hint="eastAsia" w:ascii="仿宋_GB2312" w:hAnsi="仿宋_GB2312" w:eastAsia="仿宋_GB2312" w:cs="仿宋_GB2312"/>
                <w:kern w:val="2"/>
                <w:sz w:val="22"/>
                <w:szCs w:val="24"/>
                <w:highlight w:val="none"/>
                <w:lang w:val="en-US" w:eastAsia="zh-CN" w:bidi="ar-SA"/>
              </w:rPr>
            </w:pPr>
            <w:r>
              <w:rPr>
                <w:rFonts w:hint="eastAsia" w:ascii="仿宋_GB2312" w:hAnsi="仿宋_GB2312" w:cs="仿宋_GB2312"/>
                <w:sz w:val="22"/>
                <w:szCs w:val="24"/>
                <w:highlight w:val="none"/>
                <w:lang w:eastAsia="zh-CN"/>
              </w:rPr>
              <w:t>（</w:t>
            </w:r>
            <w:r>
              <w:rPr>
                <w:rFonts w:hint="eastAsia" w:hAnsi="仿宋_GB2312" w:cs="仿宋_GB2312"/>
                <w:sz w:val="22"/>
                <w:szCs w:val="24"/>
                <w:highlight w:val="none"/>
                <w:lang w:eastAsia="zh-CN"/>
              </w:rPr>
              <w:t>四</w:t>
            </w:r>
            <w:r>
              <w:rPr>
                <w:rFonts w:hint="eastAsia" w:ascii="仿宋_GB2312" w:hAnsi="仿宋_GB2312" w:cs="仿宋_GB2312"/>
                <w:sz w:val="22"/>
                <w:szCs w:val="24"/>
                <w:highlight w:val="none"/>
                <w:lang w:eastAsia="zh-CN"/>
              </w:rPr>
              <w:t>）</w:t>
            </w:r>
            <w:r>
              <w:rPr>
                <w:rFonts w:hint="eastAsia" w:ascii="仿宋_GB2312" w:hAnsi="仿宋_GB2312" w:cs="仿宋_GB2312"/>
                <w:sz w:val="22"/>
                <w:szCs w:val="24"/>
                <w:highlight w:val="none"/>
              </w:rPr>
              <w:t>拟安排的项目团队成员情况（项目负责人除外）</w:t>
            </w:r>
          </w:p>
        </w:tc>
        <w:tc>
          <w:tcPr>
            <w:tcW w:w="5641" w:type="dxa"/>
            <w:noWrap w:val="0"/>
            <w:vAlign w:val="top"/>
          </w:tcPr>
          <w:p>
            <w:pPr>
              <w:shd w:val="clear"/>
              <w:spacing w:line="300" w:lineRule="exact"/>
              <w:ind w:firstLine="0" w:firstLineChars="0"/>
              <w:jc w:val="left"/>
              <w:rPr>
                <w:rFonts w:hint="eastAsia" w:ascii="仿宋_GB2312" w:hAnsi="仿宋_GB2312" w:cs="仿宋_GB2312"/>
                <w:b/>
                <w:kern w:val="0"/>
                <w:sz w:val="22"/>
                <w:szCs w:val="22"/>
                <w:highlight w:val="none"/>
              </w:rPr>
            </w:pPr>
            <w:r>
              <w:rPr>
                <w:rFonts w:hint="eastAsia" w:ascii="仿宋_GB2312" w:hAnsi="仿宋_GB2312" w:cs="仿宋_GB2312"/>
                <w:b/>
                <w:kern w:val="0"/>
                <w:sz w:val="22"/>
                <w:szCs w:val="22"/>
                <w:highlight w:val="none"/>
              </w:rPr>
              <w:t>1.评分内容：</w:t>
            </w:r>
          </w:p>
          <w:p>
            <w:pPr>
              <w:shd w:val="clear"/>
              <w:spacing w:line="300" w:lineRule="exact"/>
              <w:ind w:firstLine="0" w:firstLineChars="0"/>
              <w:jc w:val="left"/>
              <w:rPr>
                <w:rFonts w:hint="eastAsia" w:ascii="仿宋_GB2312" w:hAnsi="仿宋_GB2312" w:cs="仿宋_GB2312"/>
                <w:b w:val="0"/>
                <w:bCs/>
                <w:kern w:val="0"/>
                <w:sz w:val="22"/>
                <w:szCs w:val="22"/>
                <w:highlight w:val="none"/>
              </w:rPr>
            </w:pPr>
            <w:r>
              <w:rPr>
                <w:rFonts w:hint="eastAsia" w:hAnsi="仿宋_GB2312" w:cs="仿宋_GB2312"/>
                <w:b w:val="0"/>
                <w:bCs/>
                <w:kern w:val="0"/>
                <w:sz w:val="22"/>
                <w:szCs w:val="22"/>
                <w:highlight w:val="none"/>
              </w:rPr>
              <w:t>拟安排的项目团队</w:t>
            </w:r>
            <w:r>
              <w:rPr>
                <w:rFonts w:hint="eastAsia" w:hAnsi="仿宋_GB2312" w:cs="仿宋_GB2312"/>
                <w:b w:val="0"/>
                <w:bCs/>
                <w:kern w:val="0"/>
                <w:sz w:val="22"/>
                <w:szCs w:val="22"/>
                <w:highlight w:val="none"/>
                <w:lang w:eastAsia="zh-CN"/>
              </w:rPr>
              <w:t>主要</w:t>
            </w:r>
            <w:r>
              <w:rPr>
                <w:rFonts w:hint="eastAsia" w:hAnsi="仿宋_GB2312" w:cs="仿宋_GB2312"/>
                <w:b w:val="0"/>
                <w:bCs/>
                <w:kern w:val="0"/>
                <w:sz w:val="22"/>
                <w:szCs w:val="22"/>
                <w:highlight w:val="none"/>
              </w:rPr>
              <w:t>成员须为投标人自有员工（提供社保作为证明材料），否则本项不得分。</w:t>
            </w:r>
          </w:p>
          <w:p>
            <w:pPr>
              <w:shd w:val="clear"/>
              <w:spacing w:line="300" w:lineRule="exact"/>
              <w:ind w:firstLine="0" w:firstLineChars="0"/>
              <w:jc w:val="left"/>
              <w:rPr>
                <w:rFonts w:hint="eastAsia" w:ascii="仿宋_GB2312" w:hAnsi="仿宋_GB2312" w:cs="仿宋_GB2312"/>
                <w:kern w:val="0"/>
                <w:sz w:val="22"/>
                <w:szCs w:val="22"/>
                <w:highlight w:val="none"/>
                <w:lang w:val="en-US" w:eastAsia="zh-CN"/>
              </w:rPr>
            </w:pPr>
            <w:r>
              <w:rPr>
                <w:rFonts w:hint="eastAsia" w:ascii="仿宋_GB2312" w:hAnsi="仿宋_GB2312" w:cs="仿宋_GB2312"/>
                <w:kern w:val="0"/>
                <w:sz w:val="22"/>
                <w:szCs w:val="22"/>
                <w:highlight w:val="none"/>
                <w:lang w:eastAsia="zh-CN"/>
              </w:rPr>
              <w:t>（</w:t>
            </w:r>
            <w:r>
              <w:rPr>
                <w:rFonts w:hint="eastAsia" w:ascii="仿宋_GB2312" w:hAnsi="仿宋_GB2312" w:cs="仿宋_GB2312"/>
                <w:kern w:val="0"/>
                <w:sz w:val="22"/>
                <w:szCs w:val="22"/>
                <w:highlight w:val="none"/>
                <w:lang w:val="en-US" w:eastAsia="zh-CN"/>
              </w:rPr>
              <w:t>1</w:t>
            </w:r>
            <w:r>
              <w:rPr>
                <w:rFonts w:hint="eastAsia" w:ascii="仿宋_GB2312" w:hAnsi="仿宋_GB2312" w:cs="仿宋_GB2312"/>
                <w:kern w:val="0"/>
                <w:sz w:val="22"/>
                <w:szCs w:val="22"/>
                <w:highlight w:val="none"/>
                <w:lang w:eastAsia="zh-CN"/>
              </w:rPr>
              <w:t>）</w:t>
            </w:r>
            <w:r>
              <w:rPr>
                <w:rFonts w:hint="eastAsia" w:ascii="仿宋_GB2312" w:hAnsi="仿宋_GB2312" w:cs="仿宋_GB2312"/>
                <w:kern w:val="0"/>
                <w:sz w:val="22"/>
                <w:szCs w:val="22"/>
                <w:highlight w:val="none"/>
              </w:rPr>
              <w:t>项目团队</w:t>
            </w:r>
            <w:r>
              <w:rPr>
                <w:rFonts w:hint="eastAsia" w:hAnsi="仿宋_GB2312" w:cs="仿宋_GB2312"/>
                <w:kern w:val="0"/>
                <w:sz w:val="22"/>
                <w:szCs w:val="22"/>
                <w:highlight w:val="none"/>
                <w:lang w:eastAsia="zh-CN"/>
              </w:rPr>
              <w:t>成员</w:t>
            </w:r>
            <w:r>
              <w:rPr>
                <w:rFonts w:hint="eastAsia" w:ascii="仿宋_GB2312" w:hAnsi="仿宋_GB2312" w:cs="仿宋_GB2312"/>
                <w:kern w:val="0"/>
                <w:sz w:val="22"/>
                <w:szCs w:val="22"/>
                <w:highlight w:val="none"/>
              </w:rPr>
              <w:t>中</w:t>
            </w:r>
            <w:r>
              <w:rPr>
                <w:rFonts w:hint="eastAsia" w:ascii="仿宋_GB2312" w:hAnsi="仿宋_GB2312" w:cs="仿宋_GB2312"/>
                <w:kern w:val="0"/>
                <w:sz w:val="22"/>
                <w:szCs w:val="22"/>
                <w:highlight w:val="none"/>
                <w:lang w:val="en-US" w:eastAsia="zh-CN"/>
              </w:rPr>
              <w:t>具有</w:t>
            </w:r>
            <w:r>
              <w:rPr>
                <w:rFonts w:hint="eastAsia" w:hAnsi="仿宋_GB2312" w:cs="仿宋_GB2312"/>
                <w:kern w:val="0"/>
                <w:sz w:val="22"/>
                <w:szCs w:val="22"/>
                <w:highlight w:val="none"/>
              </w:rPr>
              <w:t>博士</w:t>
            </w:r>
            <w:r>
              <w:rPr>
                <w:rFonts w:hint="eastAsia" w:hAnsi="仿宋_GB2312" w:cs="仿宋_GB2312"/>
                <w:kern w:val="0"/>
                <w:sz w:val="22"/>
                <w:szCs w:val="22"/>
                <w:highlight w:val="none"/>
                <w:lang w:eastAsia="zh-CN"/>
              </w:rPr>
              <w:t>学位</w:t>
            </w:r>
            <w:r>
              <w:rPr>
                <w:rFonts w:hint="eastAsia" w:hAnsi="仿宋_GB2312" w:cs="仿宋_GB2312"/>
                <w:kern w:val="0"/>
                <w:sz w:val="22"/>
                <w:szCs w:val="22"/>
                <w:highlight w:val="none"/>
              </w:rPr>
              <w:t>或高级职称的，</w:t>
            </w:r>
            <w:r>
              <w:rPr>
                <w:rFonts w:hint="eastAsia" w:ascii="仿宋_GB2312" w:hAnsi="仿宋_GB2312" w:cs="仿宋_GB2312"/>
                <w:kern w:val="0"/>
                <w:sz w:val="22"/>
                <w:szCs w:val="22"/>
                <w:highlight w:val="none"/>
                <w:lang w:val="en-US" w:eastAsia="zh-CN"/>
              </w:rPr>
              <w:t>每提供1位得</w:t>
            </w:r>
            <w:r>
              <w:rPr>
                <w:rFonts w:hint="eastAsia" w:hAnsi="仿宋_GB2312" w:cs="仿宋_GB2312"/>
                <w:kern w:val="0"/>
                <w:sz w:val="22"/>
                <w:szCs w:val="22"/>
                <w:highlight w:val="none"/>
                <w:lang w:val="en-US" w:eastAsia="zh-CN"/>
              </w:rPr>
              <w:t>1</w:t>
            </w:r>
            <w:r>
              <w:rPr>
                <w:rFonts w:hint="eastAsia" w:ascii="仿宋_GB2312" w:hAnsi="仿宋_GB2312" w:cs="仿宋_GB2312"/>
                <w:kern w:val="0"/>
                <w:sz w:val="22"/>
                <w:szCs w:val="22"/>
                <w:highlight w:val="none"/>
                <w:lang w:val="en-US" w:eastAsia="zh-CN"/>
              </w:rPr>
              <w:t>分，</w:t>
            </w:r>
            <w:r>
              <w:rPr>
                <w:rFonts w:hint="eastAsia" w:hAnsi="仿宋_GB2312" w:cs="仿宋_GB2312"/>
                <w:kern w:val="0"/>
                <w:sz w:val="22"/>
                <w:szCs w:val="22"/>
                <w:highlight w:val="none"/>
              </w:rPr>
              <w:t>最高</w:t>
            </w:r>
            <w:r>
              <w:rPr>
                <w:rFonts w:hint="eastAsia" w:hAnsi="仿宋_GB2312" w:cs="仿宋_GB2312"/>
                <w:kern w:val="0"/>
                <w:sz w:val="22"/>
                <w:szCs w:val="22"/>
                <w:highlight w:val="none"/>
                <w:lang w:eastAsia="zh-CN"/>
              </w:rPr>
              <w:t>得</w:t>
            </w:r>
            <w:r>
              <w:rPr>
                <w:rFonts w:hint="eastAsia" w:hAnsi="仿宋_GB2312" w:cs="仿宋_GB2312"/>
                <w:kern w:val="0"/>
                <w:sz w:val="22"/>
                <w:szCs w:val="22"/>
                <w:highlight w:val="none"/>
              </w:rPr>
              <w:t>6分；</w:t>
            </w:r>
          </w:p>
          <w:p>
            <w:pPr>
              <w:shd w:val="clear"/>
              <w:spacing w:line="300" w:lineRule="exact"/>
              <w:ind w:firstLine="0" w:firstLineChars="0"/>
              <w:jc w:val="left"/>
              <w:rPr>
                <w:rFonts w:hint="eastAsia" w:ascii="仿宋_GB2312" w:hAnsi="仿宋_GB2312" w:cs="仿宋_GB2312"/>
                <w:kern w:val="0"/>
                <w:sz w:val="22"/>
                <w:szCs w:val="22"/>
                <w:highlight w:val="none"/>
                <w:lang w:eastAsia="zh-CN"/>
              </w:rPr>
            </w:pPr>
            <w:r>
              <w:rPr>
                <w:rFonts w:hint="eastAsia" w:ascii="仿宋_GB2312" w:hAnsi="仿宋_GB2312" w:cs="仿宋_GB2312"/>
                <w:kern w:val="0"/>
                <w:sz w:val="22"/>
                <w:szCs w:val="22"/>
                <w:highlight w:val="none"/>
                <w:lang w:eastAsia="zh-CN"/>
              </w:rPr>
              <w:t>（</w:t>
            </w:r>
            <w:r>
              <w:rPr>
                <w:rFonts w:hint="eastAsia" w:ascii="仿宋_GB2312" w:hAnsi="仿宋_GB2312" w:cs="仿宋_GB2312"/>
                <w:kern w:val="0"/>
                <w:sz w:val="22"/>
                <w:szCs w:val="22"/>
                <w:highlight w:val="none"/>
                <w:lang w:val="en-US" w:eastAsia="zh-CN"/>
              </w:rPr>
              <w:t>2</w:t>
            </w:r>
            <w:r>
              <w:rPr>
                <w:rFonts w:hint="eastAsia" w:ascii="仿宋_GB2312" w:hAnsi="仿宋_GB2312" w:cs="仿宋_GB2312"/>
                <w:kern w:val="0"/>
                <w:sz w:val="22"/>
                <w:szCs w:val="22"/>
                <w:highlight w:val="none"/>
                <w:lang w:eastAsia="zh-CN"/>
              </w:rPr>
              <w:t>）</w:t>
            </w:r>
            <w:r>
              <w:rPr>
                <w:rFonts w:hint="eastAsia" w:ascii="仿宋_GB2312" w:hAnsi="仿宋_GB2312" w:cs="仿宋_GB2312"/>
                <w:kern w:val="0"/>
                <w:sz w:val="22"/>
                <w:szCs w:val="22"/>
                <w:highlight w:val="none"/>
              </w:rPr>
              <w:t>项目团队</w:t>
            </w:r>
            <w:r>
              <w:rPr>
                <w:rFonts w:hint="eastAsia" w:hAnsi="仿宋_GB2312" w:cs="仿宋_GB2312"/>
                <w:kern w:val="0"/>
                <w:sz w:val="22"/>
                <w:szCs w:val="22"/>
                <w:highlight w:val="none"/>
                <w:lang w:eastAsia="zh-CN"/>
              </w:rPr>
              <w:t>成员</w:t>
            </w:r>
            <w:r>
              <w:rPr>
                <w:rFonts w:hint="eastAsia" w:ascii="仿宋_GB2312" w:hAnsi="仿宋_GB2312" w:cs="仿宋_GB2312"/>
                <w:kern w:val="0"/>
                <w:sz w:val="22"/>
                <w:szCs w:val="22"/>
                <w:highlight w:val="none"/>
              </w:rPr>
              <w:t>中</w:t>
            </w:r>
            <w:r>
              <w:rPr>
                <w:rFonts w:hint="eastAsia" w:ascii="仿宋_GB2312" w:hAnsi="仿宋_GB2312" w:cs="仿宋_GB2312"/>
                <w:kern w:val="0"/>
                <w:sz w:val="22"/>
                <w:szCs w:val="22"/>
                <w:highlight w:val="none"/>
                <w:lang w:val="en-US" w:eastAsia="zh-CN"/>
              </w:rPr>
              <w:t>具</w:t>
            </w:r>
            <w:r>
              <w:rPr>
                <w:rFonts w:hint="eastAsia" w:ascii="仿宋_GB2312" w:hAnsi="仿宋_GB2312" w:cs="仿宋_GB2312"/>
                <w:kern w:val="0"/>
                <w:sz w:val="22"/>
                <w:szCs w:val="22"/>
                <w:highlight w:val="none"/>
              </w:rPr>
              <w:t>有硕士学位</w:t>
            </w:r>
            <w:r>
              <w:rPr>
                <w:rFonts w:hint="eastAsia" w:hAnsi="仿宋_GB2312" w:cs="仿宋_GB2312"/>
                <w:kern w:val="0"/>
                <w:sz w:val="22"/>
                <w:szCs w:val="22"/>
                <w:highlight w:val="none"/>
                <w:lang w:eastAsia="zh-CN"/>
              </w:rPr>
              <w:t>或</w:t>
            </w:r>
            <w:r>
              <w:rPr>
                <w:rFonts w:hint="eastAsia" w:ascii="仿宋_GB2312" w:hAnsi="仿宋_GB2312" w:cs="仿宋_GB2312"/>
                <w:kern w:val="0"/>
                <w:sz w:val="22"/>
                <w:szCs w:val="22"/>
                <w:highlight w:val="none"/>
              </w:rPr>
              <w:t>中级职称</w:t>
            </w:r>
            <w:r>
              <w:rPr>
                <w:rFonts w:hint="eastAsia" w:ascii="仿宋_GB2312" w:hAnsi="仿宋_GB2312" w:cs="仿宋_GB2312"/>
                <w:kern w:val="0"/>
                <w:sz w:val="22"/>
                <w:szCs w:val="22"/>
                <w:highlight w:val="none"/>
                <w:lang w:val="en-US" w:eastAsia="zh-CN"/>
              </w:rPr>
              <w:t>的，每提供1位得</w:t>
            </w:r>
            <w:r>
              <w:rPr>
                <w:rFonts w:hint="eastAsia" w:hAnsi="仿宋_GB2312" w:cs="仿宋_GB2312"/>
                <w:kern w:val="0"/>
                <w:sz w:val="22"/>
                <w:szCs w:val="22"/>
                <w:highlight w:val="none"/>
                <w:lang w:val="en-US" w:eastAsia="zh-CN"/>
              </w:rPr>
              <w:t>0.5</w:t>
            </w:r>
            <w:r>
              <w:rPr>
                <w:rFonts w:hint="eastAsia" w:ascii="仿宋_GB2312" w:hAnsi="仿宋_GB2312" w:cs="仿宋_GB2312"/>
                <w:kern w:val="0"/>
                <w:sz w:val="22"/>
                <w:szCs w:val="22"/>
                <w:highlight w:val="none"/>
                <w:lang w:val="en-US" w:eastAsia="zh-CN"/>
              </w:rPr>
              <w:t>分，最高得</w:t>
            </w:r>
            <w:r>
              <w:rPr>
                <w:rFonts w:hint="eastAsia" w:hAnsi="仿宋_GB2312" w:cs="仿宋_GB2312"/>
                <w:kern w:val="0"/>
                <w:sz w:val="22"/>
                <w:szCs w:val="22"/>
                <w:highlight w:val="none"/>
                <w:lang w:val="en-US" w:eastAsia="zh-CN"/>
              </w:rPr>
              <w:t>6</w:t>
            </w:r>
            <w:r>
              <w:rPr>
                <w:rFonts w:hint="eastAsia" w:ascii="仿宋_GB2312" w:hAnsi="仿宋_GB2312" w:cs="仿宋_GB2312"/>
                <w:kern w:val="0"/>
                <w:sz w:val="22"/>
                <w:szCs w:val="22"/>
                <w:highlight w:val="none"/>
                <w:lang w:val="en-US" w:eastAsia="zh-CN"/>
              </w:rPr>
              <w:t>分</w:t>
            </w:r>
            <w:r>
              <w:rPr>
                <w:rFonts w:hint="eastAsia" w:ascii="仿宋_GB2312" w:hAnsi="仿宋_GB2312" w:cs="仿宋_GB2312"/>
                <w:kern w:val="0"/>
                <w:sz w:val="22"/>
                <w:szCs w:val="22"/>
                <w:highlight w:val="none"/>
                <w:lang w:eastAsia="zh-CN"/>
              </w:rPr>
              <w:t>。</w:t>
            </w:r>
          </w:p>
          <w:p>
            <w:pPr>
              <w:shd w:val="clear"/>
              <w:spacing w:line="300" w:lineRule="exact"/>
              <w:ind w:firstLine="0" w:firstLineChars="0"/>
              <w:rPr>
                <w:rFonts w:hint="eastAsia" w:ascii="仿宋_GB2312" w:hAnsi="仿宋_GB2312" w:eastAsia="仿宋_GB2312" w:cs="仿宋_GB2312"/>
                <w:kern w:val="0"/>
                <w:sz w:val="22"/>
                <w:szCs w:val="22"/>
                <w:highlight w:val="none"/>
                <w:lang w:eastAsia="zh-CN"/>
              </w:rPr>
            </w:pPr>
            <w:r>
              <w:rPr>
                <w:rFonts w:hint="eastAsia" w:ascii="仿宋_GB2312" w:hAnsi="仿宋_GB2312" w:cs="仿宋_GB2312"/>
                <w:kern w:val="0"/>
                <w:sz w:val="22"/>
                <w:szCs w:val="22"/>
                <w:highlight w:val="none"/>
                <w:lang w:eastAsia="zh-CN"/>
              </w:rPr>
              <w:t>（</w:t>
            </w:r>
            <w:r>
              <w:rPr>
                <w:rFonts w:hint="eastAsia" w:hAnsi="仿宋_GB2312" w:cs="仿宋_GB2312"/>
                <w:kern w:val="0"/>
                <w:sz w:val="22"/>
                <w:szCs w:val="22"/>
                <w:highlight w:val="none"/>
                <w:lang w:val="en-US" w:eastAsia="zh-CN"/>
              </w:rPr>
              <w:t>3</w:t>
            </w:r>
            <w:r>
              <w:rPr>
                <w:rFonts w:hint="eastAsia" w:ascii="仿宋_GB2312" w:hAnsi="仿宋_GB2312" w:cs="仿宋_GB2312"/>
                <w:kern w:val="0"/>
                <w:sz w:val="22"/>
                <w:szCs w:val="22"/>
                <w:highlight w:val="none"/>
                <w:lang w:eastAsia="zh-CN"/>
              </w:rPr>
              <w:t>）</w:t>
            </w:r>
            <w:r>
              <w:rPr>
                <w:rFonts w:hint="eastAsia" w:hAnsi="仿宋_GB2312" w:cs="仿宋_GB2312"/>
                <w:sz w:val="22"/>
                <w:szCs w:val="22"/>
                <w:highlight w:val="none"/>
              </w:rPr>
              <w:t>同</w:t>
            </w:r>
            <w:r>
              <w:rPr>
                <w:rFonts w:hint="eastAsia" w:hAnsi="仿宋_GB2312" w:cs="仿宋_GB2312"/>
                <w:sz w:val="22"/>
                <w:szCs w:val="22"/>
                <w:highlight w:val="none"/>
                <w:lang w:val="en-US" w:eastAsia="zh-CN"/>
              </w:rPr>
              <w:t>1人具备多学位或职称的，以最高等级学位或职称计分，</w:t>
            </w:r>
            <w:r>
              <w:rPr>
                <w:rFonts w:hint="eastAsia" w:hAnsi="仿宋_GB2312" w:cs="仿宋_GB2312"/>
                <w:sz w:val="22"/>
                <w:szCs w:val="22"/>
                <w:highlight w:val="none"/>
              </w:rPr>
              <w:t>不</w:t>
            </w:r>
            <w:r>
              <w:rPr>
                <w:rFonts w:hint="eastAsia" w:hAnsi="仿宋_GB2312" w:cs="仿宋_GB2312"/>
                <w:sz w:val="22"/>
                <w:szCs w:val="22"/>
                <w:highlight w:val="none"/>
                <w:lang w:val="en-US" w:eastAsia="zh-CN"/>
              </w:rPr>
              <w:t>得</w:t>
            </w:r>
            <w:r>
              <w:rPr>
                <w:rFonts w:hint="eastAsia" w:hAnsi="仿宋_GB2312" w:cs="仿宋_GB2312"/>
                <w:sz w:val="22"/>
                <w:szCs w:val="22"/>
                <w:highlight w:val="none"/>
              </w:rPr>
              <w:t>重复计分</w:t>
            </w:r>
            <w:r>
              <w:rPr>
                <w:rFonts w:hint="eastAsia" w:hAnsi="仿宋_GB2312" w:cs="仿宋_GB2312"/>
                <w:sz w:val="22"/>
                <w:szCs w:val="22"/>
                <w:highlight w:val="none"/>
                <w:lang w:eastAsia="zh-CN"/>
              </w:rPr>
              <w:t>。</w:t>
            </w:r>
            <w:r>
              <w:rPr>
                <w:rFonts w:hint="eastAsia" w:ascii="仿宋_GB2312" w:hAnsi="仿宋_GB2312" w:cs="仿宋_GB2312"/>
                <w:kern w:val="0"/>
                <w:sz w:val="22"/>
                <w:szCs w:val="22"/>
                <w:highlight w:val="none"/>
                <w:lang w:val="en-US" w:eastAsia="zh-CN"/>
              </w:rPr>
              <w:t>累计(1)(2)，本项最高得12分。</w:t>
            </w:r>
          </w:p>
          <w:p>
            <w:pPr>
              <w:shd w:val="clear"/>
              <w:spacing w:line="300" w:lineRule="exact"/>
              <w:ind w:firstLine="0" w:firstLineChars="0"/>
              <w:jc w:val="left"/>
              <w:rPr>
                <w:rFonts w:hint="eastAsia" w:ascii="仿宋_GB2312" w:hAnsi="仿宋_GB2312" w:cs="仿宋_GB2312"/>
                <w:b/>
                <w:kern w:val="0"/>
                <w:sz w:val="22"/>
                <w:szCs w:val="22"/>
                <w:highlight w:val="none"/>
              </w:rPr>
            </w:pPr>
            <w:r>
              <w:rPr>
                <w:rFonts w:hint="eastAsia" w:ascii="仿宋_GB2312" w:hAnsi="仿宋_GB2312" w:cs="仿宋_GB2312"/>
                <w:b/>
                <w:kern w:val="0"/>
                <w:sz w:val="22"/>
                <w:szCs w:val="22"/>
                <w:highlight w:val="none"/>
              </w:rPr>
              <w:t>2.评分依据：</w:t>
            </w:r>
          </w:p>
          <w:p>
            <w:pPr>
              <w:shd w:val="clear"/>
              <w:spacing w:line="300" w:lineRule="exact"/>
              <w:ind w:left="-96" w:leftChars="-30" w:right="-134" w:rightChars="-42" w:firstLine="0" w:firstLineChars="0"/>
              <w:jc w:val="left"/>
              <w:rPr>
                <w:rFonts w:hint="eastAsia" w:ascii="仿宋_GB2312" w:hAnsi="仿宋_GB2312" w:cs="仿宋_GB2312"/>
                <w:kern w:val="0"/>
                <w:sz w:val="22"/>
                <w:szCs w:val="22"/>
                <w:highlight w:val="none"/>
              </w:rPr>
            </w:pPr>
            <w:r>
              <w:rPr>
                <w:rFonts w:hint="eastAsia" w:ascii="仿宋_GB2312" w:hAnsi="仿宋_GB2312" w:cs="仿宋_GB2312"/>
                <w:kern w:val="0"/>
                <w:sz w:val="22"/>
                <w:szCs w:val="22"/>
                <w:highlight w:val="none"/>
              </w:rPr>
              <w:t>（1）</w:t>
            </w:r>
            <w:r>
              <w:rPr>
                <w:rFonts w:hint="eastAsia" w:hAnsi="仿宋_GB2312" w:cs="仿宋_GB2312"/>
                <w:kern w:val="0"/>
                <w:sz w:val="22"/>
                <w:szCs w:val="22"/>
                <w:highlight w:val="none"/>
                <w:lang w:eastAsia="zh-CN"/>
              </w:rPr>
              <w:t>项目</w:t>
            </w:r>
            <w:r>
              <w:rPr>
                <w:rFonts w:hint="eastAsia" w:ascii="仿宋_GB2312" w:hAnsi="仿宋_GB2312" w:cs="仿宋_GB2312"/>
                <w:kern w:val="0"/>
                <w:sz w:val="22"/>
                <w:szCs w:val="22"/>
                <w:highlight w:val="none"/>
                <w:lang w:val="en-US" w:eastAsia="zh-CN"/>
              </w:rPr>
              <w:t>团队</w:t>
            </w:r>
            <w:r>
              <w:rPr>
                <w:rFonts w:hint="eastAsia" w:hAnsi="仿宋_GB2312" w:cs="仿宋_GB2312"/>
                <w:kern w:val="0"/>
                <w:sz w:val="22"/>
                <w:szCs w:val="22"/>
                <w:highlight w:val="none"/>
                <w:lang w:val="en-US" w:eastAsia="zh-CN"/>
              </w:rPr>
              <w:t>成员</w:t>
            </w:r>
            <w:r>
              <w:rPr>
                <w:rFonts w:hint="eastAsia" w:ascii="仿宋_GB2312" w:hAnsi="仿宋_GB2312" w:cs="仿宋_GB2312"/>
                <w:kern w:val="0"/>
                <w:sz w:val="22"/>
                <w:szCs w:val="22"/>
                <w:highlight w:val="none"/>
              </w:rPr>
              <w:t>学位</w:t>
            </w:r>
            <w:r>
              <w:rPr>
                <w:rFonts w:hint="eastAsia" w:hAnsi="仿宋_GB2312" w:cs="仿宋_GB2312"/>
                <w:kern w:val="0"/>
                <w:sz w:val="22"/>
                <w:szCs w:val="22"/>
                <w:highlight w:val="none"/>
                <w:lang w:eastAsia="zh-CN"/>
              </w:rPr>
              <w:t>、</w:t>
            </w:r>
            <w:r>
              <w:rPr>
                <w:rFonts w:hint="eastAsia" w:ascii="仿宋_GB2312" w:hAnsi="仿宋_GB2312" w:cs="仿宋_GB2312"/>
                <w:kern w:val="0"/>
                <w:sz w:val="22"/>
                <w:szCs w:val="22"/>
                <w:highlight w:val="none"/>
              </w:rPr>
              <w:t>职称证书扫描件。</w:t>
            </w:r>
          </w:p>
          <w:p>
            <w:pPr>
              <w:shd w:val="clear"/>
              <w:spacing w:line="300" w:lineRule="exact"/>
              <w:ind w:left="-96" w:leftChars="-30" w:right="-134" w:rightChars="-42" w:firstLine="0" w:firstLineChars="0"/>
              <w:jc w:val="left"/>
              <w:rPr>
                <w:rFonts w:hint="eastAsia" w:ascii="仿宋_GB2312" w:hAnsi="仿宋_GB2312" w:eastAsia="仿宋_GB2312" w:cs="仿宋_GB2312"/>
                <w:kern w:val="0"/>
                <w:sz w:val="22"/>
                <w:szCs w:val="22"/>
                <w:highlight w:val="none"/>
                <w:lang w:val="en-US" w:eastAsia="zh-CN" w:bidi="ar-SA"/>
              </w:rPr>
            </w:pPr>
            <w:r>
              <w:rPr>
                <w:rFonts w:hint="eastAsia" w:ascii="仿宋_GB2312" w:hAnsi="仿宋_GB2312" w:cs="仿宋_GB2312"/>
                <w:kern w:val="0"/>
                <w:sz w:val="22"/>
                <w:szCs w:val="22"/>
                <w:highlight w:val="none"/>
              </w:rPr>
              <w:t>（2）通过投标人购买的</w:t>
            </w:r>
            <w:r>
              <w:rPr>
                <w:rFonts w:hint="eastAsia" w:hAnsi="仿宋_GB2312" w:cs="仿宋_GB2312"/>
                <w:kern w:val="0"/>
                <w:sz w:val="22"/>
                <w:szCs w:val="22"/>
                <w:highlight w:val="none"/>
                <w:lang w:eastAsia="zh-CN"/>
              </w:rPr>
              <w:t>项目</w:t>
            </w:r>
            <w:r>
              <w:rPr>
                <w:rFonts w:hint="eastAsia" w:ascii="仿宋_GB2312" w:hAnsi="仿宋_GB2312" w:cs="仿宋_GB2312"/>
                <w:kern w:val="0"/>
                <w:sz w:val="22"/>
                <w:szCs w:val="22"/>
                <w:highlight w:val="none"/>
                <w:lang w:val="en-US" w:eastAsia="zh-CN"/>
              </w:rPr>
              <w:t>团队</w:t>
            </w:r>
            <w:r>
              <w:rPr>
                <w:rFonts w:hint="eastAsia" w:hAnsi="仿宋_GB2312" w:cs="仿宋_GB2312"/>
                <w:kern w:val="0"/>
                <w:sz w:val="22"/>
                <w:szCs w:val="22"/>
                <w:highlight w:val="none"/>
                <w:lang w:val="en-US" w:eastAsia="zh-CN"/>
              </w:rPr>
              <w:t>成员</w:t>
            </w:r>
            <w:r>
              <w:rPr>
                <w:rFonts w:hint="eastAsia" w:ascii="仿宋_GB2312" w:hAnsi="仿宋_GB2312" w:cs="仿宋_GB2312"/>
                <w:kern w:val="0"/>
                <w:sz w:val="22"/>
                <w:szCs w:val="22"/>
                <w:highlight w:val="none"/>
              </w:rPr>
              <w:t>近三个月社保证明材料。</w:t>
            </w:r>
          </w:p>
        </w:tc>
        <w:tc>
          <w:tcPr>
            <w:tcW w:w="541" w:type="dxa"/>
            <w:tcBorders>
              <w:right w:val="single" w:color="auto" w:sz="4" w:space="0"/>
            </w:tcBorders>
            <w:noWrap w:val="0"/>
            <w:vAlign w:val="center"/>
          </w:tcPr>
          <w:p>
            <w:pPr>
              <w:shd w:val="clear"/>
              <w:ind w:firstLine="0" w:firstLineChars="0"/>
              <w:jc w:val="center"/>
              <w:rPr>
                <w:rFonts w:hint="eastAsia" w:ascii="仿宋_GB2312" w:hAnsi="仿宋_GB2312" w:eastAsia="仿宋_GB2312" w:cs="仿宋_GB2312"/>
                <w:kern w:val="2"/>
                <w:sz w:val="22"/>
                <w:szCs w:val="24"/>
                <w:highlight w:val="none"/>
                <w:lang w:val="en-US" w:eastAsia="zh-CN" w:bidi="ar-SA"/>
              </w:rPr>
            </w:pPr>
            <w:r>
              <w:rPr>
                <w:rFonts w:hint="eastAsia" w:ascii="仿宋_GB2312" w:hAnsi="仿宋_GB2312" w:cs="仿宋_GB2312"/>
                <w:sz w:val="22"/>
                <w:szCs w:val="24"/>
                <w:highlight w:val="none"/>
                <w:lang w:eastAsia="zh-CN"/>
              </w:rPr>
              <w:t>1</w:t>
            </w:r>
            <w:r>
              <w:rPr>
                <w:rFonts w:hint="eastAsia" w:ascii="仿宋_GB2312" w:hAnsi="仿宋_GB2312" w:cs="仿宋_GB2312"/>
                <w:sz w:val="22"/>
                <w:szCs w:val="24"/>
                <w:highlight w:val="none"/>
                <w:lang w:val="en-US" w:eastAsia="zh-CN"/>
              </w:rPr>
              <w:t>2</w:t>
            </w:r>
          </w:p>
        </w:tc>
        <w:tc>
          <w:tcPr>
            <w:tcW w:w="652" w:type="dxa"/>
            <w:tcBorders>
              <w:left w:val="single" w:color="auto" w:sz="4" w:space="0"/>
            </w:tcBorders>
            <w:noWrap w:val="0"/>
            <w:vAlign w:val="center"/>
          </w:tcPr>
          <w:p>
            <w:pPr>
              <w:shd w:val="clear"/>
              <w:ind w:firstLine="0" w:firstLineChars="0"/>
              <w:jc w:val="center"/>
              <w:rPr>
                <w:rFonts w:hint="eastAsia" w:ascii="仿宋_GB2312" w:hAnsi="仿宋_GB2312" w:eastAsia="仿宋_GB2312" w:cs="仿宋_GB2312"/>
                <w:kern w:val="2"/>
                <w:sz w:val="22"/>
                <w:szCs w:val="24"/>
                <w:highlight w:val="none"/>
                <w:lang w:val="en-US" w:eastAsia="zh-CN" w:bidi="ar-SA"/>
              </w:rPr>
            </w:pPr>
            <w:r>
              <w:rPr>
                <w:rFonts w:hint="eastAsia" w:ascii="仿宋_GB2312" w:hAnsi="仿宋_GB2312" w:cs="仿宋_GB2312"/>
                <w:sz w:val="22"/>
                <w:szCs w:val="24"/>
                <w:highlight w:val="none"/>
                <w:lang w:eastAsia="zh-CN"/>
              </w:rPr>
              <w:t>1</w:t>
            </w:r>
            <w:r>
              <w:rPr>
                <w:rFonts w:hint="eastAsia" w:ascii="仿宋_GB2312" w:hAnsi="仿宋_GB2312" w:cs="仿宋_GB2312"/>
                <w:sz w:val="22"/>
                <w:szCs w:val="24"/>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9061" w:type="dxa"/>
            <w:gridSpan w:val="4"/>
            <w:noWrap w:val="0"/>
            <w:vAlign w:val="center"/>
          </w:tcPr>
          <w:p>
            <w:pPr>
              <w:shd w:val="clear"/>
              <w:ind w:firstLine="0" w:firstLineChars="0"/>
              <w:jc w:val="center"/>
              <w:rPr>
                <w:rFonts w:hint="eastAsia" w:ascii="仿宋_GB2312" w:hAnsi="仿宋_GB2312" w:cs="仿宋_GB2312"/>
                <w:sz w:val="22"/>
                <w:szCs w:val="24"/>
                <w:highlight w:val="none"/>
                <w:lang w:eastAsia="zh-CN"/>
              </w:rPr>
            </w:pPr>
            <w:r>
              <w:rPr>
                <w:rFonts w:hint="eastAsia" w:ascii="仿宋_GB2312" w:hAnsi="仿宋_GB2312" w:cs="仿宋_GB2312"/>
                <w:b/>
                <w:sz w:val="22"/>
                <w:szCs w:val="24"/>
                <w:highlight w:val="none"/>
                <w:lang w:eastAsia="zh-CN"/>
              </w:rPr>
              <w:t>三、</w:t>
            </w:r>
            <w:r>
              <w:rPr>
                <w:rFonts w:hint="eastAsia" w:ascii="仿宋_GB2312" w:hAnsi="仿宋_GB2312" w:cs="仿宋_GB2312"/>
                <w:b/>
                <w:sz w:val="22"/>
                <w:szCs w:val="24"/>
                <w:highlight w:val="none"/>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2227" w:type="dxa"/>
            <w:noWrap w:val="0"/>
            <w:vAlign w:val="center"/>
          </w:tcPr>
          <w:p>
            <w:pPr>
              <w:shd w:val="clear"/>
              <w:spacing w:line="300" w:lineRule="exact"/>
              <w:ind w:firstLine="0" w:firstLineChars="0"/>
              <w:jc w:val="center"/>
              <w:rPr>
                <w:rFonts w:hint="eastAsia" w:ascii="仿宋_GB2312" w:hAnsi="仿宋_GB2312" w:eastAsia="仿宋_GB2312" w:cs="仿宋_GB2312"/>
                <w:kern w:val="2"/>
                <w:sz w:val="22"/>
                <w:szCs w:val="24"/>
                <w:highlight w:val="none"/>
                <w:lang w:val="en-US" w:eastAsia="zh-CN" w:bidi="ar-SA"/>
              </w:rPr>
            </w:pPr>
            <w:r>
              <w:rPr>
                <w:rFonts w:hint="eastAsia" w:ascii="仿宋_GB2312" w:hAnsi="仿宋_GB2312" w:cs="仿宋_GB2312"/>
                <w:sz w:val="22"/>
                <w:szCs w:val="24"/>
                <w:highlight w:val="none"/>
              </w:rPr>
              <w:t>投标报价</w:t>
            </w:r>
          </w:p>
        </w:tc>
        <w:tc>
          <w:tcPr>
            <w:tcW w:w="5641" w:type="dxa"/>
            <w:noWrap w:val="0"/>
            <w:vAlign w:val="center"/>
          </w:tcPr>
          <w:p>
            <w:pPr>
              <w:shd w:val="clear"/>
              <w:autoSpaceDE/>
              <w:autoSpaceDN/>
              <w:adjustRightInd w:val="0"/>
              <w:snapToGrid w:val="0"/>
              <w:spacing w:line="300" w:lineRule="exact"/>
              <w:ind w:firstLine="0" w:firstLineChars="0"/>
              <w:rPr>
                <w:rFonts w:hint="eastAsia" w:ascii="仿宋_GB2312" w:hAnsi="仿宋_GB2312" w:cs="仿宋_GB2312"/>
                <w:kern w:val="0"/>
                <w:sz w:val="22"/>
                <w:szCs w:val="24"/>
                <w:highlight w:val="none"/>
              </w:rPr>
            </w:pPr>
            <w:r>
              <w:rPr>
                <w:rFonts w:hint="eastAsia" w:ascii="仿宋_GB2312" w:hAnsi="仿宋_GB2312" w:cs="仿宋_GB2312"/>
                <w:kern w:val="0"/>
                <w:sz w:val="22"/>
                <w:szCs w:val="24"/>
                <w:highlight w:val="none"/>
              </w:rPr>
              <w:t>价格分应当采用低价优先法计算，即满足招标文件要求且投标价格最低的投标报价为评标基准价，其价格分为满分。其他投标人的价格分统一按照下列公式计算：</w:t>
            </w:r>
          </w:p>
          <w:p>
            <w:pPr>
              <w:shd w:val="clear"/>
              <w:spacing w:line="300" w:lineRule="exact"/>
              <w:ind w:firstLine="0" w:firstLineChars="0"/>
              <w:jc w:val="left"/>
              <w:rPr>
                <w:rFonts w:hint="eastAsia" w:ascii="仿宋_GB2312" w:hAnsi="仿宋_GB2312" w:eastAsia="仿宋_GB2312" w:cs="仿宋_GB2312"/>
                <w:kern w:val="0"/>
                <w:sz w:val="22"/>
                <w:szCs w:val="24"/>
                <w:highlight w:val="none"/>
                <w:lang w:eastAsia="zh-CN"/>
              </w:rPr>
            </w:pPr>
            <w:r>
              <w:rPr>
                <w:rFonts w:hint="eastAsia" w:ascii="仿宋_GB2312" w:hAnsi="仿宋_GB2312" w:cs="仿宋_GB2312"/>
                <w:kern w:val="0"/>
                <w:sz w:val="22"/>
                <w:szCs w:val="24"/>
                <w:highlight w:val="none"/>
              </w:rPr>
              <w:t>投标报价得分=(评标基准价／投标报价)×10</w:t>
            </w:r>
            <w:r>
              <w:rPr>
                <w:rFonts w:hint="eastAsia" w:hAnsi="仿宋_GB2312" w:cs="仿宋_GB2312"/>
                <w:kern w:val="0"/>
                <w:sz w:val="22"/>
                <w:szCs w:val="24"/>
                <w:highlight w:val="none"/>
                <w:lang w:eastAsia="zh-CN"/>
              </w:rPr>
              <w:t>分</w:t>
            </w:r>
          </w:p>
          <w:p>
            <w:pPr>
              <w:shd w:val="clear"/>
              <w:spacing w:line="300" w:lineRule="exact"/>
              <w:ind w:firstLine="0" w:firstLineChars="0"/>
              <w:jc w:val="left"/>
              <w:rPr>
                <w:rFonts w:hint="eastAsia" w:ascii="仿宋_GB2312" w:hAnsi="仿宋_GB2312" w:cs="仿宋_GB2312"/>
                <w:bCs/>
                <w:sz w:val="22"/>
                <w:szCs w:val="24"/>
                <w:highlight w:val="none"/>
              </w:rPr>
            </w:pPr>
            <w:r>
              <w:rPr>
                <w:rFonts w:hint="eastAsia" w:ascii="仿宋_GB2312" w:hAnsi="仿宋_GB2312" w:cs="仿宋_GB2312"/>
                <w:bCs/>
                <w:sz w:val="22"/>
                <w:szCs w:val="24"/>
                <w:highlight w:val="none"/>
              </w:rPr>
              <w:t>备注：</w:t>
            </w:r>
          </w:p>
          <w:p>
            <w:pPr>
              <w:shd w:val="clear"/>
              <w:spacing w:line="300" w:lineRule="exact"/>
              <w:ind w:firstLine="0" w:firstLineChars="0"/>
              <w:rPr>
                <w:rFonts w:hint="eastAsia" w:ascii="仿宋_GB2312" w:hAnsi="仿宋_GB2312" w:eastAsia="仿宋_GB2312" w:cs="仿宋_GB2312"/>
                <w:b/>
                <w:bCs/>
                <w:kern w:val="2"/>
                <w:sz w:val="22"/>
                <w:szCs w:val="24"/>
                <w:highlight w:val="none"/>
                <w:u w:val="double"/>
                <w:lang w:val="en-US" w:eastAsia="zh-CN" w:bidi="ar-SA"/>
              </w:rPr>
            </w:pPr>
            <w:r>
              <w:rPr>
                <w:rFonts w:hint="eastAsia" w:ascii="仿宋_GB2312" w:hAnsi="仿宋_GB2312" w:cs="仿宋_GB2312"/>
                <w:bCs/>
                <w:sz w:val="22"/>
                <w:szCs w:val="24"/>
                <w:highlight w:val="none"/>
              </w:rPr>
              <w:t>投标报价得分四舍五入后，</w:t>
            </w:r>
            <w:r>
              <w:rPr>
                <w:rFonts w:hint="eastAsia" w:ascii="仿宋_GB2312" w:hAnsi="仿宋_GB2312" w:cs="仿宋_GB2312"/>
                <w:sz w:val="22"/>
                <w:szCs w:val="24"/>
                <w:highlight w:val="none"/>
              </w:rPr>
              <w:t>小数点后保留两位有效数</w:t>
            </w:r>
            <w:r>
              <w:rPr>
                <w:rFonts w:hint="eastAsia" w:ascii="仿宋_GB2312" w:hAnsi="仿宋_GB2312" w:cs="仿宋_GB2312"/>
                <w:bCs/>
                <w:sz w:val="22"/>
                <w:szCs w:val="24"/>
                <w:highlight w:val="none"/>
              </w:rPr>
              <w:t>。</w:t>
            </w:r>
          </w:p>
        </w:tc>
        <w:tc>
          <w:tcPr>
            <w:tcW w:w="541" w:type="dxa"/>
            <w:tcBorders>
              <w:right w:val="single" w:color="auto" w:sz="4" w:space="0"/>
            </w:tcBorders>
            <w:noWrap w:val="0"/>
            <w:vAlign w:val="center"/>
          </w:tcPr>
          <w:p>
            <w:pPr>
              <w:shd w:val="clear"/>
              <w:ind w:left="-118" w:leftChars="-37" w:right="-112" w:rightChars="-35" w:firstLine="0" w:firstLineChars="0"/>
              <w:jc w:val="center"/>
              <w:rPr>
                <w:rFonts w:hint="eastAsia" w:ascii="仿宋_GB2312" w:hAnsi="仿宋_GB2312" w:eastAsia="仿宋_GB2312" w:cs="仿宋_GB2312"/>
                <w:kern w:val="2"/>
                <w:sz w:val="22"/>
                <w:szCs w:val="24"/>
                <w:highlight w:val="none"/>
                <w:lang w:val="en-US" w:eastAsia="zh-CN" w:bidi="ar-SA"/>
              </w:rPr>
            </w:pPr>
            <w:r>
              <w:rPr>
                <w:rFonts w:hint="eastAsia" w:ascii="仿宋_GB2312" w:hAnsi="仿宋_GB2312" w:cs="仿宋_GB2312"/>
                <w:sz w:val="22"/>
                <w:szCs w:val="24"/>
                <w:highlight w:val="none"/>
              </w:rPr>
              <w:t>10</w:t>
            </w:r>
          </w:p>
        </w:tc>
        <w:tc>
          <w:tcPr>
            <w:tcW w:w="652" w:type="dxa"/>
            <w:tcBorders>
              <w:left w:val="single" w:color="auto" w:sz="4" w:space="0"/>
            </w:tcBorders>
            <w:noWrap w:val="0"/>
            <w:vAlign w:val="center"/>
          </w:tcPr>
          <w:p>
            <w:pPr>
              <w:shd w:val="clear"/>
              <w:ind w:left="-118" w:leftChars="-37" w:right="-112" w:rightChars="-35" w:firstLine="0" w:firstLineChars="0"/>
              <w:jc w:val="center"/>
              <w:rPr>
                <w:rFonts w:hint="eastAsia" w:ascii="仿宋_GB2312" w:hAnsi="仿宋_GB2312" w:eastAsia="仿宋_GB2312" w:cs="仿宋_GB2312"/>
                <w:kern w:val="2"/>
                <w:sz w:val="22"/>
                <w:szCs w:val="24"/>
                <w:highlight w:val="none"/>
                <w:lang w:val="en-US" w:eastAsia="zh-CN" w:bidi="ar-SA"/>
              </w:rPr>
            </w:pPr>
            <w:r>
              <w:rPr>
                <w:rFonts w:hint="eastAsia" w:ascii="仿宋_GB2312" w:hAnsi="仿宋_GB2312" w:cs="仿宋_GB2312"/>
                <w:sz w:val="22"/>
                <w:szCs w:val="24"/>
                <w:highlight w:val="none"/>
              </w:rPr>
              <w:t>10</w:t>
            </w:r>
          </w:p>
        </w:tc>
      </w:tr>
    </w:tbl>
    <w:p>
      <w:pPr>
        <w:shd w:val="clear"/>
        <w:spacing w:line="3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备注：</w:t>
      </w:r>
      <w:r>
        <w:rPr>
          <w:rFonts w:hint="eastAsia" w:ascii="仿宋_GB2312" w:hAnsi="仿宋_GB2312" w:eastAsia="仿宋_GB2312" w:cs="仿宋_GB2312"/>
          <w:kern w:val="0"/>
          <w:sz w:val="24"/>
          <w:szCs w:val="24"/>
        </w:rPr>
        <w:t>评标信息内评分方法的说明：</w:t>
      </w:r>
    </w:p>
    <w:p>
      <w:pPr>
        <w:shd w:val="clea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（1）权重：按百分比进行设置。</w:t>
      </w:r>
    </w:p>
    <w:p>
      <w:pPr>
        <w:shd w:val="clea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（2）评分准则：按照评标系统设置要求，每项“评分准则”皆按百分制打分。</w:t>
      </w:r>
    </w:p>
    <w:p>
      <w:pPr>
        <w:shd w:val="clear"/>
        <w:spacing w:line="240" w:lineRule="auto"/>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page"/>
      </w:r>
    </w:p>
    <w:p>
      <w:pPr>
        <w:shd w:val="clear"/>
        <w:spacing w:line="700" w:lineRule="exact"/>
        <w:ind w:firstLine="0" w:firstLineChars="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shd w:val="clear"/>
        <w:adjustRightInd/>
        <w:snapToGrid/>
        <w:ind w:left="0" w:leftChars="0" w:firstLine="0" w:firstLineChars="0"/>
        <w:jc w:val="center"/>
        <w:rPr>
          <w:rFonts w:hint="eastAsia" w:ascii="方正小标宋简体" w:hAnsi="方正小标宋简体" w:eastAsia="方正小标宋简体" w:cs="方正小标宋简体"/>
          <w:b w:val="0"/>
          <w:bCs w:val="0"/>
          <w:sz w:val="44"/>
          <w:szCs w:val="44"/>
          <w:highlight w:val="none"/>
          <w:lang w:val="en"/>
        </w:rPr>
      </w:pPr>
      <w:r>
        <w:rPr>
          <w:rFonts w:hint="eastAsia" w:ascii="方正小标宋简体" w:hAnsi="方正小标宋简体" w:eastAsia="方正小标宋简体" w:cs="方正小标宋简体"/>
          <w:b w:val="0"/>
          <w:bCs w:val="0"/>
          <w:sz w:val="44"/>
          <w:szCs w:val="44"/>
          <w:highlight w:val="none"/>
          <w:lang w:val="en"/>
        </w:rPr>
        <w:t>投标及履约承诺函</w:t>
      </w:r>
    </w:p>
    <w:p>
      <w:pPr>
        <w:pStyle w:val="2"/>
        <w:shd w:val="clear"/>
        <w:rPr>
          <w:rFonts w:hint="eastAsia"/>
        </w:rPr>
      </w:pPr>
    </w:p>
    <w:p>
      <w:pPr>
        <w:shd w:val="clear"/>
        <w:spacing w:line="480" w:lineRule="exact"/>
        <w:ind w:firstLine="640"/>
        <w:rPr>
          <w:rFonts w:hint="eastAsia" w:hAnsi="宋体"/>
          <w:szCs w:val="22"/>
          <w:highlight w:val="none"/>
        </w:rPr>
      </w:pPr>
      <w:r>
        <w:rPr>
          <w:rFonts w:hint="eastAsia" w:hAnsi="宋体" w:cs="仿宋_GB2312"/>
          <w:szCs w:val="22"/>
          <w:highlight w:val="none"/>
        </w:rPr>
        <w:t>我单位承诺：</w:t>
      </w:r>
    </w:p>
    <w:p>
      <w:pPr>
        <w:shd w:val="clear"/>
        <w:spacing w:line="480" w:lineRule="exact"/>
        <w:ind w:firstLine="640"/>
        <w:rPr>
          <w:rFonts w:hint="eastAsia" w:hAnsi="宋体"/>
          <w:szCs w:val="22"/>
          <w:highlight w:val="none"/>
        </w:rPr>
      </w:pPr>
      <w:r>
        <w:rPr>
          <w:rFonts w:hint="eastAsia" w:hAnsi="宋体" w:cs="仿宋_GB2312"/>
          <w:szCs w:val="22"/>
          <w:highlight w:val="none"/>
        </w:rPr>
        <w:t>1.依法缴纳税收和社会保障资金。具备项目所必需的人员和专业技术能力。参加政府采购活动前在经营活动中没有重大违法记录。</w:t>
      </w:r>
    </w:p>
    <w:p>
      <w:pPr>
        <w:shd w:val="clear"/>
        <w:spacing w:line="480" w:lineRule="exact"/>
        <w:ind w:firstLine="640"/>
        <w:rPr>
          <w:rFonts w:hint="eastAsia" w:hAnsi="宋体"/>
          <w:szCs w:val="22"/>
          <w:highlight w:val="none"/>
        </w:rPr>
      </w:pPr>
      <w:r>
        <w:rPr>
          <w:rFonts w:hint="eastAsia" w:hAnsi="宋体" w:cs="仿宋_GB2312"/>
          <w:szCs w:val="22"/>
          <w:highlight w:val="none"/>
        </w:rPr>
        <w:t>2.对本招标项目所提供的服务未侵犯知识产权。</w:t>
      </w:r>
    </w:p>
    <w:p>
      <w:pPr>
        <w:shd w:val="clear"/>
        <w:spacing w:line="480" w:lineRule="exact"/>
        <w:ind w:firstLine="640"/>
        <w:rPr>
          <w:rFonts w:hint="eastAsia" w:hAnsi="宋体"/>
          <w:szCs w:val="22"/>
          <w:highlight w:val="none"/>
        </w:rPr>
      </w:pPr>
      <w:r>
        <w:rPr>
          <w:rFonts w:hint="eastAsia" w:hAnsi="宋体" w:cs="仿宋_GB2312"/>
          <w:szCs w:val="22"/>
          <w:highlight w:val="none"/>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hd w:val="clear"/>
        <w:spacing w:line="480" w:lineRule="exact"/>
        <w:ind w:firstLine="640"/>
        <w:rPr>
          <w:rFonts w:hint="eastAsia" w:hAnsi="宋体"/>
          <w:szCs w:val="22"/>
          <w:highlight w:val="none"/>
        </w:rPr>
      </w:pPr>
      <w:r>
        <w:rPr>
          <w:rFonts w:hAnsi="宋体" w:cs="仿宋_GB2312"/>
          <w:szCs w:val="22"/>
          <w:highlight w:val="none"/>
        </w:rPr>
        <w:t>4</w:t>
      </w:r>
      <w:r>
        <w:rPr>
          <w:rFonts w:hint="eastAsia" w:hAnsi="宋体" w:cs="仿宋_GB2312"/>
          <w:szCs w:val="22"/>
          <w:highlight w:val="none"/>
        </w:rPr>
        <w:t>.如果中标，做到守信，不偷工减料，依照本项目招标文件需求内容、签署的采购合同及在投标中所作的一切承诺履约。项目验收达到全部指标合格，力争优良。</w:t>
      </w:r>
    </w:p>
    <w:p>
      <w:pPr>
        <w:shd w:val="clear"/>
        <w:spacing w:line="480" w:lineRule="exact"/>
        <w:ind w:firstLine="640"/>
        <w:rPr>
          <w:rFonts w:hint="eastAsia" w:hAnsi="宋体"/>
          <w:szCs w:val="22"/>
          <w:highlight w:val="none"/>
        </w:rPr>
      </w:pPr>
      <w:r>
        <w:rPr>
          <w:rFonts w:hAnsi="宋体" w:cs="仿宋_GB2312"/>
          <w:szCs w:val="22"/>
          <w:highlight w:val="none"/>
        </w:rPr>
        <w:t>5</w:t>
      </w:r>
      <w:r>
        <w:rPr>
          <w:rFonts w:hint="eastAsia" w:hAnsi="宋体" w:cs="仿宋_GB2312"/>
          <w:szCs w:val="22"/>
          <w:highlight w:val="none"/>
        </w:rPr>
        <w:t>.我单位已认真阅读本项目需求，我单位承诺按时递交标书。</w:t>
      </w:r>
    </w:p>
    <w:p>
      <w:pPr>
        <w:shd w:val="clear"/>
        <w:spacing w:line="480" w:lineRule="exact"/>
        <w:ind w:firstLine="640"/>
        <w:rPr>
          <w:rFonts w:hint="eastAsia" w:hAnsi="宋体"/>
          <w:szCs w:val="22"/>
          <w:highlight w:val="none"/>
        </w:rPr>
      </w:pPr>
      <w:r>
        <w:rPr>
          <w:rFonts w:hAnsi="宋体" w:cs="仿宋_GB2312"/>
          <w:szCs w:val="22"/>
          <w:highlight w:val="none"/>
        </w:rPr>
        <w:t>6</w:t>
      </w:r>
      <w:r>
        <w:rPr>
          <w:rFonts w:hint="eastAsia" w:hAnsi="宋体" w:cs="仿宋_GB2312"/>
          <w:szCs w:val="22"/>
          <w:highlight w:val="none"/>
        </w:rPr>
        <w:t>.我单位承诺不非法转包或分包。</w:t>
      </w:r>
    </w:p>
    <w:p>
      <w:pPr>
        <w:shd w:val="clear"/>
        <w:spacing w:line="480" w:lineRule="exact"/>
        <w:ind w:firstLine="640"/>
        <w:rPr>
          <w:rFonts w:hint="eastAsia" w:hAnsi="宋体"/>
          <w:szCs w:val="22"/>
          <w:highlight w:val="none"/>
        </w:rPr>
      </w:pPr>
      <w:r>
        <w:rPr>
          <w:rFonts w:hint="eastAsia" w:hAnsi="宋体" w:cs="仿宋_GB2312"/>
          <w:szCs w:val="22"/>
          <w:highlight w:val="none"/>
        </w:rPr>
        <w:t>以上承诺，如有违反，愿依照国家相关法律处理，并承担由此给采购人带来的损失。</w:t>
      </w:r>
    </w:p>
    <w:p>
      <w:pPr>
        <w:shd w:val="clear"/>
        <w:spacing w:line="480" w:lineRule="exact"/>
        <w:ind w:firstLine="640"/>
        <w:rPr>
          <w:rFonts w:hint="eastAsia" w:hAnsi="宋体"/>
          <w:szCs w:val="22"/>
          <w:highlight w:val="none"/>
        </w:rPr>
      </w:pPr>
      <w:r>
        <w:rPr>
          <w:rFonts w:hint="eastAsia" w:hAnsi="宋体" w:cs="仿宋_GB2312"/>
          <w:szCs w:val="22"/>
          <w:highlight w:val="none"/>
        </w:rPr>
        <w:t>承诺投标人：</w:t>
      </w:r>
    </w:p>
    <w:p>
      <w:pPr>
        <w:shd w:val="clear"/>
        <w:spacing w:line="480" w:lineRule="exact"/>
        <w:ind w:firstLine="640"/>
        <w:rPr>
          <w:rFonts w:hint="eastAsia" w:hAnsi="宋体"/>
          <w:szCs w:val="22"/>
          <w:highlight w:val="none"/>
        </w:rPr>
      </w:pPr>
      <w:r>
        <w:rPr>
          <w:rFonts w:hint="eastAsia" w:hAnsi="宋体" w:cs="仿宋_GB2312"/>
          <w:szCs w:val="22"/>
          <w:highlight w:val="none"/>
        </w:rPr>
        <w:t>单位地址：</w:t>
      </w:r>
    </w:p>
    <w:p>
      <w:pPr>
        <w:shd w:val="clear"/>
        <w:spacing w:line="480" w:lineRule="exact"/>
        <w:ind w:firstLine="640"/>
        <w:rPr>
          <w:rFonts w:hint="eastAsia" w:hAnsi="宋体"/>
          <w:szCs w:val="22"/>
          <w:highlight w:val="none"/>
        </w:rPr>
      </w:pPr>
      <w:r>
        <w:rPr>
          <w:rFonts w:hint="eastAsia" w:hAnsi="宋体" w:cs="仿宋_GB2312"/>
          <w:szCs w:val="22"/>
          <w:highlight w:val="none"/>
        </w:rPr>
        <w:t>法定代表人或其委托代理人：</w:t>
      </w:r>
    </w:p>
    <w:p>
      <w:pPr>
        <w:shd w:val="clear"/>
        <w:spacing w:line="480" w:lineRule="exact"/>
        <w:ind w:firstLine="640"/>
        <w:rPr>
          <w:rFonts w:hint="eastAsia" w:hAnsi="宋体" w:cs="仿宋_GB2312"/>
          <w:szCs w:val="22"/>
          <w:highlight w:val="none"/>
        </w:rPr>
      </w:pPr>
      <w:r>
        <w:rPr>
          <w:rFonts w:hint="eastAsia" w:hAnsi="宋体" w:cs="仿宋_GB2312"/>
          <w:szCs w:val="22"/>
          <w:highlight w:val="none"/>
        </w:rPr>
        <w:t>联系电话：</w:t>
      </w:r>
    </w:p>
    <w:p>
      <w:pPr>
        <w:shd w:val="clear"/>
        <w:rPr>
          <w:rFonts w:hint="eastAsia" w:hAnsi="Times New Roman" w:cs="仿宋_GB2312"/>
          <w:szCs w:val="22"/>
          <w:highlight w:val="none"/>
        </w:rPr>
      </w:pPr>
      <w:r>
        <w:rPr>
          <w:rFonts w:hint="eastAsia" w:hAnsi="Times New Roman" w:cs="仿宋_GB2312"/>
          <w:szCs w:val="22"/>
          <w:highlight w:val="none"/>
        </w:rPr>
        <w:t xml:space="preserve">日期：   年   月   日 </w:t>
      </w:r>
    </w:p>
    <w:p>
      <w:pPr>
        <w:shd w:val="clear"/>
        <w:rPr>
          <w:rFonts w:hint="eastAsia" w:hAnsi="Times New Roman" w:cs="仿宋_GB2312"/>
          <w:szCs w:val="22"/>
          <w:highlight w:val="none"/>
        </w:rPr>
      </w:pPr>
      <w:r>
        <w:rPr>
          <w:rFonts w:hint="eastAsia" w:hAnsi="Times New Roman" w:cs="仿宋_GB2312"/>
          <w:szCs w:val="22"/>
          <w:highlight w:val="none"/>
        </w:rPr>
        <w:br w:type="page"/>
      </w:r>
    </w:p>
    <w:p>
      <w:pPr>
        <w:shd w:val="clear"/>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附件2</w:t>
      </w:r>
    </w:p>
    <w:p>
      <w:pPr>
        <w:pStyle w:val="4"/>
        <w:shd w:val="clear"/>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hd w:val="clear"/>
        <w:ind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882"/>
        <w:gridCol w:w="1345"/>
        <w:gridCol w:w="1258"/>
        <w:gridCol w:w="997"/>
        <w:gridCol w:w="901"/>
        <w:gridCol w:w="133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gridSpan w:val="2"/>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1436" w:type="pct"/>
            <w:gridSpan w:val="2"/>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047" w:type="pct"/>
            <w:gridSpan w:val="2"/>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1617" w:type="pct"/>
            <w:gridSpan w:val="2"/>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gridSpan w:val="2"/>
            <w:noWrap w:val="0"/>
            <w:vAlign w:val="center"/>
          </w:tcPr>
          <w:p>
            <w:pPr>
              <w:shd w:val="clear"/>
              <w:snapToGrid w:val="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1436" w:type="pct"/>
            <w:gridSpan w:val="2"/>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047" w:type="pct"/>
            <w:gridSpan w:val="2"/>
            <w:noWrap w:val="0"/>
            <w:vAlign w:val="center"/>
          </w:tcPr>
          <w:p>
            <w:pPr>
              <w:shd w:val="clear"/>
              <w:snapToGrid w:val="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1617" w:type="pct"/>
            <w:gridSpan w:val="2"/>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pct"/>
            <w:tcBorders>
              <w:bottom w:val="single" w:color="auto" w:sz="4" w:space="0"/>
            </w:tcBorders>
            <w:noWrap w:val="0"/>
            <w:vAlign w:val="center"/>
          </w:tcPr>
          <w:p>
            <w:pPr>
              <w:shd w:val="clear"/>
              <w:snapToGrid w:val="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1229" w:type="pct"/>
            <w:gridSpan w:val="2"/>
            <w:tcBorders>
              <w:bottom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694" w:type="pct"/>
            <w:tcBorders>
              <w:bottom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047" w:type="pct"/>
            <w:gridSpan w:val="2"/>
            <w:tcBorders>
              <w:bottom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735" w:type="pct"/>
            <w:tcBorders>
              <w:bottom w:val="single" w:color="auto" w:sz="4" w:space="0"/>
            </w:tcBorders>
            <w:noWrap w:val="0"/>
            <w:vAlign w:val="center"/>
          </w:tcPr>
          <w:p>
            <w:pPr>
              <w:shd w:val="clear"/>
              <w:snapToGrid w:val="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hd w:val="clear"/>
              <w:snapToGrid w:val="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882" w:type="pct"/>
            <w:tcBorders>
              <w:bottom w:val="single" w:color="auto" w:sz="4" w:space="0"/>
            </w:tcBorders>
            <w:noWrap w:val="0"/>
            <w:vAlign w:val="center"/>
          </w:tcPr>
          <w:p>
            <w:pPr>
              <w:shd w:val="clear"/>
              <w:snapToGrid w:val="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hd w:val="clear"/>
              <w:snapToGrid w:val="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229" w:type="pct"/>
            <w:gridSpan w:val="2"/>
            <w:tcBorders>
              <w:top w:val="single" w:color="auto" w:sz="4" w:space="0"/>
              <w:left w:val="single" w:color="auto" w:sz="4" w:space="0"/>
              <w:bottom w:val="single" w:color="auto" w:sz="4" w:space="0"/>
              <w:right w:val="single" w:color="auto" w:sz="4" w:space="0"/>
            </w:tcBorders>
            <w:noWrap w:val="0"/>
            <w:vAlign w:val="center"/>
          </w:tcPr>
          <w:p>
            <w:pPr>
              <w:shd w:val="clear"/>
              <w:spacing w:line="460" w:lineRule="exact"/>
              <w:ind w:firstLine="0" w:firstLineChars="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047" w:type="pct"/>
            <w:gridSpan w:val="2"/>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882" w:type="pct"/>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pPr>
              <w:shd w:val="clear"/>
              <w:spacing w:beforeLines="0" w:afterLines="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1229" w:type="pct"/>
            <w:gridSpan w:val="2"/>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047" w:type="pct"/>
            <w:gridSpan w:val="2"/>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882" w:type="pct"/>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tcBorders>
            <w:noWrap w:val="0"/>
            <w:vAlign w:val="center"/>
          </w:tcPr>
          <w:p>
            <w:pPr>
              <w:shd w:val="clear"/>
              <w:spacing w:beforeLines="0" w:afterLines="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1229" w:type="pct"/>
            <w:gridSpan w:val="2"/>
            <w:tcBorders>
              <w:top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694" w:type="pct"/>
            <w:tcBorders>
              <w:top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047" w:type="pct"/>
            <w:gridSpan w:val="2"/>
            <w:tcBorders>
              <w:top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735" w:type="pct"/>
            <w:tcBorders>
              <w:top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882" w:type="pct"/>
            <w:tcBorders>
              <w:top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pct"/>
            <w:noWrap w:val="0"/>
            <w:vAlign w:val="center"/>
          </w:tcPr>
          <w:p>
            <w:pPr>
              <w:shd w:val="clear"/>
              <w:spacing w:beforeLines="0" w:afterLines="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1229" w:type="pct"/>
            <w:gridSpan w:val="2"/>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694" w:type="pct"/>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047" w:type="pct"/>
            <w:gridSpan w:val="2"/>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735" w:type="pct"/>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882" w:type="pct"/>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noWrap w:val="0"/>
            <w:vAlign w:val="center"/>
          </w:tcPr>
          <w:p>
            <w:pPr>
              <w:shd w:val="clear"/>
              <w:spacing w:beforeLines="0" w:afterLines="0"/>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1229" w:type="pct"/>
            <w:gridSpan w:val="2"/>
            <w:noWrap w:val="0"/>
            <w:vAlign w:val="center"/>
          </w:tcPr>
          <w:p>
            <w:pPr>
              <w:pStyle w:val="2"/>
              <w:shd w:val="clear"/>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694" w:type="pct"/>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047" w:type="pct"/>
            <w:gridSpan w:val="2"/>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735" w:type="pct"/>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882" w:type="pct"/>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shd w:val="clear"/>
              <w:ind w:firstLine="0" w:firstLineChars="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shd w:val="clear"/>
              <w:ind w:firstLine="0" w:firstLineChars="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bottom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1229" w:type="pct"/>
            <w:gridSpan w:val="2"/>
            <w:tcBorders>
              <w:bottom w:val="single" w:color="auto" w:sz="4" w:space="0"/>
            </w:tcBorders>
            <w:noWrap w:val="0"/>
            <w:vAlign w:val="center"/>
          </w:tcPr>
          <w:p>
            <w:pPr>
              <w:shd w:val="clear"/>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244" w:type="pct"/>
            <w:gridSpan w:val="2"/>
            <w:tcBorders>
              <w:bottom w:val="single" w:color="auto" w:sz="4" w:space="0"/>
            </w:tcBorders>
            <w:noWrap w:val="0"/>
            <w:vAlign w:val="center"/>
          </w:tcPr>
          <w:p>
            <w:pPr>
              <w:shd w:val="clear"/>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2115" w:type="pct"/>
            <w:gridSpan w:val="3"/>
            <w:tcBorders>
              <w:bottom w:val="single" w:color="auto" w:sz="4" w:space="0"/>
            </w:tcBorders>
            <w:noWrap w:val="0"/>
            <w:vAlign w:val="center"/>
          </w:tcPr>
          <w:p>
            <w:pPr>
              <w:shd w:val="clear"/>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1229" w:type="pct"/>
            <w:gridSpan w:val="2"/>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244" w:type="pct"/>
            <w:gridSpan w:val="2"/>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2115" w:type="pct"/>
            <w:gridSpan w:val="3"/>
            <w:tcBorders>
              <w:top w:val="single" w:color="auto" w:sz="4" w:space="0"/>
              <w:left w:val="single" w:color="auto" w:sz="4" w:space="0"/>
              <w:bottom w:val="single" w:color="auto" w:sz="4" w:space="0"/>
              <w:right w:val="single" w:color="auto" w:sz="4" w:space="0"/>
            </w:tcBorders>
            <w:noWrap w:val="0"/>
            <w:vAlign w:val="center"/>
          </w:tcPr>
          <w:p>
            <w:pPr>
              <w:shd w:val="clear"/>
              <w:snapToGrid w:val="0"/>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1229" w:type="pct"/>
            <w:gridSpan w:val="2"/>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244" w:type="pct"/>
            <w:gridSpan w:val="2"/>
            <w:tcBorders>
              <w:top w:val="single" w:color="auto" w:sz="4" w:space="0"/>
              <w:left w:val="single" w:color="auto" w:sz="4" w:space="0"/>
              <w:bottom w:val="single" w:color="auto" w:sz="4" w:space="0"/>
              <w:right w:val="single" w:color="auto" w:sz="4" w:space="0"/>
            </w:tcBorders>
            <w:noWrap w:val="0"/>
            <w:vAlign w:val="center"/>
          </w:tcPr>
          <w:p>
            <w:pPr>
              <w:shd w:val="clear"/>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2115" w:type="pct"/>
            <w:gridSpan w:val="3"/>
            <w:tcBorders>
              <w:top w:val="single" w:color="auto" w:sz="4" w:space="0"/>
              <w:left w:val="single" w:color="auto" w:sz="4" w:space="0"/>
              <w:bottom w:val="single" w:color="auto" w:sz="4" w:space="0"/>
              <w:right w:val="single" w:color="auto" w:sz="4" w:space="0"/>
            </w:tcBorders>
            <w:noWrap w:val="0"/>
            <w:vAlign w:val="center"/>
          </w:tcPr>
          <w:p>
            <w:pPr>
              <w:shd w:val="clear"/>
              <w:snapToGrid w:val="0"/>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hd w:val="clear"/>
              <w:snapToGrid w:val="0"/>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5"/>
        <w:shd w:val="clear"/>
        <w:ind w:firstLine="0" w:firstLineChars="0"/>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7FB865"/>
    <w:rsid w:val="008163E2"/>
    <w:rsid w:val="0169685A"/>
    <w:rsid w:val="03773C2D"/>
    <w:rsid w:val="08557237"/>
    <w:rsid w:val="08ED1D35"/>
    <w:rsid w:val="0C9D2956"/>
    <w:rsid w:val="0D006A41"/>
    <w:rsid w:val="0D7F205C"/>
    <w:rsid w:val="0E9B0C86"/>
    <w:rsid w:val="0F267565"/>
    <w:rsid w:val="13DD7ADC"/>
    <w:rsid w:val="17F23C73"/>
    <w:rsid w:val="189E7B72"/>
    <w:rsid w:val="1936112E"/>
    <w:rsid w:val="1A132F57"/>
    <w:rsid w:val="1CB408BF"/>
    <w:rsid w:val="1D1B7BF3"/>
    <w:rsid w:val="1E215981"/>
    <w:rsid w:val="1E281D87"/>
    <w:rsid w:val="1F0D6046"/>
    <w:rsid w:val="1F7B3169"/>
    <w:rsid w:val="22432A46"/>
    <w:rsid w:val="24932711"/>
    <w:rsid w:val="24D90223"/>
    <w:rsid w:val="25767999"/>
    <w:rsid w:val="27EB5C8B"/>
    <w:rsid w:val="28D5368A"/>
    <w:rsid w:val="2E4F0E88"/>
    <w:rsid w:val="2E655EA0"/>
    <w:rsid w:val="30B15D42"/>
    <w:rsid w:val="31A83080"/>
    <w:rsid w:val="32FA1831"/>
    <w:rsid w:val="38953CE0"/>
    <w:rsid w:val="39692DBF"/>
    <w:rsid w:val="3A176FF5"/>
    <w:rsid w:val="3ADF7F71"/>
    <w:rsid w:val="3B283FEC"/>
    <w:rsid w:val="3CA8662A"/>
    <w:rsid w:val="3DEC0025"/>
    <w:rsid w:val="3E9D45C5"/>
    <w:rsid w:val="407654D0"/>
    <w:rsid w:val="40F07398"/>
    <w:rsid w:val="419F3CB9"/>
    <w:rsid w:val="42CA2036"/>
    <w:rsid w:val="42F80640"/>
    <w:rsid w:val="43557B07"/>
    <w:rsid w:val="460B799F"/>
    <w:rsid w:val="471E3737"/>
    <w:rsid w:val="49B56124"/>
    <w:rsid w:val="4A0E6F0B"/>
    <w:rsid w:val="4EEC1008"/>
    <w:rsid w:val="4F2B4370"/>
    <w:rsid w:val="4FBD71F3"/>
    <w:rsid w:val="50ED3FD0"/>
    <w:rsid w:val="536227DB"/>
    <w:rsid w:val="536E3CD2"/>
    <w:rsid w:val="552F223C"/>
    <w:rsid w:val="554D2361"/>
    <w:rsid w:val="57144B90"/>
    <w:rsid w:val="58A92235"/>
    <w:rsid w:val="5A4D6F36"/>
    <w:rsid w:val="5C730ABA"/>
    <w:rsid w:val="5EBC2F9D"/>
    <w:rsid w:val="5F0458F0"/>
    <w:rsid w:val="606964BC"/>
    <w:rsid w:val="60EF4C1A"/>
    <w:rsid w:val="62B23804"/>
    <w:rsid w:val="63B55005"/>
    <w:rsid w:val="669C3468"/>
    <w:rsid w:val="6A1C3221"/>
    <w:rsid w:val="6A2E7AC1"/>
    <w:rsid w:val="6B771774"/>
    <w:rsid w:val="6C0019EF"/>
    <w:rsid w:val="6DAD4F9F"/>
    <w:rsid w:val="6E573394"/>
    <w:rsid w:val="6E930FFA"/>
    <w:rsid w:val="6F8040FB"/>
    <w:rsid w:val="6FB9555A"/>
    <w:rsid w:val="71AB7A47"/>
    <w:rsid w:val="723D2767"/>
    <w:rsid w:val="72D124F2"/>
    <w:rsid w:val="745148D6"/>
    <w:rsid w:val="7784FAE7"/>
    <w:rsid w:val="782E76C0"/>
    <w:rsid w:val="784F737E"/>
    <w:rsid w:val="785E6707"/>
    <w:rsid w:val="78792B34"/>
    <w:rsid w:val="7A0400BD"/>
    <w:rsid w:val="7AA7A2D5"/>
    <w:rsid w:val="7B7D4202"/>
    <w:rsid w:val="7C07056B"/>
    <w:rsid w:val="7C0A57B6"/>
    <w:rsid w:val="7E0B59D9"/>
    <w:rsid w:val="7ED4A439"/>
    <w:rsid w:val="7F738A5D"/>
    <w:rsid w:val="7F775691"/>
    <w:rsid w:val="7FA856A7"/>
    <w:rsid w:val="7FFA3BB6"/>
    <w:rsid w:val="CFBF3EF8"/>
    <w:rsid w:val="DEE33F32"/>
    <w:rsid w:val="F77D7C64"/>
    <w:rsid w:val="F7BE13D3"/>
    <w:rsid w:val="F97FB865"/>
    <w:rsid w:val="FE9D5E7E"/>
    <w:rsid w:val="FEFD7750"/>
    <w:rsid w:val="FEFF095A"/>
    <w:rsid w:val="FF4D4166"/>
    <w:rsid w:val="FFB6D401"/>
    <w:rsid w:val="FFDF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_GB2312" w:hAnsi="Times" w:eastAsia="仿宋_GB2312" w:cs="Times New Roman"/>
      <w:kern w:val="2"/>
      <w:sz w:val="32"/>
      <w:szCs w:val="32"/>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styleId="3">
    <w:name w:val="Body Text"/>
    <w:basedOn w:val="1"/>
    <w:next w:val="4"/>
    <w:qFormat/>
    <w:uiPriority w:val="0"/>
    <w:pPr>
      <w:spacing w:after="120"/>
    </w:p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index 8"/>
    <w:basedOn w:val="1"/>
    <w:next w:val="1"/>
    <w:qFormat/>
    <w:uiPriority w:val="0"/>
    <w:pPr>
      <w:ind w:left="1400" w:leftChars="1400" w:firstLine="0"/>
    </w:pPr>
  </w:style>
  <w:style w:type="paragraph" w:styleId="7">
    <w:name w:val="annotation text"/>
    <w:basedOn w:val="1"/>
    <w:qFormat/>
    <w:uiPriority w:val="0"/>
    <w:pPr>
      <w:jc w:val="left"/>
    </w:pPr>
  </w:style>
  <w:style w:type="paragraph" w:styleId="8">
    <w:name w:val="Plain Text"/>
    <w:basedOn w:val="1"/>
    <w:next w:val="6"/>
    <w:unhideWhenUsed/>
    <w:qFormat/>
    <w:uiPriority w:val="99"/>
    <w:pPr>
      <w:adjustRightInd/>
      <w:snapToGrid/>
      <w:spacing w:line="240" w:lineRule="auto"/>
      <w:ind w:firstLine="0" w:firstLineChars="0"/>
    </w:pPr>
    <w:rPr>
      <w:rFonts w:ascii="宋体" w:hAnsi="Courier New" w:eastAsia="宋体" w:cs="Courier New"/>
      <w:sz w:val="21"/>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USE 1"/>
    <w:basedOn w:val="1"/>
    <w:qFormat/>
    <w:uiPriority w:val="0"/>
    <w:pPr>
      <w:spacing w:line="200" w:lineRule="atLeast"/>
      <w:jc w:val="left"/>
    </w:pPr>
    <w:rPr>
      <w:rFonts w:ascii="宋体" w:hAnsi="宋体"/>
      <w:b/>
      <w:sz w:val="24"/>
      <w:szCs w:val="2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2025-01-13T17:38:00Z</dcterms:created>
  <dc:creator>张一鸣</dc:creator>
  <cp:lastModifiedBy>cjf</cp:lastModifiedBy>
  <cp:lastPrinted>2025-02-10T00:28:00Z</cp:lastPrinted>
  <dcterms:modified xsi:type="dcterms:W3CDTF">2025-02-11T14:19:58Z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CFD018E30381C57459BA8467D9133A3A</vt:lpwstr>
  </property>
</Properties>
</file>