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Segoe UI" w:eastAsia="方正小标宋_GBK" w:cs="Segoe UI"/>
          <w:kern w:val="0"/>
          <w:sz w:val="44"/>
          <w:szCs w:val="44"/>
        </w:rPr>
      </w:pPr>
      <w:r>
        <w:rPr>
          <w:rFonts w:hint="eastAsia" w:ascii="方正小标宋_GBK" w:hAnsi="Segoe UI" w:eastAsia="方正小标宋_GBK" w:cs="Segoe UI"/>
          <w:kern w:val="0"/>
          <w:sz w:val="44"/>
          <w:szCs w:val="44"/>
        </w:rPr>
        <w:t>《光明区关于推动人工智能和软件信息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_GBK" w:hAnsi="Segoe UI" w:eastAsia="方正小标宋_GBK" w:cs="Segoe UI"/>
          <w:kern w:val="0"/>
          <w:sz w:val="44"/>
          <w:szCs w:val="44"/>
        </w:rPr>
      </w:pPr>
      <w:r>
        <w:rPr>
          <w:rFonts w:hint="eastAsia" w:ascii="方正小标宋_GBK" w:hAnsi="Segoe UI" w:eastAsia="方正小标宋_GBK" w:cs="Segoe UI"/>
          <w:kern w:val="0"/>
          <w:sz w:val="44"/>
          <w:szCs w:val="44"/>
        </w:rPr>
        <w:t>产业高质量发展的若干措施》起草说明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仿宋_GB2312" w:hAnsi="仿宋" w:eastAsia="仿宋_GB2312" w:cs="宋体"/>
          <w:sz w:val="32"/>
          <w:szCs w:val="32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一、编制的必要性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当前，人工智能和软件产业正处于战略性发展机遇期，需充分把握。一是智能化发展机遇。构建万物互联智能社会的步伐明显加快，软件开发与智能化技术深度融合，打开人工智能和软件产业无限发展空间。伴随着智能化技术持续赋能千行百业，软件产业链价值将得以重构，软件开发已经从传统的编程模式逐渐转变为智能化开发模式，为未来科技发展赋予新的动力。融合人工智能（AI）的产品和服务可获得更广阔的市场空间和认可，为软件产业带来新的市场需求。二是制造业数字化转型机遇。传统产业数字化转型提速，数字化转型逐渐从部分行业头部企业的“可选项”转变为更多企业的“必选项”，为人工智能和软件产业发展提供广阔市场空间。三是开源软件生态机遇。开源已成为全球软件技术和产业创新的主导模式，深圳软件产业基础雄厚、产业生态较为完善，在培育构建开源软件生态体系下，软件产业有望迎来更快发展。四是核心技术自主创新机遇。信息技术应用创新需求攀升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软件信息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产业加快发展，全国各重点行业对信息技术应用创新需求不断提升，人工智能和软件行业自主核心技术迎来发展良机。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为此，区工业和信息化局</w:t>
      </w:r>
      <w:r>
        <w:rPr>
          <w:rFonts w:hint="eastAsia" w:ascii="仿宋_GB2312" w:hAnsi="Segoe UI" w:eastAsia="仿宋_GB2312" w:cs="Segoe UI"/>
          <w:kern w:val="0"/>
          <w:sz w:val="32"/>
          <w:szCs w:val="32"/>
        </w:rPr>
        <w:t>以积极贯彻落实国家、省、市关于人工智能和软件产业发展的规划部署和政策要求为统领，紧抓人工智能和软件发展新趋势，坚持问题导向和目标导向，立足我区人工智能和软件产业发展实际情况和存在的突出问题，聚焦企业发展需求</w:t>
      </w:r>
      <w:r>
        <w:rPr>
          <w:rFonts w:hint="eastAsia" w:ascii="仿宋_GB2312" w:hAnsi="Segoe UI" w:eastAsia="仿宋_GB2312" w:cs="Segoe UI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</w:rPr>
        <w:t>牵头开展《光明区关于推动人工智能和软件信息产业高质量发展的若干措施》的编制起草工作，加快推动我区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人工智能和软件信息产业</w:t>
      </w:r>
      <w:r>
        <w:rPr>
          <w:rFonts w:hint="eastAsia" w:ascii="仿宋_GB2312" w:hAnsi="仿宋" w:eastAsia="仿宋_GB2312" w:cs="宋体"/>
          <w:sz w:val="32"/>
          <w:szCs w:val="32"/>
        </w:rPr>
        <w:t>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二、编制依据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此文件编制主要以</w:t>
      </w:r>
      <w:r>
        <w:rPr>
          <w:rFonts w:hint="eastAsia" w:ascii="仿宋_GB2312" w:hAnsi="仿宋" w:eastAsia="仿宋_GB2312" w:cs="宋体"/>
          <w:sz w:val="32"/>
          <w:szCs w:val="32"/>
        </w:rPr>
        <w:t>《深圳市加快打造人工智能先锋城市行动方案》《深圳市培育发展软件与信息服务产业集群行动计划（2022-2025年）》《深圳市推动软件产业高质量发展的若干措施》（深府规〔2022〕5号）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《深圳市打造人工智能先锋城市的若干措施》（深工信规〔2024〕13号）</w:t>
      </w:r>
      <w:r>
        <w:rPr>
          <w:rFonts w:hint="eastAsia" w:ascii="仿宋_GB2312" w:hAnsi="仿宋" w:eastAsia="仿宋_GB2312" w:cs="宋体"/>
          <w:sz w:val="32"/>
          <w:szCs w:val="32"/>
        </w:rPr>
        <w:t>等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上位</w:t>
      </w:r>
      <w:r>
        <w:rPr>
          <w:rFonts w:hint="eastAsia" w:ascii="仿宋_GB2312" w:hAnsi="仿宋" w:eastAsia="仿宋_GB2312" w:cs="宋体"/>
          <w:sz w:val="32"/>
          <w:szCs w:val="32"/>
        </w:rPr>
        <w:t>文件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本《若干措施》共六个方面、</w:t>
      </w:r>
      <w:r>
        <w:rPr>
          <w:rFonts w:hint="default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条具体措施。具体如下：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" w:eastAsia="zh-CN" w:bidi="ar-SA"/>
        </w:rPr>
        <w:t>（一）培育人工智能生态。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共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条措施，包括：强化智能算力平台建设、推动数据要素流通、打造人工智能示范场景、支持人工智能软硬协同发展、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推动人工智能赋能科学研究（AI for Science）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" w:eastAsia="zh-CN" w:bidi="ar-SA"/>
        </w:rPr>
        <w:t>（二）</w:t>
      </w: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提升产业创新能力。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共4条措施，包括：支持关键核心技术攻关、支持模型技术创新应用、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推动首版次软件推广应用、建设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公共技术服务平台。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" w:eastAsia="zh-CN" w:bidi="ar-SA"/>
        </w:rPr>
        <w:t>（三）</w:t>
      </w: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加快壮大产业集群。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共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条措施，包括：培育领军和高成长性企业、支持企业做大做强、促进企业做优做精。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" w:eastAsia="zh-CN" w:bidi="ar-SA"/>
        </w:rPr>
        <w:t>（四）</w:t>
      </w: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拓展产业发展空间。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共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条措施，包括：支持打造特色产业园区、加强企业产业用房支持、积极打造零租孵化器。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" w:eastAsia="zh-CN" w:bidi="ar-SA"/>
        </w:rPr>
        <w:t>（五）</w:t>
      </w: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优化产业发展环境。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共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条措施，包括：支持企业融资发展、支持创新人才发展、强化人才综合保障、支持举办重大产业活动。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</w:pP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" w:eastAsia="zh-CN" w:bidi="ar-SA"/>
        </w:rPr>
        <w:t>（六）附则</w:t>
      </w:r>
      <w:r>
        <w:rPr>
          <w:rFonts w:hint="eastAsia" w:ascii="楷体_GB2312" w:hAnsi="仿宋" w:eastAsia="楷体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共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" w:eastAsia="zh-CN" w:bidi="ar-SA"/>
        </w:rPr>
        <w:t>条措施，包括：</w:t>
      </w:r>
      <w:r>
        <w:rPr>
          <w:rFonts w:hint="eastAsia" w:ascii="仿宋_GB2312" w:hAnsi="仿宋" w:eastAsia="仿宋_GB2312" w:cs="宋体"/>
          <w:color w:val="auto"/>
          <w:kern w:val="2"/>
          <w:sz w:val="32"/>
          <w:szCs w:val="32"/>
          <w:lang w:val="en-US" w:eastAsia="zh-CN" w:bidi="ar-SA"/>
        </w:rPr>
        <w:t>支持范围、支持原则、实施效力。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altName w:val="DejaVu Sans"/>
    <w:panose1 w:val="020B0604020202020204"/>
    <w:charset w:val="00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altName w:val="Noto Mus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FA73E"/>
    <w:rsid w:val="0DFE46F3"/>
    <w:rsid w:val="22F1D233"/>
    <w:rsid w:val="2FFC2196"/>
    <w:rsid w:val="33FFD6EE"/>
    <w:rsid w:val="3A3F22D8"/>
    <w:rsid w:val="3BD134A9"/>
    <w:rsid w:val="3D6D63D5"/>
    <w:rsid w:val="3DE1A96C"/>
    <w:rsid w:val="3E34EBE2"/>
    <w:rsid w:val="55DA2ACF"/>
    <w:rsid w:val="5EF7F826"/>
    <w:rsid w:val="5F3C7A97"/>
    <w:rsid w:val="629DBE48"/>
    <w:rsid w:val="77FCD182"/>
    <w:rsid w:val="7B7F0C0D"/>
    <w:rsid w:val="7BFE11A7"/>
    <w:rsid w:val="7CDDBDBB"/>
    <w:rsid w:val="7CDEB1A5"/>
    <w:rsid w:val="7CF720C3"/>
    <w:rsid w:val="7EFB197C"/>
    <w:rsid w:val="7F29A8E4"/>
    <w:rsid w:val="7F7C19AB"/>
    <w:rsid w:val="7F8765B4"/>
    <w:rsid w:val="9EFE1FFF"/>
    <w:rsid w:val="AFBFA73E"/>
    <w:rsid w:val="B73B73A8"/>
    <w:rsid w:val="B9FF1275"/>
    <w:rsid w:val="BD5B8A05"/>
    <w:rsid w:val="BFE56BD3"/>
    <w:rsid w:val="CEEFA344"/>
    <w:rsid w:val="D7B09977"/>
    <w:rsid w:val="D8BFEDBD"/>
    <w:rsid w:val="DFFF64C9"/>
    <w:rsid w:val="DFFFAFA2"/>
    <w:rsid w:val="E7EFCD45"/>
    <w:rsid w:val="EDFB78F4"/>
    <w:rsid w:val="F3472B63"/>
    <w:rsid w:val="F7FCFEEA"/>
    <w:rsid w:val="FBD4640C"/>
    <w:rsid w:val="FE1CC9BD"/>
    <w:rsid w:val="FE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CESI仿宋-GB2312" w:cs="Arial Unicode MS"/>
      <w:color w:val="000000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文件正文"/>
    <w:basedOn w:val="7"/>
    <w:qFormat/>
    <w:uiPriority w:val="0"/>
    <w:pPr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2024-08-06T00:34:00Z</dcterms:created>
  <dc:creator>huawei</dc:creator>
  <cp:lastModifiedBy>huawei</cp:lastModifiedBy>
  <dcterms:modified xsi:type="dcterms:W3CDTF">2025-03-14T11:42:56Z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