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lang w:val="en-US" w:eastAsia="zh-CN"/>
        </w:rPr>
        <w:t>光明区关于推动人工智能和软件信息</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产业高质量发展扶持计划操作规程</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8"/>
          <w:rFonts w:hint="default" w:ascii="仿宋_GB2312" w:hAnsi="仿宋_GB2312" w:eastAsia="仿宋_GB2312" w:cs="仿宋_GB2312"/>
          <w:i w:val="0"/>
          <w:caps w:val="0"/>
          <w:color w:val="auto"/>
          <w:spacing w:val="0"/>
          <w:kern w:val="2"/>
          <w:sz w:val="32"/>
          <w:szCs w:val="32"/>
          <w:highlight w:val="none"/>
          <w:shd w:val="clear" w:color="auto" w:fill="FFFFFF"/>
          <w:lang w:val="en-US" w:eastAsia="zh-CN" w:bidi="ar-SA"/>
        </w:rPr>
      </w:pPr>
      <w:r>
        <w:rPr>
          <w:rFonts w:hint="eastAsia" w:ascii="仿宋_GB2312" w:hAnsi="仿宋" w:eastAsia="仿宋_GB2312" w:cs="宋体"/>
          <w:sz w:val="32"/>
          <w:szCs w:val="32"/>
          <w:highlight w:val="none"/>
        </w:rPr>
        <w:t>推动光明区人工智能、</w:t>
      </w:r>
      <w:r>
        <w:rPr>
          <w:rFonts w:hint="eastAsia" w:ascii="仿宋_GB2312" w:hAnsi="仿宋_GB2312" w:eastAsia="仿宋_GB2312" w:cs="仿宋_GB2312"/>
          <w:color w:val="000000"/>
          <w:sz w:val="32"/>
          <w:szCs w:val="32"/>
          <w:highlight w:val="none"/>
          <w:lang w:eastAsia="zh-CN"/>
        </w:rPr>
        <w:t>软件信息产业</w:t>
      </w:r>
      <w:r>
        <w:rPr>
          <w:rFonts w:hint="eastAsia" w:ascii="仿宋_GB2312" w:hAnsi="仿宋" w:eastAsia="仿宋_GB2312" w:cs="宋体"/>
          <w:sz w:val="32"/>
          <w:szCs w:val="32"/>
          <w:highlight w:val="none"/>
        </w:rPr>
        <w:t>集聚发展和高质量发展</w:t>
      </w:r>
      <w:r>
        <w:rPr>
          <w:rStyle w:val="8"/>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，根据《光明区经济发展专项资金管理办法》（深光府规〔2023〕15号）及《光明区关于推动人工智能和软件信息产业高质量发展的若干措施》（深光府规〔2025〕</w:t>
      </w:r>
      <w:r>
        <w:rPr>
          <w:rStyle w:val="8"/>
          <w:rFonts w:hint="default" w:ascii="仿宋_GB2312" w:hAnsi="仿宋_GB2312" w:eastAsia="仿宋_GB2312" w:cs="仿宋_GB2312"/>
          <w:i w:val="0"/>
          <w:caps w:val="0"/>
          <w:color w:val="auto"/>
          <w:spacing w:val="0"/>
          <w:kern w:val="2"/>
          <w:sz w:val="32"/>
          <w:szCs w:val="32"/>
          <w:highlight w:val="none"/>
          <w:shd w:val="clear" w:color="auto" w:fill="FFFFFF"/>
          <w:lang w:val="en" w:eastAsia="zh-CN" w:bidi="ar-SA"/>
        </w:rPr>
        <w:t>4</w:t>
      </w:r>
      <w:r>
        <w:rPr>
          <w:rStyle w:val="8"/>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号）</w:t>
      </w:r>
      <w:r>
        <w:rPr>
          <w:rFonts w:hint="eastAsia" w:ascii="仿宋_GB2312" w:hAnsi="仿宋_GB2312" w:eastAsia="仿宋_GB2312" w:cs="仿宋_GB2312"/>
          <w:i w:val="0"/>
          <w:strike w:val="0"/>
          <w:color w:val="auto"/>
          <w:sz w:val="32"/>
          <w:u w:val="none"/>
          <w:lang w:val="en-US" w:eastAsia="zh-CN"/>
        </w:rPr>
        <w:t>等文件精神，</w:t>
      </w:r>
      <w:r>
        <w:rPr>
          <w:rStyle w:val="8"/>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结合光明区实际，</w:t>
      </w:r>
      <w:r>
        <w:rPr>
          <w:rFonts w:hint="eastAsia" w:ascii="仿宋_GB2312" w:hAnsi="仿宋_GB2312" w:eastAsia="仿宋_GB2312" w:cs="仿宋_GB2312"/>
          <w:i w:val="0"/>
          <w:strike w:val="0"/>
          <w:color w:val="auto"/>
          <w:sz w:val="32"/>
          <w:u w:val="none"/>
          <w:lang w:val="en-US" w:eastAsia="zh-CN"/>
        </w:rPr>
        <w:t>深圳市光明区工业和信息化局起草了《光明区关于推动人工智能和软件信息产业高质量发展扶持计划操作规程（征求意见稿）》</w:t>
      </w:r>
      <w:r>
        <w:rPr>
          <w:rFonts w:hint="eastAsia" w:ascii="仿宋_GB2312" w:hAnsi="仿宋_GB2312" w:eastAsia="仿宋_GB2312" w:cs="仿宋_GB2312"/>
          <w:sz w:val="32"/>
          <w:szCs w:val="32"/>
          <w:lang w:eastAsia="zh-CN"/>
        </w:rPr>
        <w:t>（以下简称《操作规程》），现将有关情况说明如下：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i w:val="0"/>
          <w:strike w:val="0"/>
          <w:color w:val="auto"/>
          <w:sz w:val="32"/>
          <w:u w:val="none"/>
          <w:lang w:val="en-US" w:eastAsia="zh-CN"/>
        </w:rPr>
      </w:pPr>
      <w:r>
        <w:rPr>
          <w:rFonts w:hint="eastAsia" w:ascii="黑体" w:hAnsi="黑体" w:eastAsia="黑体" w:cs="黑体"/>
          <w:b w:val="0"/>
          <w:bCs w:val="0"/>
          <w:i w:val="0"/>
          <w:strike w:val="0"/>
          <w:color w:val="auto"/>
          <w:sz w:val="32"/>
          <w:u w:val="none"/>
          <w:lang w:val="en-US" w:eastAsia="zh-CN"/>
        </w:rPr>
        <w:t>一、起草背景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kern w:val="2"/>
          <w:sz w:val="32"/>
          <w:szCs w:val="32"/>
          <w:highlight w:val="none"/>
          <w:u w:val="none" w:color="auto"/>
          <w:lang w:val="en-US" w:eastAsia="zh-CN" w:bidi="ar-SA"/>
        </w:rPr>
      </w:pPr>
      <w:r>
        <w:rPr>
          <w:rFonts w:hint="eastAsia" w:ascii="仿宋_GB2312" w:hAnsi="仿宋_GB2312" w:eastAsia="仿宋_GB2312" w:cs="仿宋_GB2312"/>
          <w:sz w:val="32"/>
          <w:szCs w:val="32"/>
          <w:lang w:val="en-US" w:eastAsia="zh-CN"/>
        </w:rPr>
        <w:t>我区已印发实施</w:t>
      </w:r>
      <w:r>
        <w:rPr>
          <w:rStyle w:val="8"/>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《光明区关于推动人工智能和软件信息产业高质量发展的若干措施》（深光府规〔2025〕</w:t>
      </w:r>
      <w:r>
        <w:rPr>
          <w:rStyle w:val="8"/>
          <w:rFonts w:hint="default" w:ascii="仿宋_GB2312" w:hAnsi="仿宋_GB2312" w:eastAsia="仿宋_GB2312" w:cs="仿宋_GB2312"/>
          <w:i w:val="0"/>
          <w:caps w:val="0"/>
          <w:color w:val="auto"/>
          <w:spacing w:val="0"/>
          <w:kern w:val="2"/>
          <w:sz w:val="32"/>
          <w:szCs w:val="32"/>
          <w:highlight w:val="none"/>
          <w:shd w:val="clear" w:color="auto" w:fill="FFFFFF"/>
          <w:lang w:val="en" w:eastAsia="zh-CN" w:bidi="ar-SA"/>
        </w:rPr>
        <w:t>4</w:t>
      </w:r>
      <w:r>
        <w:rPr>
          <w:rStyle w:val="8"/>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号）</w:t>
      </w:r>
      <w:r>
        <w:rPr>
          <w:rFonts w:hint="eastAsia" w:ascii="仿宋_GB2312" w:hAnsi="仿宋_GB2312" w:eastAsia="仿宋_GB2312" w:cs="仿宋_GB2312"/>
          <w:sz w:val="32"/>
          <w:szCs w:val="32"/>
          <w:lang w:val="en-US" w:eastAsia="zh-CN"/>
        </w:rPr>
        <w:t>（以下简称《若干措施》），</w:t>
      </w:r>
      <w:r>
        <w:rPr>
          <w:rFonts w:hint="eastAsia" w:ascii="仿宋_GB2312" w:hAnsi="仿宋_GB2312" w:eastAsia="仿宋_GB2312" w:cs="仿宋_GB2312"/>
          <w:b w:val="0"/>
          <w:bCs w:val="0"/>
          <w:kern w:val="2"/>
          <w:sz w:val="32"/>
          <w:szCs w:val="32"/>
          <w:highlight w:val="none"/>
          <w:u w:val="none" w:color="auto"/>
          <w:lang w:val="en-US" w:eastAsia="zh-CN" w:bidi="ar-SA"/>
        </w:rPr>
        <w:t>《若干措施》立足光明区实际，提出“</w:t>
      </w:r>
      <w:r>
        <w:rPr>
          <w:rFonts w:hint="eastAsia" w:ascii="仿宋_GB2312" w:hAnsi="仿宋_GB2312" w:eastAsia="仿宋_GB2312" w:cs="仿宋_GB2312"/>
          <w:b w:val="0"/>
          <w:bCs w:val="0"/>
          <w:kern w:val="2"/>
          <w:sz w:val="32"/>
          <w:szCs w:val="32"/>
          <w:highlight w:val="none"/>
          <w:u w:val="none" w:color="auto"/>
          <w:lang w:val="en" w:eastAsia="zh-CN" w:bidi="ar-SA"/>
        </w:rPr>
        <w:t>培育人工智能生态</w:t>
      </w:r>
      <w:r>
        <w:rPr>
          <w:rFonts w:hint="eastAsia" w:ascii="仿宋_GB2312" w:hAnsi="仿宋_GB2312" w:eastAsia="仿宋_GB2312" w:cs="仿宋_GB2312"/>
          <w:b w:val="0"/>
          <w:bCs w:val="0"/>
          <w:kern w:val="2"/>
          <w:sz w:val="32"/>
          <w:szCs w:val="32"/>
          <w:highlight w:val="none"/>
          <w:u w:val="none" w:color="auto"/>
          <w:lang w:val="en-US" w:eastAsia="zh-CN" w:bidi="ar-SA"/>
        </w:rPr>
        <w:t>”</w:t>
      </w:r>
      <w:r>
        <w:rPr>
          <w:rFonts w:hint="eastAsia" w:ascii="仿宋_GB2312" w:hAnsi="仿宋_GB2312" w:eastAsia="仿宋_GB2312" w:cs="仿宋_GB2312"/>
          <w:b w:val="0"/>
          <w:bCs w:val="0"/>
          <w:kern w:val="2"/>
          <w:sz w:val="32"/>
          <w:szCs w:val="32"/>
          <w:highlight w:val="none"/>
          <w:u w:val="none" w:color="auto"/>
          <w:lang w:val="en" w:eastAsia="zh-CN" w:bidi="ar-SA"/>
        </w:rPr>
        <w:t>、“</w:t>
      </w:r>
      <w:r>
        <w:rPr>
          <w:rFonts w:hint="eastAsia" w:ascii="仿宋_GB2312" w:hAnsi="仿宋_GB2312" w:eastAsia="仿宋_GB2312" w:cs="仿宋_GB2312"/>
          <w:b w:val="0"/>
          <w:bCs w:val="0"/>
          <w:kern w:val="2"/>
          <w:sz w:val="32"/>
          <w:szCs w:val="32"/>
          <w:highlight w:val="none"/>
          <w:u w:val="none" w:color="auto"/>
          <w:lang w:val="en-US" w:eastAsia="zh-CN" w:bidi="ar-SA"/>
        </w:rPr>
        <w:t>提升产业创新能力</w:t>
      </w:r>
      <w:r>
        <w:rPr>
          <w:rFonts w:hint="eastAsia" w:ascii="仿宋_GB2312" w:hAnsi="仿宋_GB2312" w:eastAsia="仿宋_GB2312" w:cs="仿宋_GB2312"/>
          <w:b w:val="0"/>
          <w:bCs w:val="0"/>
          <w:kern w:val="2"/>
          <w:sz w:val="32"/>
          <w:szCs w:val="32"/>
          <w:highlight w:val="none"/>
          <w:u w:val="none" w:color="auto"/>
          <w:lang w:val="en" w:eastAsia="zh-CN" w:bidi="ar-SA"/>
        </w:rPr>
        <w:t>”</w:t>
      </w:r>
      <w:r>
        <w:rPr>
          <w:rFonts w:hint="eastAsia" w:ascii="仿宋_GB2312" w:hAnsi="仿宋_GB2312" w:eastAsia="仿宋_GB2312" w:cs="仿宋_GB2312"/>
          <w:b w:val="0"/>
          <w:bCs w:val="0"/>
          <w:kern w:val="2"/>
          <w:sz w:val="32"/>
          <w:szCs w:val="32"/>
          <w:highlight w:val="none"/>
          <w:u w:val="none" w:color="auto"/>
          <w:lang w:val="en-US" w:eastAsia="zh-CN" w:bidi="ar-SA"/>
        </w:rPr>
        <w:t>、“加快壮大产业集群”、“拓展产业发展空间”、“优化产业发展环境”四大章节和附则，共包含22个条款。</w:t>
      </w:r>
    </w:p>
    <w:p>
      <w:pPr>
        <w:pStyle w:val="2"/>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黑体" w:hAnsi="黑体" w:eastAsia="黑体" w:cs="黑体"/>
          <w:b w:val="0"/>
          <w:bCs w:val="0"/>
          <w:i w:val="0"/>
          <w:strike w:val="0"/>
          <w:color w:val="auto"/>
          <w:sz w:val="32"/>
          <w:u w:val="none"/>
          <w:lang w:val="en-US" w:eastAsia="zh-CN"/>
        </w:rPr>
      </w:pPr>
      <w:r>
        <w:rPr>
          <w:rFonts w:hint="eastAsia" w:ascii="黑体" w:hAnsi="黑体" w:eastAsia="黑体" w:cs="黑体"/>
          <w:b w:val="0"/>
          <w:bCs w:val="0"/>
          <w:i w:val="0"/>
          <w:strike w:val="0"/>
          <w:color w:val="auto"/>
          <w:sz w:val="32"/>
          <w:u w:val="none"/>
          <w:lang w:val="en-US" w:eastAsia="zh-CN"/>
        </w:rPr>
        <w:t>二、起草过程</w:t>
      </w:r>
    </w:p>
    <w:p>
      <w:pPr>
        <w:pStyle w:val="2"/>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《若干措施》</w:t>
      </w:r>
      <w:r>
        <w:rPr>
          <w:rFonts w:hint="eastAsia"/>
          <w:sz w:val="32"/>
          <w:szCs w:val="32"/>
          <w:lang w:eastAsia="zh-CN"/>
        </w:rPr>
        <w:t>出台</w:t>
      </w:r>
      <w:r>
        <w:rPr>
          <w:rFonts w:hint="eastAsia" w:ascii="仿宋_GB2312" w:eastAsia="仿宋_GB2312"/>
          <w:sz w:val="32"/>
          <w:szCs w:val="32"/>
        </w:rPr>
        <w:t>后，我局</w:t>
      </w:r>
      <w:r>
        <w:rPr>
          <w:rFonts w:hint="eastAsia"/>
          <w:sz w:val="32"/>
          <w:szCs w:val="32"/>
          <w:lang w:eastAsia="zh-CN"/>
        </w:rPr>
        <w:t>按程序组织</w:t>
      </w:r>
      <w:r>
        <w:rPr>
          <w:rFonts w:hint="eastAsia" w:ascii="仿宋_GB2312" w:eastAsia="仿宋_GB2312"/>
          <w:sz w:val="32"/>
          <w:szCs w:val="32"/>
        </w:rPr>
        <w:t>开展《操作规程》</w:t>
      </w:r>
      <w:r>
        <w:rPr>
          <w:rFonts w:hint="eastAsia"/>
          <w:sz w:val="32"/>
          <w:szCs w:val="32"/>
          <w:lang w:eastAsia="zh-CN"/>
        </w:rPr>
        <w:t>起草</w:t>
      </w:r>
      <w:r>
        <w:rPr>
          <w:rFonts w:hint="eastAsia" w:ascii="仿宋_GB2312" w:eastAsia="仿宋_GB2312"/>
          <w:sz w:val="32"/>
          <w:szCs w:val="32"/>
        </w:rPr>
        <w:t>工作，经历了研究借鉴、</w:t>
      </w:r>
      <w:r>
        <w:rPr>
          <w:rFonts w:hint="eastAsia"/>
          <w:sz w:val="32"/>
          <w:szCs w:val="32"/>
          <w:lang w:eastAsia="zh-CN"/>
        </w:rPr>
        <w:t>梳理总结、起草规程、细化</w:t>
      </w:r>
      <w:r>
        <w:rPr>
          <w:rFonts w:hint="eastAsia" w:ascii="仿宋_GB2312" w:eastAsia="仿宋_GB2312"/>
          <w:sz w:val="32"/>
          <w:szCs w:val="32"/>
        </w:rPr>
        <w:t>优化等过程。</w:t>
      </w:r>
    </w:p>
    <w:p>
      <w:pPr>
        <w:keepNext w:val="0"/>
        <w:keepLines w:val="0"/>
        <w:pageBreakBefore w:val="0"/>
        <w:widowControl w:val="0"/>
        <w:kinsoku/>
        <w:wordWrap/>
        <w:overflowPunct/>
        <w:topLinePunct w:val="0"/>
        <w:autoSpaceDE w:val="0"/>
        <w:autoSpaceDN/>
        <w:bidi w:val="0"/>
        <w:adjustRightInd/>
        <w:snapToGrid/>
        <w:spacing w:line="560" w:lineRule="exact"/>
        <w:ind w:firstLine="642"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一</w:t>
      </w:r>
      <w:r>
        <w:rPr>
          <w:rFonts w:hint="eastAsia" w:ascii="仿宋_GB2312" w:eastAsia="仿宋_GB2312"/>
          <w:b/>
          <w:bCs/>
          <w:sz w:val="32"/>
          <w:szCs w:val="32"/>
        </w:rPr>
        <w:t>是借鉴先进经验。</w:t>
      </w:r>
      <w:r>
        <w:rPr>
          <w:rFonts w:hint="eastAsia" w:ascii="仿宋_GB2312" w:eastAsia="仿宋_GB2312"/>
          <w:sz w:val="32"/>
          <w:szCs w:val="32"/>
        </w:rPr>
        <w:t>认真学习借鉴</w:t>
      </w:r>
      <w:r>
        <w:rPr>
          <w:rFonts w:hint="eastAsia" w:ascii="仿宋_GB2312" w:eastAsia="仿宋_GB2312"/>
          <w:sz w:val="32"/>
          <w:szCs w:val="32"/>
          <w:lang w:eastAsia="zh-CN"/>
        </w:rPr>
        <w:t>广东省、深圳市及各区在培育人工智能和软件信息产业方面的先进做法，学习各地市</w:t>
      </w:r>
      <w:r>
        <w:rPr>
          <w:rFonts w:hint="eastAsia" w:ascii="仿宋_GB2312" w:eastAsia="仿宋_GB2312"/>
          <w:sz w:val="32"/>
          <w:szCs w:val="32"/>
        </w:rPr>
        <w:t>在项目</w:t>
      </w:r>
      <w:r>
        <w:rPr>
          <w:rFonts w:hint="eastAsia" w:ascii="仿宋_GB2312" w:eastAsia="仿宋_GB2312"/>
          <w:sz w:val="32"/>
          <w:szCs w:val="32"/>
          <w:lang w:eastAsia="zh-CN"/>
        </w:rPr>
        <w:t>资金</w:t>
      </w:r>
      <w:r>
        <w:rPr>
          <w:rFonts w:hint="eastAsia" w:ascii="仿宋_GB2312" w:eastAsia="仿宋_GB2312"/>
          <w:sz w:val="32"/>
          <w:szCs w:val="32"/>
        </w:rPr>
        <w:t>设置、资助费用、组织实施、审核管理等方面成功案例与经验，</w:t>
      </w:r>
      <w:r>
        <w:rPr>
          <w:rFonts w:hint="eastAsia" w:ascii="仿宋_GB2312" w:eastAsia="仿宋_GB2312"/>
          <w:sz w:val="32"/>
          <w:szCs w:val="32"/>
          <w:lang w:eastAsia="zh-CN"/>
        </w:rPr>
        <w:t>全面优化资金项目受理工作。</w:t>
      </w:r>
    </w:p>
    <w:p>
      <w:pPr>
        <w:keepNext w:val="0"/>
        <w:keepLines w:val="0"/>
        <w:pageBreakBefore w:val="0"/>
        <w:widowControl w:val="0"/>
        <w:kinsoku/>
        <w:wordWrap/>
        <w:overflowPunct/>
        <w:topLinePunct w:val="0"/>
        <w:autoSpaceDE w:val="0"/>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u w:val="none"/>
        </w:rPr>
      </w:pPr>
      <w:r>
        <w:rPr>
          <w:rFonts w:hint="eastAsia" w:ascii="仿宋_GB2312" w:eastAsia="仿宋_GB2312"/>
          <w:b/>
          <w:bCs/>
          <w:sz w:val="32"/>
          <w:szCs w:val="32"/>
          <w:u w:val="none"/>
          <w:lang w:eastAsia="zh-CN"/>
        </w:rPr>
        <w:t>二</w:t>
      </w:r>
      <w:r>
        <w:rPr>
          <w:rFonts w:hint="eastAsia" w:ascii="仿宋_GB2312" w:eastAsia="仿宋_GB2312"/>
          <w:b/>
          <w:bCs/>
          <w:sz w:val="32"/>
          <w:szCs w:val="32"/>
          <w:u w:val="none"/>
        </w:rPr>
        <w:t>是</w:t>
      </w:r>
      <w:r>
        <w:rPr>
          <w:rFonts w:hint="eastAsia" w:ascii="仿宋_GB2312" w:eastAsia="仿宋_GB2312"/>
          <w:b/>
          <w:bCs/>
          <w:sz w:val="32"/>
          <w:szCs w:val="32"/>
          <w:u w:val="none"/>
          <w:lang w:eastAsia="zh-CN"/>
        </w:rPr>
        <w:t>梳理</w:t>
      </w:r>
      <w:r>
        <w:rPr>
          <w:rFonts w:hint="eastAsia" w:ascii="仿宋_GB2312" w:eastAsia="仿宋_GB2312"/>
          <w:b/>
          <w:bCs/>
          <w:sz w:val="32"/>
          <w:szCs w:val="32"/>
          <w:u w:val="none"/>
        </w:rPr>
        <w:t>总结经验。</w:t>
      </w:r>
      <w:r>
        <w:rPr>
          <w:rFonts w:hint="eastAsia" w:ascii="仿宋_GB2312" w:eastAsia="仿宋_GB2312"/>
          <w:sz w:val="32"/>
          <w:szCs w:val="32"/>
          <w:u w:val="none"/>
        </w:rPr>
        <w:t>全面</w:t>
      </w:r>
      <w:r>
        <w:rPr>
          <w:rFonts w:hint="eastAsia" w:ascii="仿宋_GB2312" w:eastAsia="仿宋_GB2312"/>
          <w:sz w:val="32"/>
          <w:szCs w:val="32"/>
          <w:u w:val="none"/>
          <w:lang w:eastAsia="zh-CN"/>
        </w:rPr>
        <w:t>复盘</w:t>
      </w:r>
      <w:r>
        <w:rPr>
          <w:rFonts w:hint="eastAsia" w:ascii="仿宋_GB2312" w:eastAsia="仿宋_GB2312"/>
          <w:sz w:val="32"/>
          <w:szCs w:val="32"/>
          <w:u w:val="none"/>
        </w:rPr>
        <w:t>过</w:t>
      </w:r>
      <w:r>
        <w:rPr>
          <w:rFonts w:hint="eastAsia" w:ascii="仿宋_GB2312" w:eastAsia="仿宋_GB2312"/>
          <w:sz w:val="32"/>
          <w:szCs w:val="32"/>
          <w:u w:val="none"/>
          <w:lang w:eastAsia="zh-CN"/>
        </w:rPr>
        <w:t>去区内相关政策受理经验</w:t>
      </w:r>
      <w:r>
        <w:rPr>
          <w:rFonts w:hint="eastAsia" w:ascii="仿宋_GB2312" w:hAnsi="仿宋_GB2312" w:eastAsia="仿宋_GB2312" w:cs="仿宋_GB2312"/>
          <w:sz w:val="32"/>
          <w:szCs w:val="32"/>
          <w:u w:val="none"/>
        </w:rPr>
        <w:t>，对资助费用范围、申报条件、申报材料、审核流程等关键环节进行深入剖析</w:t>
      </w:r>
      <w:r>
        <w:rPr>
          <w:rFonts w:hint="eastAsia" w:ascii="仿宋_GB2312" w:hAnsi="仿宋_GB2312" w:eastAsia="仿宋_GB2312" w:cs="仿宋_GB2312"/>
          <w:sz w:val="32"/>
          <w:szCs w:val="32"/>
          <w:u w:val="none"/>
          <w:lang w:eastAsia="zh-CN"/>
        </w:rPr>
        <w:t>并</w:t>
      </w:r>
      <w:r>
        <w:rPr>
          <w:rFonts w:hint="eastAsia" w:ascii="仿宋_GB2312" w:hAnsi="仿宋_GB2312" w:eastAsia="仿宋_GB2312" w:cs="仿宋_GB2312"/>
          <w:sz w:val="32"/>
          <w:szCs w:val="32"/>
          <w:u w:val="none"/>
        </w:rPr>
        <w:t>总结经验。</w:t>
      </w:r>
    </w:p>
    <w:p>
      <w:pPr>
        <w:keepNext w:val="0"/>
        <w:keepLines w:val="0"/>
        <w:pageBreakBefore w:val="0"/>
        <w:widowControl w:val="0"/>
        <w:kinsoku/>
        <w:wordWrap/>
        <w:overflowPunct/>
        <w:topLinePunct w:val="0"/>
        <w:autoSpaceDE w:val="0"/>
        <w:autoSpaceDN/>
        <w:bidi w:val="0"/>
        <w:adjustRightInd/>
        <w:snapToGrid/>
        <w:spacing w:line="560" w:lineRule="exact"/>
        <w:ind w:firstLine="642" w:firstLineChars="200"/>
        <w:textAlignment w:val="auto"/>
        <w:rPr>
          <w:rFonts w:hint="eastAsia" w:ascii="仿宋_GB2312" w:eastAsia="仿宋_GB2312"/>
          <w:sz w:val="32"/>
          <w:szCs w:val="32"/>
        </w:rPr>
      </w:pPr>
      <w:r>
        <w:rPr>
          <w:rFonts w:hint="eastAsia" w:ascii="仿宋_GB2312" w:eastAsia="仿宋_GB2312"/>
          <w:b/>
          <w:bCs/>
          <w:sz w:val="32"/>
          <w:szCs w:val="32"/>
          <w:lang w:eastAsia="zh-CN"/>
        </w:rPr>
        <w:t>三</w:t>
      </w:r>
      <w:r>
        <w:rPr>
          <w:rFonts w:hint="eastAsia" w:ascii="仿宋_GB2312" w:eastAsia="仿宋_GB2312"/>
          <w:b/>
          <w:bCs/>
          <w:sz w:val="32"/>
          <w:szCs w:val="32"/>
        </w:rPr>
        <w:t>是起草</w:t>
      </w:r>
      <w:r>
        <w:rPr>
          <w:rFonts w:hint="eastAsia" w:ascii="仿宋_GB2312" w:eastAsia="仿宋_GB2312"/>
          <w:b/>
          <w:bCs/>
          <w:sz w:val="32"/>
          <w:szCs w:val="32"/>
          <w:lang w:eastAsia="zh-CN"/>
        </w:rPr>
        <w:t>规程</w:t>
      </w:r>
      <w:r>
        <w:rPr>
          <w:rFonts w:hint="eastAsia" w:ascii="仿宋_GB2312" w:eastAsia="仿宋_GB2312"/>
          <w:b/>
          <w:bCs/>
          <w:sz w:val="32"/>
          <w:szCs w:val="32"/>
        </w:rPr>
        <w:t>内容。</w:t>
      </w:r>
      <w:r>
        <w:rPr>
          <w:rFonts w:hint="eastAsia" w:ascii="仿宋_GB2312" w:eastAsia="仿宋_GB2312"/>
          <w:sz w:val="32"/>
          <w:szCs w:val="32"/>
          <w:lang w:eastAsia="zh-CN"/>
        </w:rPr>
        <w:t>会同区内相关部门共同</w:t>
      </w:r>
      <w:r>
        <w:rPr>
          <w:rFonts w:hint="eastAsia" w:ascii="仿宋_GB2312" w:eastAsia="仿宋_GB2312"/>
          <w:sz w:val="32"/>
          <w:szCs w:val="32"/>
        </w:rPr>
        <w:t>起草《操作规程》主要内容，</w:t>
      </w:r>
      <w:r>
        <w:rPr>
          <w:rFonts w:hint="eastAsia" w:ascii="仿宋_GB2312" w:eastAsia="仿宋_GB2312"/>
          <w:sz w:val="32"/>
          <w:szCs w:val="32"/>
          <w:lang w:eastAsia="zh-CN"/>
        </w:rPr>
        <w:t>明确资助对象、资助类型、资助标准、申报条件、受理单位、项目管理、监督检查、绩效评价</w:t>
      </w:r>
      <w:r>
        <w:rPr>
          <w:rFonts w:hint="eastAsia" w:ascii="仿宋_GB2312" w:eastAsia="仿宋_GB2312"/>
          <w:sz w:val="32"/>
          <w:szCs w:val="32"/>
        </w:rPr>
        <w:t>等关键内容，形成《操作规程</w:t>
      </w:r>
      <w:r>
        <w:rPr>
          <w:rFonts w:hint="eastAsia" w:ascii="仿宋_GB2312" w:eastAsia="仿宋_GB2312"/>
          <w:sz w:val="32"/>
          <w:szCs w:val="32"/>
          <w:lang w:eastAsia="zh-CN"/>
        </w:rPr>
        <w:t>（初稿）</w:t>
      </w:r>
      <w:r>
        <w:rPr>
          <w:rFonts w:hint="eastAsia" w:ascii="仿宋_GB2312" w:eastAsia="仿宋_GB2312"/>
          <w:sz w:val="32"/>
          <w:szCs w:val="32"/>
        </w:rPr>
        <w:t>》。</w:t>
      </w:r>
    </w:p>
    <w:p>
      <w:pPr>
        <w:keepNext w:val="0"/>
        <w:keepLines w:val="0"/>
        <w:pageBreakBefore w:val="0"/>
        <w:widowControl w:val="0"/>
        <w:kinsoku/>
        <w:wordWrap/>
        <w:overflowPunct/>
        <w:topLinePunct w:val="0"/>
        <w:autoSpaceDE w:val="0"/>
        <w:autoSpaceDN/>
        <w:bidi w:val="0"/>
        <w:adjustRightInd/>
        <w:snapToGrid/>
        <w:spacing w:line="560" w:lineRule="exact"/>
        <w:ind w:firstLine="642" w:firstLineChars="200"/>
        <w:textAlignment w:val="auto"/>
        <w:rPr>
          <w:rFonts w:hint="eastAsia" w:ascii="仿宋_GB2312" w:eastAsia="仿宋_GB2312"/>
          <w:sz w:val="32"/>
          <w:szCs w:val="32"/>
        </w:rPr>
      </w:pPr>
      <w:r>
        <w:rPr>
          <w:rFonts w:hint="eastAsia" w:ascii="仿宋_GB2312" w:eastAsia="仿宋_GB2312"/>
          <w:b/>
          <w:bCs/>
          <w:sz w:val="32"/>
          <w:szCs w:val="32"/>
          <w:lang w:eastAsia="zh-CN"/>
        </w:rPr>
        <w:t>四</w:t>
      </w:r>
      <w:r>
        <w:rPr>
          <w:rFonts w:hint="eastAsia" w:ascii="仿宋_GB2312" w:eastAsia="仿宋_GB2312"/>
          <w:b/>
          <w:bCs/>
          <w:sz w:val="32"/>
          <w:szCs w:val="32"/>
        </w:rPr>
        <w:t>是多次优化完善。</w:t>
      </w:r>
      <w:r>
        <w:rPr>
          <w:rFonts w:hint="eastAsia" w:ascii="仿宋_GB2312" w:eastAsia="仿宋_GB2312"/>
          <w:sz w:val="32"/>
          <w:szCs w:val="32"/>
        </w:rPr>
        <w:t>在</w:t>
      </w:r>
      <w:r>
        <w:rPr>
          <w:rFonts w:hint="eastAsia" w:ascii="仿宋_GB2312" w:eastAsia="仿宋_GB2312"/>
          <w:sz w:val="32"/>
          <w:szCs w:val="32"/>
          <w:lang w:eastAsia="zh-CN"/>
        </w:rPr>
        <w:t>文件</w:t>
      </w:r>
      <w:r>
        <w:rPr>
          <w:rFonts w:hint="eastAsia" w:ascii="仿宋_GB2312" w:eastAsia="仿宋_GB2312"/>
          <w:sz w:val="32"/>
          <w:szCs w:val="32"/>
        </w:rPr>
        <w:t>初稿的基础上，</w:t>
      </w:r>
      <w:r>
        <w:rPr>
          <w:rFonts w:hint="eastAsia" w:ascii="仿宋_GB2312" w:eastAsia="仿宋_GB2312"/>
          <w:sz w:val="32"/>
          <w:szCs w:val="32"/>
          <w:lang w:eastAsia="zh-CN"/>
        </w:rPr>
        <w:t>与区内</w:t>
      </w:r>
      <w:bookmarkStart w:id="0" w:name="_GoBack"/>
      <w:bookmarkEnd w:id="0"/>
      <w:r>
        <w:rPr>
          <w:rFonts w:hint="eastAsia" w:ascii="仿宋_GB2312" w:eastAsia="仿宋_GB2312"/>
          <w:sz w:val="32"/>
          <w:szCs w:val="32"/>
          <w:lang w:eastAsia="zh-CN"/>
        </w:rPr>
        <w:t>相关部门</w:t>
      </w:r>
      <w:r>
        <w:rPr>
          <w:rFonts w:hint="eastAsia" w:ascii="仿宋_GB2312" w:eastAsia="仿宋_GB2312"/>
          <w:sz w:val="32"/>
          <w:szCs w:val="32"/>
        </w:rPr>
        <w:t>多轮</w:t>
      </w:r>
      <w:r>
        <w:rPr>
          <w:rFonts w:hint="eastAsia" w:ascii="仿宋_GB2312" w:eastAsia="仿宋_GB2312"/>
          <w:sz w:val="32"/>
          <w:szCs w:val="32"/>
          <w:lang w:eastAsia="zh-CN"/>
        </w:rPr>
        <w:t>深入</w:t>
      </w:r>
      <w:r>
        <w:rPr>
          <w:rFonts w:hint="eastAsia" w:ascii="仿宋_GB2312" w:eastAsia="仿宋_GB2312"/>
          <w:sz w:val="32"/>
          <w:szCs w:val="32"/>
        </w:rPr>
        <w:t>讨论</w:t>
      </w:r>
      <w:r>
        <w:rPr>
          <w:rFonts w:hint="eastAsia" w:ascii="仿宋_GB2312" w:eastAsia="仿宋_GB2312"/>
          <w:sz w:val="32"/>
          <w:szCs w:val="32"/>
          <w:lang w:eastAsia="zh-CN"/>
        </w:rPr>
        <w:t>并形成</w:t>
      </w:r>
      <w:r>
        <w:rPr>
          <w:rFonts w:hint="eastAsia" w:ascii="仿宋_GB2312" w:eastAsia="仿宋_GB2312"/>
          <w:sz w:val="32"/>
          <w:szCs w:val="32"/>
        </w:rPr>
        <w:t>政策共性内容，</w:t>
      </w:r>
      <w:r>
        <w:rPr>
          <w:rFonts w:hint="eastAsia" w:ascii="仿宋_GB2312" w:eastAsia="仿宋_GB2312"/>
          <w:sz w:val="32"/>
          <w:szCs w:val="32"/>
          <w:lang w:eastAsia="zh-CN"/>
        </w:rPr>
        <w:t>同时进一步</w:t>
      </w:r>
      <w:r>
        <w:rPr>
          <w:rFonts w:hint="eastAsia" w:ascii="仿宋_GB2312" w:eastAsia="仿宋_GB2312"/>
          <w:sz w:val="32"/>
          <w:szCs w:val="32"/>
        </w:rPr>
        <w:t>优化专项条件设置，不断完善</w:t>
      </w:r>
      <w:r>
        <w:rPr>
          <w:rFonts w:hint="eastAsia" w:ascii="仿宋_GB2312" w:eastAsia="仿宋_GB2312"/>
          <w:sz w:val="32"/>
          <w:szCs w:val="32"/>
          <w:lang w:eastAsia="zh-CN"/>
        </w:rPr>
        <w:t>规程</w:t>
      </w:r>
      <w:r>
        <w:rPr>
          <w:rFonts w:hint="eastAsia" w:ascii="仿宋_GB2312" w:eastAsia="仿宋_GB2312"/>
          <w:sz w:val="32"/>
          <w:szCs w:val="32"/>
        </w:rPr>
        <w:t>内容，</w:t>
      </w:r>
      <w:r>
        <w:rPr>
          <w:rFonts w:hint="eastAsia" w:ascii="仿宋_GB2312" w:eastAsia="仿宋_GB2312"/>
          <w:sz w:val="32"/>
          <w:szCs w:val="32"/>
          <w:lang w:eastAsia="zh-CN"/>
        </w:rPr>
        <w:t>最终</w:t>
      </w:r>
      <w:r>
        <w:rPr>
          <w:rFonts w:hint="eastAsia" w:ascii="仿宋_GB2312" w:eastAsia="仿宋_GB2312"/>
          <w:sz w:val="32"/>
          <w:szCs w:val="32"/>
        </w:rPr>
        <w:t>形成《操作规程（征求意见稿）》。</w:t>
      </w:r>
    </w:p>
    <w:p>
      <w:pPr>
        <w:pStyle w:val="2"/>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黑体" w:hAnsi="黑体" w:eastAsia="黑体" w:cs="黑体"/>
          <w:b w:val="0"/>
          <w:bCs w:val="0"/>
          <w:i w:val="0"/>
          <w:strike w:val="0"/>
          <w:color w:val="auto"/>
          <w:sz w:val="32"/>
          <w:u w:val="none"/>
          <w:lang w:val="en-US" w:eastAsia="zh-CN"/>
        </w:rPr>
      </w:pPr>
      <w:r>
        <w:rPr>
          <w:rFonts w:hint="eastAsia" w:ascii="黑体" w:hAnsi="黑体" w:eastAsia="黑体" w:cs="黑体"/>
          <w:b w:val="0"/>
          <w:bCs w:val="0"/>
          <w:i w:val="0"/>
          <w:strike w:val="0"/>
          <w:color w:val="auto"/>
          <w:sz w:val="32"/>
          <w:u w:val="none"/>
          <w:lang w:val="en-US" w:eastAsia="zh-CN"/>
        </w:rPr>
        <w:t>三、起草原则</w:t>
      </w:r>
    </w:p>
    <w:p>
      <w:pPr>
        <w:keepNext w:val="0"/>
        <w:keepLines w:val="0"/>
        <w:pageBreakBefore w:val="0"/>
        <w:kinsoku/>
        <w:wordWrap/>
        <w:overflowPunct/>
        <w:topLinePunct w:val="0"/>
        <w:autoSpaceDE w:val="0"/>
        <w:autoSpaceDN/>
        <w:bidi w:val="0"/>
        <w:adjustRightInd/>
        <w:spacing w:line="560" w:lineRule="exact"/>
        <w:ind w:firstLine="642" w:firstLineChars="200"/>
        <w:textAlignment w:val="auto"/>
        <w:rPr>
          <w:rFonts w:hint="eastAsia" w:ascii="仿宋_GB2312" w:eastAsia="仿宋_GB2312"/>
          <w:sz w:val="32"/>
          <w:szCs w:val="32"/>
        </w:rPr>
      </w:pPr>
      <w:r>
        <w:rPr>
          <w:rFonts w:hint="eastAsia" w:ascii="仿宋_GB2312" w:eastAsia="仿宋_GB2312"/>
          <w:b/>
          <w:bCs/>
          <w:sz w:val="32"/>
          <w:szCs w:val="32"/>
        </w:rPr>
        <w:t>一是依法依规。</w:t>
      </w:r>
      <w:r>
        <w:rPr>
          <w:rFonts w:hint="eastAsia" w:ascii="仿宋_GB2312" w:eastAsia="仿宋_GB2312"/>
          <w:sz w:val="32"/>
          <w:szCs w:val="32"/>
        </w:rPr>
        <w:t>《操作规程》制定严格按照</w:t>
      </w:r>
      <w:r>
        <w:rPr>
          <w:rFonts w:hint="eastAsia" w:ascii="仿宋_GB2312" w:hAnsi="仿宋_GB2312" w:eastAsia="仿宋_GB2312" w:cs="仿宋_GB2312"/>
          <w:i w:val="0"/>
          <w:strike w:val="0"/>
          <w:color w:val="auto"/>
          <w:sz w:val="32"/>
          <w:u w:val="none"/>
          <w:lang w:val="en-US" w:eastAsia="zh-CN"/>
        </w:rPr>
        <w:t>《若干措施》</w:t>
      </w:r>
      <w:r>
        <w:rPr>
          <w:rFonts w:hint="eastAsia" w:ascii="仿宋_GB2312" w:eastAsia="仿宋_GB2312"/>
          <w:sz w:val="32"/>
          <w:szCs w:val="32"/>
        </w:rPr>
        <w:t>的政策框架，确保符合国家、省</w:t>
      </w:r>
      <w:r>
        <w:rPr>
          <w:rFonts w:hint="eastAsia" w:ascii="仿宋_GB2312" w:eastAsia="仿宋_GB2312"/>
          <w:sz w:val="32"/>
          <w:szCs w:val="32"/>
          <w:lang w:eastAsia="zh-CN"/>
        </w:rPr>
        <w:t>、</w:t>
      </w:r>
      <w:r>
        <w:rPr>
          <w:rFonts w:hint="eastAsia" w:ascii="仿宋_GB2312" w:eastAsia="仿宋_GB2312"/>
          <w:sz w:val="32"/>
          <w:szCs w:val="32"/>
        </w:rPr>
        <w:t>市有关法律规章要求。</w:t>
      </w:r>
    </w:p>
    <w:p>
      <w:pPr>
        <w:pStyle w:val="9"/>
        <w:keepNext w:val="0"/>
        <w:keepLines w:val="0"/>
        <w:pageBreakBefore w:val="0"/>
        <w:kinsoku/>
        <w:wordWrap/>
        <w:overflowPunct/>
        <w:topLinePunct w:val="0"/>
        <w:autoSpaceDN/>
        <w:bidi w:val="0"/>
        <w:adjustRightInd/>
        <w:spacing w:line="560" w:lineRule="exact"/>
        <w:ind w:firstLine="643"/>
        <w:textAlignment w:val="auto"/>
        <w:rPr>
          <w:rFonts w:hint="eastAsia" w:ascii="仿宋_GB2312"/>
          <w:b/>
          <w:bCs/>
          <w:sz w:val="32"/>
          <w:szCs w:val="32"/>
        </w:rPr>
      </w:pPr>
      <w:r>
        <w:rPr>
          <w:rFonts w:hint="eastAsia" w:ascii="仿宋_GB2312"/>
          <w:b/>
          <w:bCs/>
          <w:sz w:val="32"/>
          <w:szCs w:val="32"/>
          <w:lang w:val="en-US" w:eastAsia="zh-CN"/>
        </w:rPr>
        <w:t>二</w:t>
      </w:r>
      <w:r>
        <w:rPr>
          <w:rFonts w:hint="eastAsia" w:ascii="仿宋_GB2312"/>
          <w:b/>
          <w:bCs/>
          <w:sz w:val="32"/>
          <w:szCs w:val="32"/>
        </w:rPr>
        <w:t>是清晰明确。</w:t>
      </w:r>
      <w:r>
        <w:rPr>
          <w:rFonts w:hint="eastAsia" w:ascii="仿宋_GB2312"/>
          <w:sz w:val="32"/>
          <w:szCs w:val="32"/>
        </w:rPr>
        <w:t>《操作规程》在</w:t>
      </w:r>
      <w:r>
        <w:rPr>
          <w:rFonts w:hint="eastAsia" w:ascii="仿宋_GB2312"/>
          <w:sz w:val="32"/>
          <w:szCs w:val="32"/>
          <w:lang w:eastAsia="zh-CN"/>
        </w:rPr>
        <w:t>支持对象、支持方式、支持标准、申报条件、审核及申报程序等</w:t>
      </w:r>
      <w:r>
        <w:rPr>
          <w:rFonts w:hint="eastAsia" w:ascii="仿宋_GB2312"/>
          <w:sz w:val="32"/>
          <w:szCs w:val="32"/>
        </w:rPr>
        <w:t>制定上力求清晰明确，着力构建从资助项目受理到下达资助计划全过程环环相扣、无缝链接的闭环式管理体系，确保</w:t>
      </w:r>
      <w:r>
        <w:rPr>
          <w:rFonts w:hint="eastAsia" w:ascii="仿宋_GB2312"/>
          <w:sz w:val="32"/>
          <w:szCs w:val="32"/>
          <w:lang w:eastAsia="zh-CN"/>
        </w:rPr>
        <w:t>申请单位可</w:t>
      </w:r>
      <w:r>
        <w:rPr>
          <w:rFonts w:hint="eastAsia" w:ascii="仿宋_GB2312"/>
          <w:sz w:val="32"/>
          <w:szCs w:val="32"/>
        </w:rPr>
        <w:t>明晰审核流程、正确理解条款</w:t>
      </w:r>
      <w:r>
        <w:rPr>
          <w:rFonts w:hint="eastAsia" w:ascii="仿宋_GB2312"/>
          <w:sz w:val="32"/>
          <w:szCs w:val="32"/>
          <w:lang w:eastAsia="zh-CN"/>
        </w:rPr>
        <w:t>内容</w:t>
      </w:r>
      <w:r>
        <w:rPr>
          <w:rFonts w:hint="eastAsia" w:ascii="仿宋_GB2312"/>
          <w:sz w:val="32"/>
          <w:szCs w:val="32"/>
        </w:rPr>
        <w:t>。</w:t>
      </w:r>
    </w:p>
    <w:p>
      <w:pPr>
        <w:keepNext w:val="0"/>
        <w:keepLines w:val="0"/>
        <w:pageBreakBefore w:val="0"/>
        <w:kinsoku/>
        <w:wordWrap/>
        <w:overflowPunct/>
        <w:topLinePunct w:val="0"/>
        <w:autoSpaceDE w:val="0"/>
        <w:autoSpaceDN/>
        <w:bidi w:val="0"/>
        <w:adjustRightInd/>
        <w:spacing w:line="560" w:lineRule="exact"/>
        <w:ind w:left="640"/>
        <w:textAlignment w:val="auto"/>
        <w:rPr>
          <w:rFonts w:hint="eastAsia" w:ascii="黑体" w:hAnsi="黑体" w:eastAsia="黑体"/>
          <w:sz w:val="32"/>
          <w:szCs w:val="32"/>
        </w:rPr>
      </w:pPr>
      <w:r>
        <w:rPr>
          <w:rFonts w:hint="eastAsia" w:ascii="黑体" w:hAnsi="黑体" w:eastAsia="黑体"/>
          <w:sz w:val="32"/>
          <w:szCs w:val="32"/>
        </w:rPr>
        <w:t>四、主要内容</w:t>
      </w:r>
    </w:p>
    <w:p>
      <w:pPr>
        <w:keepNext w:val="0"/>
        <w:keepLines w:val="0"/>
        <w:pageBreakBefore w:val="0"/>
        <w:kinsoku/>
        <w:wordWrap/>
        <w:overflowPunct/>
        <w:topLinePunct w:val="0"/>
        <w:autoSpaceDE w:val="0"/>
        <w:autoSpaceDN/>
        <w:bidi w:val="0"/>
        <w:adjustRightInd/>
        <w:spacing w:line="560" w:lineRule="exact"/>
        <w:ind w:firstLine="642" w:firstLineChars="200"/>
        <w:textAlignment w:val="auto"/>
        <w:rPr>
          <w:rFonts w:hint="eastAsia" w:ascii="楷体_GB2312" w:eastAsia="楷体_GB2312"/>
          <w:b/>
          <w:bCs/>
          <w:sz w:val="32"/>
          <w:szCs w:val="32"/>
        </w:rPr>
      </w:pPr>
      <w:r>
        <w:rPr>
          <w:rFonts w:hint="eastAsia" w:ascii="仿宋_GB2312" w:eastAsia="仿宋_GB2312"/>
          <w:b/>
          <w:bCs/>
          <w:sz w:val="32"/>
          <w:szCs w:val="32"/>
        </w:rPr>
        <w:t>本《操作规程》共</w:t>
      </w:r>
      <w:r>
        <w:rPr>
          <w:rFonts w:hint="eastAsia" w:ascii="仿宋_GB2312" w:eastAsia="仿宋_GB2312"/>
          <w:b/>
          <w:bCs/>
          <w:sz w:val="32"/>
          <w:szCs w:val="32"/>
          <w:lang w:val="en-US" w:eastAsia="zh-CN"/>
        </w:rPr>
        <w:t>七</w:t>
      </w:r>
      <w:r>
        <w:rPr>
          <w:rFonts w:hint="eastAsia" w:ascii="仿宋_GB2312" w:eastAsia="仿宋_GB2312"/>
          <w:b/>
          <w:bCs/>
          <w:sz w:val="32"/>
          <w:szCs w:val="32"/>
        </w:rPr>
        <w:t>章</w:t>
      </w:r>
      <w:r>
        <w:rPr>
          <w:rFonts w:hint="eastAsia" w:ascii="仿宋_GB2312" w:eastAsia="仿宋_GB2312"/>
          <w:b/>
          <w:bCs/>
          <w:sz w:val="32"/>
          <w:szCs w:val="32"/>
          <w:lang w:val="en-US" w:eastAsia="zh-CN"/>
        </w:rPr>
        <w:t>三十七</w:t>
      </w:r>
      <w:r>
        <w:rPr>
          <w:rFonts w:hint="eastAsia" w:ascii="仿宋_GB2312" w:eastAsia="仿宋_GB2312"/>
          <w:b/>
          <w:bCs/>
          <w:sz w:val="32"/>
          <w:szCs w:val="32"/>
          <w:lang w:eastAsia="zh-CN"/>
        </w:rPr>
        <w:t>条</w:t>
      </w:r>
      <w:r>
        <w:rPr>
          <w:rFonts w:hint="eastAsia" w:ascii="仿宋_GB2312" w:eastAsia="仿宋_GB2312"/>
          <w:b/>
          <w:bCs/>
          <w:sz w:val="32"/>
          <w:szCs w:val="32"/>
        </w:rPr>
        <w:t>。</w:t>
      </w:r>
    </w:p>
    <w:p>
      <w:pPr>
        <w:keepNext w:val="0"/>
        <w:keepLines w:val="0"/>
        <w:pageBreakBefore w:val="0"/>
        <w:kinsoku/>
        <w:wordWrap/>
        <w:overflowPunct/>
        <w:topLinePunct w:val="0"/>
        <w:autoSpaceDE w:val="0"/>
        <w:autoSpaceDN/>
        <w:bidi w:val="0"/>
        <w:adjustRightInd/>
        <w:spacing w:line="560" w:lineRule="exact"/>
        <w:ind w:firstLine="642" w:firstLineChars="200"/>
        <w:textAlignment w:val="auto"/>
        <w:rPr>
          <w:rFonts w:hint="eastAsia" w:ascii="楷体_GB2312" w:eastAsia="楷体_GB2312"/>
          <w:b/>
          <w:bCs/>
          <w:sz w:val="32"/>
          <w:szCs w:val="32"/>
        </w:rPr>
      </w:pPr>
      <w:r>
        <w:rPr>
          <w:rFonts w:hint="eastAsia" w:ascii="楷体_GB2312" w:eastAsia="楷体_GB2312"/>
          <w:b/>
          <w:bCs/>
          <w:sz w:val="32"/>
          <w:szCs w:val="32"/>
        </w:rPr>
        <w:t xml:space="preserve">第一章 </w:t>
      </w:r>
      <w:r>
        <w:rPr>
          <w:rFonts w:hint="eastAsia" w:ascii="楷体_GB2312" w:eastAsia="楷体_GB2312"/>
          <w:b/>
          <w:bCs/>
          <w:sz w:val="32"/>
          <w:szCs w:val="32"/>
          <w:lang w:val="en-US" w:eastAsia="zh-CN"/>
        </w:rPr>
        <w:t xml:space="preserve"> </w:t>
      </w:r>
      <w:r>
        <w:rPr>
          <w:rFonts w:hint="eastAsia" w:ascii="楷体_GB2312" w:eastAsia="楷体_GB2312"/>
          <w:b/>
          <w:bCs/>
          <w:sz w:val="32"/>
          <w:szCs w:val="32"/>
        </w:rPr>
        <w:t>总则</w:t>
      </w:r>
      <w:r>
        <w:rPr>
          <w:rFonts w:hint="eastAsia" w:ascii="楷体" w:hAnsi="楷体" w:eastAsia="楷体"/>
          <w:sz w:val="32"/>
          <w:szCs w:val="32"/>
        </w:rPr>
        <w:t>，</w:t>
      </w:r>
      <w:r>
        <w:rPr>
          <w:rFonts w:hint="eastAsia" w:ascii="仿宋_GB2312" w:eastAsia="仿宋_GB2312"/>
          <w:sz w:val="32"/>
          <w:szCs w:val="32"/>
        </w:rPr>
        <w:t>共</w:t>
      </w:r>
      <w:r>
        <w:rPr>
          <w:rFonts w:hint="eastAsia" w:ascii="仿宋_GB2312" w:eastAsia="仿宋_GB2312"/>
          <w:sz w:val="32"/>
          <w:szCs w:val="32"/>
          <w:lang w:eastAsia="zh-CN"/>
        </w:rPr>
        <w:t>五</w:t>
      </w:r>
      <w:r>
        <w:rPr>
          <w:rFonts w:hint="eastAsia" w:ascii="仿宋_GB2312" w:eastAsia="仿宋_GB2312"/>
          <w:sz w:val="32"/>
          <w:szCs w:val="32"/>
        </w:rPr>
        <w:t>条。主要对《操作规程》所涉政策依据、</w:t>
      </w:r>
      <w:r>
        <w:rPr>
          <w:rFonts w:hint="eastAsia" w:ascii="仿宋_GB2312" w:eastAsia="仿宋_GB2312"/>
          <w:sz w:val="32"/>
          <w:szCs w:val="32"/>
          <w:lang w:eastAsia="zh-CN"/>
        </w:rPr>
        <w:t>资金来源、</w:t>
      </w:r>
      <w:r>
        <w:rPr>
          <w:rFonts w:hint="eastAsia" w:ascii="仿宋_GB2312" w:eastAsia="仿宋_GB2312"/>
          <w:sz w:val="32"/>
          <w:szCs w:val="32"/>
        </w:rPr>
        <w:t>适用范围、实施原则、资助</w:t>
      </w:r>
      <w:r>
        <w:rPr>
          <w:rFonts w:hint="eastAsia" w:ascii="仿宋_GB2312" w:eastAsia="仿宋_GB2312"/>
          <w:sz w:val="32"/>
          <w:szCs w:val="32"/>
          <w:lang w:eastAsia="zh-CN"/>
        </w:rPr>
        <w:t>方式</w:t>
      </w:r>
      <w:r>
        <w:rPr>
          <w:rFonts w:hint="eastAsia" w:ascii="仿宋_GB2312" w:eastAsia="仿宋_GB2312"/>
          <w:sz w:val="32"/>
          <w:szCs w:val="32"/>
        </w:rPr>
        <w:t>等</w:t>
      </w:r>
      <w:r>
        <w:rPr>
          <w:rFonts w:hint="eastAsia" w:ascii="仿宋_GB2312" w:eastAsia="仿宋_GB2312"/>
          <w:sz w:val="32"/>
          <w:szCs w:val="32"/>
          <w:lang w:eastAsia="zh-CN"/>
        </w:rPr>
        <w:t>具体</w:t>
      </w:r>
      <w:r>
        <w:rPr>
          <w:rFonts w:hint="eastAsia" w:ascii="仿宋_GB2312" w:eastAsia="仿宋_GB2312"/>
          <w:sz w:val="32"/>
          <w:szCs w:val="32"/>
        </w:rPr>
        <w:t>事项作出释义和界定。</w:t>
      </w:r>
    </w:p>
    <w:p>
      <w:pPr>
        <w:keepNext w:val="0"/>
        <w:keepLines w:val="0"/>
        <w:pageBreakBefore w:val="0"/>
        <w:kinsoku/>
        <w:wordWrap/>
        <w:overflowPunct/>
        <w:topLinePunct w:val="0"/>
        <w:autoSpaceDE w:val="0"/>
        <w:autoSpaceDN/>
        <w:bidi w:val="0"/>
        <w:adjustRightInd/>
        <w:spacing w:line="560" w:lineRule="exact"/>
        <w:ind w:firstLine="642" w:firstLineChars="200"/>
        <w:textAlignment w:val="auto"/>
        <w:rPr>
          <w:rFonts w:hint="eastAsia" w:ascii="仿宋_GB2312" w:eastAsia="仿宋_GB2312"/>
          <w:sz w:val="32"/>
          <w:szCs w:val="32"/>
        </w:rPr>
      </w:pPr>
      <w:r>
        <w:rPr>
          <w:rFonts w:hint="eastAsia" w:ascii="楷体_GB2312" w:eastAsia="楷体_GB2312"/>
          <w:b/>
          <w:bCs/>
          <w:sz w:val="32"/>
          <w:szCs w:val="32"/>
        </w:rPr>
        <w:t>第</w:t>
      </w:r>
      <w:r>
        <w:rPr>
          <w:rFonts w:hint="eastAsia" w:ascii="楷体_GB2312" w:eastAsia="楷体_GB2312"/>
          <w:b/>
          <w:bCs/>
          <w:sz w:val="32"/>
          <w:szCs w:val="32"/>
          <w:lang w:eastAsia="zh-CN"/>
        </w:rPr>
        <w:t>二</w:t>
      </w:r>
      <w:r>
        <w:rPr>
          <w:rFonts w:hint="eastAsia" w:ascii="楷体_GB2312" w:eastAsia="楷体_GB2312"/>
          <w:b/>
          <w:bCs/>
          <w:sz w:val="32"/>
          <w:szCs w:val="32"/>
        </w:rPr>
        <w:t xml:space="preserve">章 </w:t>
      </w:r>
      <w:r>
        <w:rPr>
          <w:rFonts w:hint="eastAsia" w:ascii="楷体_GB2312" w:eastAsia="楷体_GB2312"/>
          <w:b/>
          <w:bCs/>
          <w:sz w:val="32"/>
          <w:szCs w:val="32"/>
          <w:lang w:val="en-US" w:eastAsia="zh-CN"/>
        </w:rPr>
        <w:t xml:space="preserve"> </w:t>
      </w:r>
      <w:r>
        <w:rPr>
          <w:rFonts w:hint="eastAsia" w:ascii="楷体_GB2312" w:eastAsia="楷体_GB2312"/>
          <w:b/>
          <w:bCs/>
          <w:sz w:val="32"/>
          <w:szCs w:val="32"/>
        </w:rPr>
        <w:t>支持对象、方式、标准、项目申报条件和受理单位</w:t>
      </w:r>
      <w:r>
        <w:rPr>
          <w:rFonts w:hint="eastAsia" w:ascii="楷体_GB2312" w:eastAsia="楷体_GB2312"/>
          <w:b/>
          <w:bCs/>
          <w:sz w:val="32"/>
          <w:szCs w:val="32"/>
          <w:lang w:eastAsia="zh-CN"/>
        </w:rPr>
        <w:t>，</w:t>
      </w:r>
      <w:r>
        <w:rPr>
          <w:rFonts w:hint="eastAsia" w:ascii="仿宋_GB2312" w:eastAsia="仿宋_GB2312"/>
          <w:sz w:val="32"/>
          <w:szCs w:val="32"/>
        </w:rPr>
        <w:t>共</w:t>
      </w:r>
      <w:r>
        <w:rPr>
          <w:rFonts w:hint="eastAsia" w:ascii="仿宋_GB2312" w:eastAsia="仿宋_GB2312"/>
          <w:sz w:val="32"/>
          <w:szCs w:val="32"/>
          <w:lang w:eastAsia="zh-CN"/>
        </w:rPr>
        <w:t>二十</w:t>
      </w:r>
      <w:r>
        <w:rPr>
          <w:rFonts w:hint="eastAsia" w:ascii="仿宋_GB2312" w:eastAsia="仿宋_GB2312"/>
          <w:sz w:val="32"/>
          <w:szCs w:val="32"/>
        </w:rPr>
        <w:t>条</w:t>
      </w:r>
      <w:r>
        <w:rPr>
          <w:rFonts w:hint="eastAsia" w:ascii="仿宋_GB2312" w:eastAsia="仿宋_GB2312"/>
          <w:sz w:val="32"/>
          <w:szCs w:val="32"/>
          <w:lang w:eastAsia="zh-CN"/>
        </w:rPr>
        <w:t>。重点是对资助项目的支持对象、方式、标准、项目申报条件和受理单位</w:t>
      </w:r>
      <w:r>
        <w:rPr>
          <w:rFonts w:hint="eastAsia" w:ascii="仿宋_GB2312" w:eastAsia="仿宋_GB2312"/>
          <w:sz w:val="32"/>
          <w:szCs w:val="32"/>
        </w:rPr>
        <w:t>作出具体规定。</w:t>
      </w:r>
    </w:p>
    <w:p>
      <w:pPr>
        <w:keepNext w:val="0"/>
        <w:keepLines w:val="0"/>
        <w:pageBreakBefore w:val="0"/>
        <w:kinsoku/>
        <w:wordWrap/>
        <w:overflowPunct/>
        <w:topLinePunct w:val="0"/>
        <w:autoSpaceDE w:val="0"/>
        <w:autoSpaceDN/>
        <w:bidi w:val="0"/>
        <w:adjustRightInd/>
        <w:spacing w:line="560" w:lineRule="exact"/>
        <w:ind w:firstLine="642" w:firstLineChars="200"/>
        <w:textAlignment w:val="auto"/>
        <w:rPr>
          <w:rFonts w:hint="eastAsia" w:ascii="楷体_GB2312" w:eastAsia="楷体_GB2312"/>
          <w:b/>
          <w:bCs/>
          <w:sz w:val="32"/>
          <w:szCs w:val="32"/>
        </w:rPr>
      </w:pPr>
      <w:r>
        <w:rPr>
          <w:rFonts w:hint="eastAsia" w:ascii="楷体_GB2312" w:eastAsia="楷体_GB2312"/>
          <w:b/>
          <w:bCs/>
          <w:sz w:val="32"/>
          <w:szCs w:val="32"/>
        </w:rPr>
        <w:t>第</w:t>
      </w:r>
      <w:r>
        <w:rPr>
          <w:rFonts w:hint="eastAsia" w:ascii="楷体_GB2312" w:eastAsia="楷体_GB2312"/>
          <w:b/>
          <w:bCs/>
          <w:sz w:val="32"/>
          <w:szCs w:val="32"/>
          <w:lang w:eastAsia="zh-CN"/>
        </w:rPr>
        <w:t>三</w:t>
      </w:r>
      <w:r>
        <w:rPr>
          <w:rFonts w:hint="eastAsia" w:ascii="楷体_GB2312" w:eastAsia="楷体_GB2312"/>
          <w:b/>
          <w:bCs/>
          <w:sz w:val="32"/>
          <w:szCs w:val="32"/>
        </w:rPr>
        <w:t xml:space="preserve">章 </w:t>
      </w:r>
      <w:r>
        <w:rPr>
          <w:rFonts w:hint="eastAsia" w:ascii="楷体_GB2312" w:eastAsia="楷体_GB2312"/>
          <w:b/>
          <w:bCs/>
          <w:sz w:val="32"/>
          <w:szCs w:val="32"/>
          <w:lang w:val="en-US" w:eastAsia="zh-CN"/>
        </w:rPr>
        <w:t xml:space="preserve"> </w:t>
      </w:r>
      <w:r>
        <w:rPr>
          <w:rFonts w:hint="eastAsia" w:ascii="楷体_GB2312" w:eastAsia="楷体_GB2312"/>
          <w:b/>
          <w:bCs/>
          <w:sz w:val="32"/>
          <w:szCs w:val="32"/>
        </w:rPr>
        <w:t>项目申报</w:t>
      </w:r>
      <w:r>
        <w:rPr>
          <w:rFonts w:hint="eastAsia" w:ascii="楷体_GB2312" w:eastAsia="楷体_GB2312"/>
          <w:b/>
          <w:bCs/>
          <w:sz w:val="32"/>
          <w:szCs w:val="32"/>
          <w:lang w:eastAsia="zh-CN"/>
        </w:rPr>
        <w:t>，</w:t>
      </w:r>
      <w:r>
        <w:rPr>
          <w:rFonts w:hint="eastAsia" w:ascii="仿宋_GB2312" w:eastAsia="仿宋_GB2312"/>
          <w:sz w:val="32"/>
          <w:szCs w:val="32"/>
          <w:lang w:eastAsia="zh-CN"/>
        </w:rPr>
        <w:t>共</w:t>
      </w:r>
      <w:r>
        <w:rPr>
          <w:rFonts w:hint="eastAsia" w:ascii="仿宋_GB2312" w:eastAsia="仿宋_GB2312"/>
          <w:sz w:val="32"/>
          <w:szCs w:val="32"/>
          <w:lang w:val="en-US" w:eastAsia="zh-CN"/>
        </w:rPr>
        <w:t>二</w:t>
      </w:r>
      <w:r>
        <w:rPr>
          <w:rFonts w:hint="eastAsia" w:ascii="仿宋_GB2312" w:eastAsia="仿宋_GB2312"/>
          <w:sz w:val="32"/>
          <w:szCs w:val="32"/>
          <w:lang w:eastAsia="zh-CN"/>
        </w:rPr>
        <w:t>条。重点是对项目申报及申报要求做出明确具体规定。</w:t>
      </w:r>
    </w:p>
    <w:p>
      <w:pPr>
        <w:keepNext w:val="0"/>
        <w:keepLines w:val="0"/>
        <w:pageBreakBefore w:val="0"/>
        <w:kinsoku/>
        <w:wordWrap/>
        <w:overflowPunct/>
        <w:topLinePunct w:val="0"/>
        <w:autoSpaceDE w:val="0"/>
        <w:autoSpaceDN/>
        <w:bidi w:val="0"/>
        <w:adjustRightInd/>
        <w:spacing w:line="560" w:lineRule="exact"/>
        <w:ind w:firstLine="642" w:firstLineChars="200"/>
        <w:textAlignment w:val="auto"/>
        <w:rPr>
          <w:rFonts w:hint="eastAsia" w:ascii="仿宋_GB2312" w:eastAsia="仿宋_GB2312"/>
          <w:sz w:val="32"/>
          <w:szCs w:val="32"/>
          <w:u w:val="none"/>
        </w:rPr>
      </w:pPr>
      <w:r>
        <w:rPr>
          <w:rFonts w:hint="eastAsia" w:ascii="楷体_GB2312" w:eastAsia="楷体_GB2312"/>
          <w:b/>
          <w:bCs/>
          <w:sz w:val="32"/>
          <w:szCs w:val="32"/>
          <w:u w:val="none"/>
        </w:rPr>
        <w:t>第</w:t>
      </w:r>
      <w:r>
        <w:rPr>
          <w:rFonts w:hint="eastAsia" w:ascii="楷体_GB2312" w:eastAsia="楷体_GB2312"/>
          <w:b/>
          <w:bCs/>
          <w:sz w:val="32"/>
          <w:szCs w:val="32"/>
          <w:u w:val="none"/>
          <w:lang w:eastAsia="zh-CN"/>
        </w:rPr>
        <w:t>四</w:t>
      </w:r>
      <w:r>
        <w:rPr>
          <w:rFonts w:hint="eastAsia" w:ascii="楷体_GB2312" w:eastAsia="楷体_GB2312"/>
          <w:b/>
          <w:bCs/>
          <w:sz w:val="32"/>
          <w:szCs w:val="32"/>
          <w:u w:val="none"/>
        </w:rPr>
        <w:t xml:space="preserve">章 </w:t>
      </w:r>
      <w:r>
        <w:rPr>
          <w:rFonts w:hint="eastAsia" w:ascii="楷体_GB2312" w:eastAsia="楷体_GB2312"/>
          <w:b/>
          <w:bCs/>
          <w:sz w:val="32"/>
          <w:szCs w:val="32"/>
          <w:u w:val="none"/>
          <w:lang w:val="en-US" w:eastAsia="zh-CN"/>
        </w:rPr>
        <w:t xml:space="preserve"> </w:t>
      </w:r>
      <w:r>
        <w:rPr>
          <w:rFonts w:hint="eastAsia" w:ascii="楷体_GB2312" w:eastAsia="楷体_GB2312"/>
          <w:b/>
          <w:bCs/>
          <w:sz w:val="32"/>
          <w:szCs w:val="32"/>
          <w:u w:val="none"/>
        </w:rPr>
        <w:t>项目审核</w:t>
      </w:r>
      <w:r>
        <w:rPr>
          <w:rFonts w:hint="eastAsia" w:ascii="仿宋_GB2312" w:eastAsia="仿宋_GB2312"/>
          <w:sz w:val="32"/>
          <w:szCs w:val="32"/>
          <w:u w:val="none"/>
        </w:rPr>
        <w:t>，共</w:t>
      </w:r>
      <w:r>
        <w:rPr>
          <w:rFonts w:hint="eastAsia" w:ascii="仿宋_GB2312" w:eastAsia="仿宋_GB2312"/>
          <w:sz w:val="32"/>
          <w:szCs w:val="32"/>
          <w:u w:val="none"/>
          <w:lang w:val="en-US" w:eastAsia="zh-CN"/>
        </w:rPr>
        <w:t>两</w:t>
      </w:r>
      <w:r>
        <w:rPr>
          <w:rFonts w:hint="eastAsia" w:ascii="仿宋_GB2312" w:eastAsia="仿宋_GB2312"/>
          <w:sz w:val="32"/>
          <w:szCs w:val="32"/>
          <w:u w:val="none"/>
        </w:rPr>
        <w:t>条。重点是对项目的审核程序做出</w:t>
      </w:r>
      <w:r>
        <w:rPr>
          <w:rFonts w:hint="eastAsia" w:ascii="仿宋_GB2312" w:eastAsia="仿宋_GB2312"/>
          <w:sz w:val="32"/>
          <w:szCs w:val="32"/>
          <w:u w:val="none"/>
          <w:lang w:eastAsia="zh-CN"/>
        </w:rPr>
        <w:t>明确具体</w:t>
      </w:r>
      <w:r>
        <w:rPr>
          <w:rFonts w:hint="eastAsia" w:ascii="仿宋_GB2312" w:eastAsia="仿宋_GB2312"/>
          <w:sz w:val="32"/>
          <w:szCs w:val="32"/>
          <w:u w:val="none"/>
        </w:rPr>
        <w:t>规定</w:t>
      </w:r>
      <w:r>
        <w:rPr>
          <w:rFonts w:hint="eastAsia" w:ascii="仿宋_GB2312" w:hAnsi="宋体" w:eastAsia="仿宋_GB2312"/>
          <w:sz w:val="32"/>
          <w:szCs w:val="32"/>
          <w:u w:val="none"/>
        </w:rPr>
        <w:t>。</w:t>
      </w:r>
    </w:p>
    <w:p>
      <w:pPr>
        <w:keepNext w:val="0"/>
        <w:keepLines w:val="0"/>
        <w:pageBreakBefore w:val="0"/>
        <w:kinsoku/>
        <w:wordWrap/>
        <w:overflowPunct/>
        <w:topLinePunct w:val="0"/>
        <w:autoSpaceDE w:val="0"/>
        <w:autoSpaceDN/>
        <w:bidi w:val="0"/>
        <w:adjustRightInd/>
        <w:spacing w:line="560" w:lineRule="exact"/>
        <w:ind w:firstLine="642" w:firstLineChars="200"/>
        <w:textAlignment w:val="auto"/>
        <w:rPr>
          <w:rFonts w:hint="eastAsia" w:ascii="仿宋_GB2312" w:eastAsia="仿宋_GB2312"/>
          <w:sz w:val="32"/>
          <w:szCs w:val="32"/>
          <w:lang w:eastAsia="zh-CN"/>
        </w:rPr>
      </w:pPr>
      <w:r>
        <w:rPr>
          <w:rFonts w:hint="eastAsia" w:ascii="楷体_GB2312" w:eastAsia="楷体_GB2312"/>
          <w:b/>
          <w:bCs/>
          <w:sz w:val="32"/>
          <w:szCs w:val="32"/>
        </w:rPr>
        <w:t>第</w:t>
      </w:r>
      <w:r>
        <w:rPr>
          <w:rFonts w:hint="eastAsia" w:ascii="楷体_GB2312" w:eastAsia="楷体_GB2312"/>
          <w:b/>
          <w:bCs/>
          <w:sz w:val="32"/>
          <w:szCs w:val="32"/>
          <w:lang w:eastAsia="zh-CN"/>
        </w:rPr>
        <w:t>五</w:t>
      </w:r>
      <w:r>
        <w:rPr>
          <w:rFonts w:hint="eastAsia" w:ascii="楷体_GB2312" w:eastAsia="楷体_GB2312"/>
          <w:b/>
          <w:bCs/>
          <w:sz w:val="32"/>
          <w:szCs w:val="32"/>
        </w:rPr>
        <w:t>章 项目管理和绩效评价</w:t>
      </w:r>
      <w:r>
        <w:rPr>
          <w:rFonts w:hint="eastAsia" w:ascii="楷体" w:hAnsi="楷体" w:eastAsia="楷体"/>
          <w:sz w:val="32"/>
          <w:szCs w:val="32"/>
        </w:rPr>
        <w:t>，</w:t>
      </w:r>
      <w:r>
        <w:rPr>
          <w:rFonts w:hint="eastAsia" w:ascii="仿宋_GB2312" w:eastAsia="仿宋_GB2312"/>
          <w:sz w:val="32"/>
          <w:szCs w:val="32"/>
        </w:rPr>
        <w:t>共</w:t>
      </w:r>
      <w:r>
        <w:rPr>
          <w:rFonts w:hint="eastAsia" w:ascii="仿宋_GB2312" w:eastAsia="仿宋_GB2312"/>
          <w:sz w:val="32"/>
          <w:szCs w:val="32"/>
          <w:lang w:val="en-US" w:eastAsia="zh-CN"/>
        </w:rPr>
        <w:t>三</w:t>
      </w:r>
      <w:r>
        <w:rPr>
          <w:rFonts w:hint="eastAsia" w:ascii="仿宋_GB2312" w:eastAsia="仿宋_GB2312"/>
          <w:sz w:val="32"/>
          <w:szCs w:val="32"/>
        </w:rPr>
        <w:t>条。主要是对项目的过程监管、绩效评价、资金追回等事项，作出明确具体规定</w:t>
      </w:r>
      <w:r>
        <w:rPr>
          <w:rFonts w:hint="eastAsia" w:ascii="仿宋_GB2312" w:eastAsia="仿宋_GB2312"/>
          <w:sz w:val="32"/>
          <w:szCs w:val="32"/>
          <w:lang w:eastAsia="zh-CN"/>
        </w:rPr>
        <w:t>。</w:t>
      </w:r>
    </w:p>
    <w:p>
      <w:pPr>
        <w:keepNext w:val="0"/>
        <w:keepLines w:val="0"/>
        <w:pageBreakBefore w:val="0"/>
        <w:kinsoku/>
        <w:wordWrap/>
        <w:overflowPunct/>
        <w:topLinePunct w:val="0"/>
        <w:autoSpaceDE w:val="0"/>
        <w:autoSpaceDN/>
        <w:bidi w:val="0"/>
        <w:adjustRightInd/>
        <w:spacing w:line="560" w:lineRule="exact"/>
        <w:ind w:firstLine="642" w:firstLineChars="200"/>
        <w:textAlignment w:val="auto"/>
        <w:rPr>
          <w:rFonts w:hint="eastAsia"/>
          <w:lang w:val="en-US" w:eastAsia="zh-CN"/>
        </w:rPr>
      </w:pPr>
      <w:r>
        <w:rPr>
          <w:rFonts w:hint="eastAsia" w:ascii="楷体_GB2312" w:eastAsia="楷体_GB2312"/>
          <w:b/>
          <w:bCs/>
          <w:sz w:val="32"/>
          <w:szCs w:val="32"/>
        </w:rPr>
        <w:t>第</w:t>
      </w:r>
      <w:r>
        <w:rPr>
          <w:rFonts w:hint="eastAsia" w:ascii="楷体_GB2312" w:eastAsia="楷体_GB2312"/>
          <w:b/>
          <w:bCs/>
          <w:sz w:val="32"/>
          <w:szCs w:val="32"/>
          <w:lang w:eastAsia="zh-CN"/>
        </w:rPr>
        <w:t>六</w:t>
      </w:r>
      <w:r>
        <w:rPr>
          <w:rFonts w:hint="eastAsia" w:ascii="楷体_GB2312" w:eastAsia="楷体_GB2312"/>
          <w:b/>
          <w:bCs/>
          <w:sz w:val="32"/>
          <w:szCs w:val="32"/>
        </w:rPr>
        <w:t xml:space="preserve">章 </w:t>
      </w:r>
      <w:r>
        <w:rPr>
          <w:rFonts w:hint="eastAsia" w:ascii="楷体_GB2312" w:eastAsia="楷体_GB2312"/>
          <w:b/>
          <w:bCs/>
          <w:sz w:val="32"/>
          <w:szCs w:val="32"/>
          <w:lang w:eastAsia="zh-CN"/>
        </w:rPr>
        <w:t>监督检查</w:t>
      </w:r>
      <w:r>
        <w:rPr>
          <w:rFonts w:hint="eastAsia" w:ascii="楷体" w:hAnsi="楷体" w:eastAsia="楷体"/>
          <w:sz w:val="32"/>
          <w:szCs w:val="32"/>
        </w:rPr>
        <w:t>，</w:t>
      </w:r>
      <w:r>
        <w:rPr>
          <w:rFonts w:hint="eastAsia" w:ascii="仿宋_GB2312" w:eastAsia="仿宋_GB2312"/>
          <w:sz w:val="32"/>
          <w:szCs w:val="32"/>
          <w:lang w:eastAsia="zh-CN"/>
        </w:rPr>
        <w:t>共</w:t>
      </w:r>
      <w:r>
        <w:rPr>
          <w:rFonts w:hint="eastAsia" w:ascii="仿宋_GB2312" w:eastAsia="仿宋_GB2312"/>
          <w:sz w:val="32"/>
          <w:szCs w:val="32"/>
          <w:lang w:val="en-US" w:eastAsia="zh-CN"/>
        </w:rPr>
        <w:t>三</w:t>
      </w:r>
      <w:r>
        <w:rPr>
          <w:rFonts w:hint="eastAsia" w:ascii="仿宋_GB2312" w:eastAsia="仿宋_GB2312"/>
          <w:sz w:val="32"/>
          <w:szCs w:val="32"/>
          <w:lang w:eastAsia="zh-CN"/>
        </w:rPr>
        <w:t>条。主要对申报主体责任、职能部门责任、第三方机构责任做出明确具体规定</w:t>
      </w:r>
      <w:r>
        <w:rPr>
          <w:rFonts w:hint="eastAsia" w:ascii="仿宋_GB2312" w:eastAsia="仿宋_GB2312"/>
          <w:sz w:val="32"/>
          <w:szCs w:val="32"/>
        </w:rPr>
        <w:t>。</w:t>
      </w:r>
    </w:p>
    <w:p>
      <w:pPr>
        <w:keepNext w:val="0"/>
        <w:keepLines w:val="0"/>
        <w:pageBreakBefore w:val="0"/>
        <w:kinsoku/>
        <w:wordWrap/>
        <w:overflowPunct/>
        <w:topLinePunct w:val="0"/>
        <w:autoSpaceDE w:val="0"/>
        <w:autoSpaceDN/>
        <w:bidi w:val="0"/>
        <w:adjustRightIn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楷体_GB2312" w:eastAsia="楷体_GB2312"/>
          <w:b/>
          <w:bCs/>
          <w:sz w:val="32"/>
          <w:szCs w:val="32"/>
        </w:rPr>
        <w:t>第</w:t>
      </w:r>
      <w:r>
        <w:rPr>
          <w:rFonts w:hint="eastAsia" w:ascii="楷体_GB2312" w:eastAsia="楷体_GB2312"/>
          <w:b/>
          <w:bCs/>
          <w:sz w:val="32"/>
          <w:szCs w:val="32"/>
          <w:lang w:val="en-US" w:eastAsia="zh-CN"/>
        </w:rPr>
        <w:t>七</w:t>
      </w:r>
      <w:r>
        <w:rPr>
          <w:rFonts w:hint="eastAsia" w:ascii="楷体_GB2312" w:eastAsia="楷体_GB2312"/>
          <w:b/>
          <w:bCs/>
          <w:sz w:val="32"/>
          <w:szCs w:val="32"/>
        </w:rPr>
        <w:t xml:space="preserve">章 </w:t>
      </w:r>
      <w:r>
        <w:rPr>
          <w:rFonts w:hint="eastAsia" w:ascii="楷体_GB2312" w:eastAsia="楷体_GB2312"/>
          <w:b/>
          <w:bCs/>
          <w:sz w:val="32"/>
          <w:szCs w:val="32"/>
          <w:lang w:eastAsia="zh-CN"/>
        </w:rPr>
        <w:t>附则</w:t>
      </w:r>
      <w:r>
        <w:rPr>
          <w:rFonts w:hint="eastAsia" w:ascii="楷体" w:hAnsi="楷体" w:eastAsia="楷体"/>
          <w:sz w:val="32"/>
          <w:szCs w:val="32"/>
        </w:rPr>
        <w:t>，</w:t>
      </w:r>
      <w:r>
        <w:rPr>
          <w:rFonts w:hint="eastAsia" w:ascii="仿宋_GB2312" w:eastAsia="仿宋_GB2312"/>
          <w:sz w:val="32"/>
          <w:szCs w:val="32"/>
          <w:lang w:eastAsia="zh-CN"/>
        </w:rPr>
        <w:t>共</w:t>
      </w:r>
      <w:r>
        <w:rPr>
          <w:rFonts w:hint="eastAsia" w:ascii="仿宋_GB2312" w:eastAsia="仿宋_GB2312"/>
          <w:sz w:val="32"/>
          <w:szCs w:val="32"/>
          <w:lang w:val="en-US" w:eastAsia="zh-CN"/>
        </w:rPr>
        <w:t>二</w:t>
      </w:r>
      <w:r>
        <w:rPr>
          <w:rFonts w:hint="eastAsia" w:ascii="仿宋_GB2312" w:eastAsia="仿宋_GB2312"/>
          <w:sz w:val="32"/>
          <w:szCs w:val="32"/>
          <w:lang w:eastAsia="zh-CN"/>
        </w:rPr>
        <w:t>条。主要对《操作规程》的实施效力、解释权、资助额度等作出明确具体规定</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highlight w:val="none"/>
          <w:u w:val="none" w:color="auto"/>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Arial Unicode MS">
    <w:altName w:val="DejaVu Sans"/>
    <w:panose1 w:val="020B0604020202020204"/>
    <w:charset w:val="00"/>
    <w:family w:val="roman"/>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1" w:csb1="00000000"/>
  </w:font>
  <w:font w:name="楷体_GB2312">
    <w:altName w:val="方正楷体_GBK"/>
    <w:panose1 w:val="02010609030101010101"/>
    <w:charset w:val="86"/>
    <w:family w:val="modern"/>
    <w:pitch w:val="default"/>
    <w:sig w:usb0="00000000" w:usb1="00000000" w:usb2="00000010"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auto"/>
    <w:pitch w:val="default"/>
    <w:sig w:usb0="00000000" w:usb1="0000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35F7867"/>
    <w:rsid w:val="5BFE7916"/>
    <w:rsid w:val="E35F7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hAnsi="仿宋_GB2312" w:eastAsia="仿宋_GB2312" w:cs="仿宋_GB2312"/>
      <w:szCs w:val="32"/>
    </w:r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qFormat/>
    <w:uiPriority w:val="0"/>
    <w:pPr>
      <w:ind w:firstLine="420"/>
    </w:pPr>
    <w:rPr>
      <w:rFonts w:ascii="Calibri" w:hAnsi="Calibri" w:eastAsia="CESI仿宋-GB2312" w:cs="Arial Unicode MS"/>
      <w:color w:val="000000"/>
      <w:szCs w:val="21"/>
    </w:rPr>
  </w:style>
  <w:style w:type="paragraph" w:customStyle="1" w:styleId="9">
    <w:name w:val="首行缩进"/>
    <w:qFormat/>
    <w:uiPriority w:val="0"/>
    <w:pPr>
      <w:widowControl w:val="0"/>
      <w:spacing w:line="360" w:lineRule="auto"/>
      <w:ind w:firstLine="480" w:firstLineChars="200"/>
    </w:pPr>
    <w:rPr>
      <w:rFonts w:ascii="宋体" w:hAnsi="宋体"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2025-05-23T19:34:00Z</dcterms:created>
  <dc:creator>huawei</dc:creator>
  <cp:lastModifiedBy>huawei</cp:lastModifiedBy>
  <dcterms:modified xsi:type="dcterms:W3CDTF">2025-05-23T20:00:05Z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