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ageBreakBefore w:val="0"/>
        <w:kinsoku/>
        <w:wordWrap/>
        <w:topLinePunct w:val="0"/>
        <w:autoSpaceDE/>
        <w:autoSpaceDN/>
        <w:bidi w:val="0"/>
        <w:adjustRightInd w:val="0"/>
        <w:snapToGrid w:val="0"/>
        <w:spacing w:line="560" w:lineRule="exact"/>
        <w:ind w:left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bookmarkStart w:id="0" w:name="_Toc12546_WPSOffice_Level1"/>
      <w:bookmarkStart w:id="1" w:name="_Toc517_WPSOffice_Level1"/>
      <w:bookmarkStart w:id="2" w:name="_Toc9079"/>
      <w:bookmarkStart w:id="3" w:name="_Toc17768"/>
      <w:bookmarkStart w:id="4" w:name="_Toc12408"/>
      <w:bookmarkStart w:id="5" w:name="_Toc15524"/>
      <w:bookmarkStart w:id="6" w:name="_Toc8299"/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新材料产业公共技术服务平台项目</w:t>
      </w:r>
      <w:bookmarkEnd w:id="0"/>
      <w:bookmarkEnd w:id="1"/>
      <w:bookmarkEnd w:id="2"/>
      <w:bookmarkEnd w:id="3"/>
      <w:bookmarkEnd w:id="4"/>
      <w:bookmarkEnd w:id="5"/>
      <w:bookmarkEnd w:id="6"/>
      <w:bookmarkStart w:id="7" w:name="_Toc13252_WPSOffice_Level1"/>
      <w:bookmarkStart w:id="8" w:name="_Toc8024_WPSOffice_Level1"/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申报指南</w:t>
      </w:r>
      <w:bookmarkEnd w:id="7"/>
      <w:bookmarkEnd w:id="8"/>
    </w:p>
    <w:p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pStyle w:val="9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560" w:lineRule="exact"/>
        <w:ind w:left="0" w:leftChars="0"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一、政策依据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u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u w:val="none"/>
        </w:rPr>
        <w:t>（一）《光明区经济发展专项资金管理办法》（深光府规〔2023〕15号）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u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u w:val="none"/>
        </w:rPr>
        <w:t>（二）《深圳市光明区关于支持新材料产业集群高质量发展的若干措施》（深光府规〔2023〕5号）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u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u w:val="none"/>
          <w:lang w:eastAsia="zh-CN"/>
        </w:rPr>
        <w:t>（三）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lang w:eastAsia="zh-CN"/>
        </w:rPr>
        <w:t>《深圳市光明区支持新材料产业集群高质量发展扶持计划操作规程》（深光工信规〔2023〕3 号）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left="0" w:leftChars="0"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二、公共技术服务平台建设项目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支持对象、资助标准、支持方式（《若干措施》第八条）</w:t>
      </w:r>
    </w:p>
    <w:p>
      <w:pPr>
        <w:pStyle w:val="9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560" w:lineRule="exact"/>
        <w:ind w:left="0" w:leftChars="0" w:firstLine="640" w:firstLineChars="200"/>
        <w:jc w:val="both"/>
        <w:textAlignment w:val="auto"/>
        <w:rPr>
          <w:rFonts w:hint="eastAsia" w:ascii="CESI楷体-GB2312" w:hAnsi="CESI楷体-GB2312" w:eastAsia="CESI楷体-GB2312" w:cs="CESI楷体-GB2312"/>
          <w:b w:val="0"/>
          <w:bCs w:val="0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CESI楷体-GB2312" w:hAnsi="CESI楷体-GB2312" w:eastAsia="CESI楷体-GB2312" w:cs="CESI楷体-GB2312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（一）支持对象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before="0" w:after="0"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建设材料计算与仿真平台、新材料产业中试基地、成果转化加速平台等产业公共技术服务平台的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企业。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before="0" w:after="0" w:line="560" w:lineRule="exact"/>
        <w:ind w:firstLine="640" w:firstLineChars="200"/>
        <w:jc w:val="both"/>
        <w:textAlignment w:val="auto"/>
        <w:rPr>
          <w:rFonts w:hint="eastAsia" w:ascii="CESI楷体-GB2312" w:hAnsi="CESI楷体-GB2312" w:eastAsia="CESI楷体-GB2312" w:cs="CESI楷体-GB2312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CESI楷体-GB2312" w:hAnsi="CESI楷体-GB2312" w:eastAsia="CESI楷体-GB2312" w:cs="CESI楷体-GB2312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（二）</w:t>
      </w:r>
      <w:r>
        <w:rPr>
          <w:rFonts w:hint="eastAsia" w:ascii="CESI楷体-GB2312" w:hAnsi="CESI楷体-GB2312" w:eastAsia="CESI楷体-GB2312" w:cs="CESI楷体-GB2312"/>
          <w:color w:val="auto"/>
          <w:kern w:val="2"/>
          <w:sz w:val="32"/>
          <w:szCs w:val="32"/>
          <w:highlight w:val="none"/>
          <w:lang w:val="en-US" w:eastAsia="zh-CN" w:bidi="ar-SA"/>
        </w:rPr>
        <w:t>资助标准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before="0" w:after="0"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/>
        </w:rPr>
        <w:t>对经评审核定的平台建设，在项目建成运营后，按项目实际投资额的40%给予补贴，最高1000万元。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before="0" w:after="0"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/>
        </w:rPr>
        <w:t>实际投资为项目实际发生固定资产投资，包括设备购置安装、净化装修、场地改造升级等费用，不包括土地及产业用房的租赁购置费用和房屋建设费用。</w:t>
      </w:r>
    </w:p>
    <w:p>
      <w:pPr>
        <w:pStyle w:val="8"/>
        <w:keepNext w:val="0"/>
        <w:keepLines w:val="0"/>
        <w:pageBreakBefore w:val="0"/>
        <w:numPr>
          <w:ilvl w:val="0"/>
          <w:numId w:val="0"/>
        </w:numPr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before="0" w:after="0" w:line="560" w:lineRule="exact"/>
        <w:ind w:leftChars="0" w:firstLine="640" w:firstLineChars="200"/>
        <w:jc w:val="both"/>
        <w:textAlignment w:val="auto"/>
        <w:rPr>
          <w:rFonts w:hint="default" w:ascii="CESI楷体-GB2312" w:hAnsi="CESI楷体-GB2312" w:eastAsia="CESI楷体-GB2312" w:cs="CESI楷体-GB2312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CESI楷体-GB2312" w:hAnsi="CESI楷体-GB2312" w:eastAsia="CESI楷体-GB2312" w:cs="CESI楷体-GB2312"/>
          <w:color w:val="auto"/>
          <w:kern w:val="2"/>
          <w:sz w:val="32"/>
          <w:szCs w:val="32"/>
          <w:highlight w:val="none"/>
          <w:lang w:val="en-US" w:eastAsia="zh-CN" w:bidi="ar-SA"/>
        </w:rPr>
        <w:t>（三）支持方式</w:t>
      </w:r>
    </w:p>
    <w:p>
      <w:pPr>
        <w:pStyle w:val="8"/>
        <w:keepNext w:val="0"/>
        <w:keepLines w:val="0"/>
        <w:pageBreakBefore w:val="0"/>
        <w:numPr>
          <w:ilvl w:val="0"/>
          <w:numId w:val="0"/>
        </w:numPr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before="0" w:after="0"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eastAsia="zh-CN"/>
        </w:rPr>
        <w:t>此项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目采用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事后资助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的方式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 w:val="0"/>
        <w:snapToGrid w:val="0"/>
        <w:spacing w:line="560" w:lineRule="exact"/>
        <w:ind w:leftChars="0" w:firstLine="640" w:firstLineChars="200"/>
        <w:textAlignment w:val="auto"/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三、申报基础条件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Times New Roman"/>
          <w:kern w:val="2"/>
          <w:sz w:val="32"/>
          <w:szCs w:val="32"/>
          <w:lang w:val="en-US" w:eastAsia="zh-CN" w:bidi="ar-SA"/>
        </w:rPr>
        <w:t>（一）申报单位为从事新材料研发、生产和服务的企业，以及其他事业单位、社会团体、民办非企业等机构。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Times New Roman"/>
          <w:kern w:val="2"/>
          <w:sz w:val="32"/>
          <w:szCs w:val="32"/>
          <w:lang w:val="en-US" w:eastAsia="zh-CN" w:bidi="ar-SA"/>
        </w:rPr>
        <w:t>（二）申报单位依法依规办理市场主体登记注册手续和税务登记手续，在光明区从事经营活动。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Times New Roman"/>
          <w:kern w:val="2"/>
          <w:sz w:val="32"/>
          <w:szCs w:val="32"/>
          <w:lang w:val="en-US" w:eastAsia="zh-CN" w:bidi="ar-SA"/>
        </w:rPr>
        <w:t xml:space="preserve">（三）申报单位有规范健全的财务管理制度，依法履行统计数据申报义务。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  <w:highlight w:val="none"/>
          <w:u w:val="none"/>
          <w:lang w:eastAsia="zh-CN"/>
        </w:rPr>
      </w:pPr>
      <w:r>
        <w:rPr>
          <w:rFonts w:hint="eastAsia" w:ascii="仿宋_GB2312" w:hAnsi="仿宋_GB2312" w:eastAsia="仿宋_GB2312" w:cs="Times New Roman"/>
          <w:kern w:val="2"/>
          <w:sz w:val="32"/>
          <w:szCs w:val="32"/>
          <w:lang w:val="en-US" w:eastAsia="zh-CN" w:bidi="ar-SA"/>
        </w:rPr>
        <w:t>（四）</w:t>
      </w:r>
      <w:r>
        <w:rPr>
          <w:rFonts w:hint="eastAsia" w:ascii="仿宋_GB2312" w:hAnsi="仿宋_GB2312" w:eastAsia="仿宋_GB2312" w:cs="仿宋_GB2312"/>
          <w:sz w:val="32"/>
          <w:szCs w:val="32"/>
        </w:rPr>
        <w:t>申报单位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</w:rPr>
        <w:t>守法守信规范经营，申请资助时不存在违反失信惩戒措施基础清单相关规定的情形。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  <w:highlight w:val="none"/>
          <w:u w:val="none"/>
          <w:lang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u w:val="none"/>
          <w:lang w:eastAsia="zh-CN"/>
        </w:rPr>
        <w:t>（五）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</w:rPr>
        <w:t>申报的项目应符合国家、省、市、区</w:t>
      </w:r>
      <w:r>
        <w:rPr>
          <w:rFonts w:hint="eastAsia" w:eastAsia="仿宋_GB2312" w:cs="Times New Roman"/>
          <w:sz w:val="32"/>
          <w:szCs w:val="32"/>
          <w:highlight w:val="none"/>
          <w:u w:val="none"/>
          <w:lang w:eastAsia="zh-CN"/>
        </w:rPr>
        <w:t>新材料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</w:rPr>
        <w:t>产业政策和经济社会发展要求。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jc w:val="both"/>
        <w:textAlignment w:val="auto"/>
        <w:rPr>
          <w:rFonts w:hint="eastAsia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</w:rPr>
        <w:t>（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u w:val="none"/>
          <w:lang w:eastAsia="zh-CN"/>
        </w:rPr>
        <w:t>六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</w:rPr>
        <w:t>）</w:t>
      </w:r>
      <w:r>
        <w:rPr>
          <w:rFonts w:hint="eastAsia" w:ascii="仿宋_GB2312" w:hAnsi="仿宋_GB2312" w:eastAsia="仿宋_GB2312" w:cs="Times New Roman"/>
          <w:sz w:val="32"/>
          <w:szCs w:val="32"/>
          <w:lang w:val="en-US" w:eastAsia="zh-CN"/>
        </w:rPr>
        <w:t>符合有关产业政策文件及申报指南规定的其他条件。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 w:val="0"/>
        <w:snapToGrid w:val="0"/>
        <w:spacing w:line="560" w:lineRule="exact"/>
        <w:ind w:leftChars="0" w:firstLine="640" w:firstLineChars="200"/>
        <w:textAlignment w:val="auto"/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四、专项申报条件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1.经区相关主管部门认定，明确项目为光明区新材料产业公共技术服务平台。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2.申报主体应在光明区从事经营活动，项目实施地在光明区。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Chars="0" w:firstLine="640" w:firstLineChars="200"/>
        <w:jc w:val="both"/>
        <w:textAlignment w:val="auto"/>
        <w:rPr>
          <w:rFonts w:hint="eastAsia"/>
          <w:color w:val="auto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3.项目已按国家统计联网直报平台要求，在规定期限内进行固定资产投资填报。</w:t>
      </w:r>
    </w:p>
    <w:p>
      <w:pPr>
        <w:pStyle w:val="8"/>
        <w:keepNext w:val="0"/>
        <w:keepLines w:val="0"/>
        <w:pageBreakBefore w:val="0"/>
        <w:numPr>
          <w:ilvl w:val="0"/>
          <w:numId w:val="0"/>
        </w:numPr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before="0" w:after="0" w:line="560" w:lineRule="exact"/>
        <w:ind w:leftChars="0"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五、申请材料</w:t>
      </w:r>
    </w:p>
    <w:p>
      <w:pPr>
        <w:pStyle w:val="8"/>
        <w:keepNext w:val="0"/>
        <w:keepLines w:val="0"/>
        <w:pageBreakBefore w:val="0"/>
        <w:numPr>
          <w:ilvl w:val="0"/>
          <w:numId w:val="0"/>
        </w:numPr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before="0" w:after="0" w:line="560" w:lineRule="exact"/>
        <w:ind w:leftChars="0" w:firstLine="640" w:firstLineChars="200"/>
        <w:jc w:val="both"/>
        <w:textAlignment w:val="auto"/>
        <w:rPr>
          <w:rFonts w:hint="eastAsia" w:ascii="CESI楷体-GB2312" w:hAnsi="CESI楷体-GB2312" w:eastAsia="CESI楷体-GB2312" w:cs="CESI楷体-GB2312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CESI楷体-GB2312" w:hAnsi="CESI楷体-GB2312" w:eastAsia="CESI楷体-GB2312" w:cs="CESI楷体-GB2312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（一）基础申请材料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Chars="0" w:firstLine="640" w:firstLineChars="200"/>
        <w:jc w:val="both"/>
        <w:textAlignment w:val="auto"/>
        <w:rPr>
          <w:rFonts w:hint="eastAsia" w:ascii="仿宋_GB2312" w:eastAsia="仿宋_GB2312"/>
          <w:color w:val="843C0B" w:themeColor="accent2" w:themeShade="8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1.申报表。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topLinePunct w:val="0"/>
        <w:autoSpaceDE/>
        <w:autoSpaceDN/>
        <w:bidi w:val="0"/>
        <w:adjustRightInd w:val="0"/>
        <w:snapToGrid w:val="0"/>
        <w:spacing w:line="560" w:lineRule="exact"/>
        <w:ind w:lef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C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营业执照复印件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三证合一新版营业执照，未换领新版营业执照的，提交旧版营业执照、组织机构代码证、税务登记证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3.</w:t>
      </w:r>
      <w:r>
        <w:rPr>
          <w:rFonts w:hint="default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法人授权委托书、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法定代表人身份证复印件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default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项目经办人身份证复印件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加盖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申报主体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公章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4.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信用信息资料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申报单位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提供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在深圳信用网打印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的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完整版信用报告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Chars="0" w:firstLine="640" w:firstLineChars="200"/>
        <w:jc w:val="both"/>
        <w:textAlignment w:val="auto"/>
        <w:rPr>
          <w:rFonts w:hint="eastAsia" w:ascii="CESI楷体-GB2312" w:hAnsi="CESI楷体-GB2312" w:eastAsia="CESI楷体-GB2312" w:cs="CESI楷体-GB2312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CESI楷体-GB2312" w:hAnsi="CESI楷体-GB2312" w:eastAsia="CESI楷体-GB2312" w:cs="CESI楷体-GB2312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（二）专项申请材料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jc w:val="both"/>
        <w:textAlignment w:val="auto"/>
        <w:rPr>
          <w:rFonts w:hint="default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  <w:t>1.新材料产业公共服务平台设计、建设、运营等有关情况专项报告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平台实际投资</w:t>
      </w:r>
      <w:r>
        <w:rPr>
          <w:rFonts w:hint="eastAsia" w:ascii="仿宋_GB2312" w:hAnsi="仿宋_GB2312" w:eastAsia="仿宋_GB2312" w:cs="仿宋_GB2312"/>
          <w:sz w:val="32"/>
          <w:szCs w:val="32"/>
        </w:rPr>
        <w:t>主要证明材料复印件(</w:t>
      </w: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主要设备采购合同、凭证和发票等</w:t>
      </w:r>
      <w:r>
        <w:rPr>
          <w:rFonts w:hint="eastAsia" w:ascii="仿宋_GB2312" w:hAnsi="仿宋_GB2312" w:eastAsia="仿宋_GB2312" w:cs="仿宋_GB2312"/>
          <w:sz w:val="32"/>
          <w:szCs w:val="32"/>
        </w:rPr>
        <w:t>)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</w:pPr>
      <w:r>
        <w:rPr>
          <w:rFonts w:hint="eastAsia" w:ascii="仿宋_GB2312" w:eastAsia="仿宋_GB2312" w:cstheme="minorBidi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3.</w:t>
      </w: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  <w:t>国家统计联网直报平台固定资产投资填报信息明细表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4.申报项目技术团队核心成员及相关证明材料（包括社保缴纳证明、学历学位证明或职称证书等）。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jc w:val="both"/>
        <w:textAlignment w:val="auto"/>
        <w:rPr>
          <w:rFonts w:hint="eastAsia"/>
          <w:lang w:val="en-US" w:eastAsia="zh-CN"/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5.项目技术先进性证明及奖励文件，包括查新报告、软件著作权、发明专利、产品检测报告（非必须项）。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6.其他资料，如必要的情况说明等。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2" w:firstLineChars="200"/>
        <w:jc w:val="both"/>
        <w:textAlignment w:val="auto"/>
        <w:rPr>
          <w:rFonts w:hint="eastAsia"/>
          <w:lang w:val="en-US" w:eastAsia="zh-CN"/>
        </w:rPr>
      </w:pPr>
      <w:r>
        <w:rPr>
          <w:rFonts w:hint="eastAsia" w:ascii="仿宋_GB2312" w:hAnsi="宋体" w:eastAsia="仿宋_GB2312" w:cs="宋体"/>
          <w:b/>
          <w:bCs/>
          <w:color w:val="auto"/>
          <w:kern w:val="0"/>
          <w:sz w:val="32"/>
          <w:szCs w:val="32"/>
          <w:lang w:val="en-US" w:eastAsia="zh-CN" w:bidi="ar-SA"/>
        </w:rPr>
        <w:t>电子材料：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第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1项材料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登录深圳市财政专项资金统一管理平台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none"/>
        </w:rPr>
        <w:fldChar w:fldCharType="begin"/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none"/>
        </w:rPr>
        <w:instrText xml:space="preserve"> HYPERLINK "https://cqt.szfb.sz.gov.cn/）在线填报，第2至9项材料上传PDF文件至深圳市财政专项资金统一管理平台。" </w:instrTex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none"/>
        </w:rPr>
        <w:fldChar w:fldCharType="separate"/>
      </w:r>
      <w:r>
        <w:rPr>
          <w:rStyle w:val="14"/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none"/>
        </w:rPr>
        <w:t>https://cqt.szfb.sz.gov.cn/</w:t>
      </w:r>
      <w:r>
        <w:rPr>
          <w:rStyle w:val="14"/>
          <w:rFonts w:hint="eastAsia" w:ascii="仿宋_GB2312" w:hAnsi="仿宋_GB2312" w:eastAsia="仿宋_GB2312" w:cs="仿宋_GB2312"/>
          <w:snapToGrid w:val="0"/>
          <w:color w:val="auto"/>
          <w:sz w:val="32"/>
          <w:szCs w:val="32"/>
          <w:highlight w:val="none"/>
          <w:u w:val="none"/>
        </w:rPr>
        <w:t>）</w:t>
      </w:r>
      <w:r>
        <w:rPr>
          <w:rStyle w:val="14"/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none"/>
        </w:rPr>
        <w:t>在线填报</w:t>
      </w:r>
      <w:r>
        <w:rPr>
          <w:rStyle w:val="14"/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none"/>
          <w:lang w:eastAsia="zh-CN"/>
        </w:rPr>
        <w:t>，其他</w:t>
      </w:r>
      <w:r>
        <w:rPr>
          <w:rStyle w:val="14"/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none"/>
        </w:rPr>
        <w:t>材料上传PDF</w:t>
      </w:r>
      <w:r>
        <w:rPr>
          <w:rStyle w:val="14"/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none"/>
          <w:lang w:eastAsia="zh-CN"/>
        </w:rPr>
        <w:t>文</w:t>
      </w:r>
      <w:r>
        <w:rPr>
          <w:rStyle w:val="14"/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none"/>
        </w:rPr>
        <w:t>件至深圳市财政专项资金统一管理平台</w:t>
      </w:r>
      <w:r>
        <w:rPr>
          <w:rStyle w:val="14"/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</w:rPr>
        <w:t>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none"/>
        </w:rP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Chars="0" w:firstLine="642" w:firstLineChars="200"/>
        <w:jc w:val="both"/>
        <w:textAlignment w:val="auto"/>
        <w:rPr>
          <w:rFonts w:hint="default"/>
          <w:lang w:val="en-US" w:eastAsia="zh-CN"/>
        </w:rPr>
      </w:pPr>
      <w:r>
        <w:rPr>
          <w:rFonts w:hint="eastAsia" w:ascii="仿宋_GB2312" w:hAnsi="宋体" w:eastAsia="仿宋_GB2312" w:cs="宋体"/>
          <w:b/>
          <w:bCs/>
          <w:color w:val="auto"/>
          <w:kern w:val="0"/>
          <w:sz w:val="32"/>
          <w:szCs w:val="32"/>
          <w:lang w:val="en-US" w:eastAsia="zh-CN" w:bidi="ar-SA"/>
        </w:rPr>
        <w:t>纸质材料：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val="en-US" w:eastAsia="zh-CN" w:bidi="ar-SA"/>
        </w:rPr>
        <w:t>在电子材料审核通过后，请登录深圳市财政专项资金统一管理平台，导出带水印编号的所有材料，加盖申报单位公章，多页的还需加盖骑缝公章，一式1</w:t>
      </w:r>
      <w:r>
        <w:rPr>
          <w:rFonts w:hint="eastAsia" w:ascii="仿宋_GB2312" w:hAnsi="Calibri" w:eastAsia="仿宋_GB2312" w:cs="Times New Roman"/>
          <w:b w:val="0"/>
          <w:bCs w:val="0"/>
          <w:sz w:val="32"/>
          <w:szCs w:val="32"/>
          <w:highlight w:val="none"/>
        </w:rPr>
        <w:t>份，A4纸正反面打印，装订成册（胶装）。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left="0" w:leftChars="0"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六、申报受理方式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（一）受理机关：深圳市光明区工业和信息化局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（二）受理时间：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40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sz w:val="32"/>
          <w:szCs w:val="40"/>
          <w:lang w:eastAsia="zh-CN"/>
        </w:rPr>
        <w:t>网络填报受理时间：2025年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40"/>
          <w:lang w:eastAsia="zh-CN"/>
        </w:rPr>
        <w:t>月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19</w:t>
      </w:r>
      <w:r>
        <w:rPr>
          <w:rFonts w:hint="eastAsia" w:ascii="仿宋_GB2312" w:hAnsi="仿宋_GB2312" w:eastAsia="仿宋_GB2312" w:cs="仿宋_GB2312"/>
          <w:sz w:val="32"/>
          <w:szCs w:val="40"/>
          <w:lang w:eastAsia="zh-CN"/>
        </w:rPr>
        <w:t>日至2025年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40"/>
          <w:lang w:eastAsia="zh-CN"/>
        </w:rPr>
        <w:t>月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27</w:t>
      </w:r>
      <w:r>
        <w:rPr>
          <w:rFonts w:hint="eastAsia" w:ascii="仿宋_GB2312" w:hAnsi="仿宋_GB2312" w:eastAsia="仿宋_GB2312" w:cs="仿宋_GB2312"/>
          <w:sz w:val="32"/>
          <w:szCs w:val="40"/>
          <w:lang w:eastAsia="zh-CN"/>
        </w:rPr>
        <w:t>日。</w:t>
      </w:r>
      <w:r>
        <w:rPr>
          <w:rFonts w:hint="eastAsia" w:ascii="仿宋_GB2312" w:hAnsi="仿宋_GB2312" w:eastAsia="仿宋_GB2312" w:cs="仿宋_GB2312"/>
          <w:b/>
          <w:bCs/>
          <w:sz w:val="32"/>
          <w:szCs w:val="40"/>
          <w:lang w:eastAsia="zh-CN"/>
        </w:rPr>
        <w:t>（注：超过网络填报受理的截止时间，不再受理新提交申请。网络填报受理截止前已在线提交申请，但后经初审被退回修改的，可于纸质材料受理截止前再次提交修改后的申请进行初审，初审通过后方可提交纸质材料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40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sz w:val="32"/>
          <w:szCs w:val="40"/>
          <w:lang w:eastAsia="zh-CN"/>
        </w:rPr>
        <w:t>纸质档材料受理时间：2025年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40"/>
          <w:lang w:eastAsia="zh-CN"/>
        </w:rPr>
        <w:t>月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19</w:t>
      </w:r>
      <w:r>
        <w:rPr>
          <w:rFonts w:hint="eastAsia" w:ascii="仿宋_GB2312" w:hAnsi="仿宋_GB2312" w:eastAsia="仿宋_GB2312" w:cs="仿宋_GB2312"/>
          <w:sz w:val="32"/>
          <w:szCs w:val="40"/>
          <w:lang w:eastAsia="zh-CN"/>
        </w:rPr>
        <w:t>日至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40"/>
          <w:lang w:eastAsia="zh-CN"/>
        </w:rPr>
        <w:t>月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27</w:t>
      </w:r>
      <w:r>
        <w:rPr>
          <w:rFonts w:hint="eastAsia" w:ascii="仿宋_GB2312" w:hAnsi="仿宋_GB2312" w:eastAsia="仿宋_GB2312" w:cs="仿宋_GB2312"/>
          <w:sz w:val="32"/>
          <w:szCs w:val="40"/>
          <w:lang w:eastAsia="zh-CN"/>
        </w:rPr>
        <w:t>日（工作日）上午9:00-12:00、下午14:00-18:00。</w:t>
      </w:r>
      <w:r>
        <w:rPr>
          <w:rFonts w:hint="eastAsia" w:ascii="仿宋_GB2312" w:hAnsi="仿宋_GB2312" w:eastAsia="仿宋_GB2312" w:cs="仿宋_GB2312"/>
          <w:b/>
          <w:bCs/>
          <w:sz w:val="32"/>
          <w:szCs w:val="40"/>
          <w:lang w:eastAsia="zh-CN"/>
        </w:rPr>
        <w:t>（注：网上初审通过后请及时提交纸质材料，成功提交纸质材料的项目才算完成申报）</w:t>
      </w:r>
    </w:p>
    <w:p>
      <w:pPr>
        <w:pStyle w:val="9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560" w:lineRule="exact"/>
        <w:ind w:leftChars="0" w:firstLine="640" w:firstLineChars="200"/>
        <w:jc w:val="both"/>
        <w:textAlignment w:val="auto"/>
        <w:rPr>
          <w:rFonts w:hint="default" w:ascii="黑体" w:hAnsi="黑体" w:eastAsia="黑体" w:cs="黑体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bookmarkStart w:id="9" w:name="_GoBack"/>
      <w:bookmarkEnd w:id="9"/>
      <w:r>
        <w:rPr>
          <w:rFonts w:hint="eastAsia" w:ascii="仿宋_GB2312" w:hAnsi="Calibri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（三）</w:t>
      </w:r>
      <w:r>
        <w:rPr>
          <w:rFonts w:hint="default" w:ascii="仿宋_GB2312" w:hAnsi="宋体" w:eastAsia="仿宋_GB2312" w:cs="宋体"/>
          <w:b w:val="0"/>
          <w:bCs w:val="0"/>
          <w:color w:val="000000"/>
          <w:kern w:val="0"/>
          <w:sz w:val="32"/>
          <w:szCs w:val="32"/>
          <w:lang w:val="en-US" w:eastAsia="zh-CN"/>
        </w:rPr>
        <w:t>网络申报</w:t>
      </w:r>
      <w:r>
        <w:rPr>
          <w:rFonts w:hint="eastAsia" w:ascii="仿宋_GB2312" w:hAnsi="宋体" w:eastAsia="仿宋_GB2312" w:cs="宋体"/>
          <w:b w:val="0"/>
          <w:bCs w:val="0"/>
          <w:color w:val="000000"/>
          <w:kern w:val="0"/>
          <w:sz w:val="32"/>
          <w:szCs w:val="32"/>
          <w:lang w:val="en-US" w:eastAsia="zh-CN"/>
        </w:rPr>
        <w:t>平台</w:t>
      </w:r>
      <w:r>
        <w:rPr>
          <w:rFonts w:hint="default" w:ascii="仿宋_GB2312" w:hAnsi="宋体" w:eastAsia="仿宋_GB2312" w:cs="宋体"/>
          <w:b w:val="0"/>
          <w:bCs w:val="0"/>
          <w:color w:val="000000"/>
          <w:kern w:val="0"/>
          <w:sz w:val="32"/>
          <w:szCs w:val="32"/>
          <w:lang w:val="en-US" w:eastAsia="zh-CN"/>
        </w:rPr>
        <w:t>：</w:t>
      </w:r>
      <w:r>
        <w:rPr>
          <w:rFonts w:hint="eastAsia" w:ascii="仿宋_GB2312" w:eastAsia="仿宋_GB2312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深圳市财政专项资金统一管理平台，网址: https://cqt.szfb.sz.gov.cn/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Chars="0" w:firstLine="640" w:firstLineChars="200"/>
        <w:jc w:val="both"/>
        <w:textAlignment w:val="auto"/>
        <w:rPr>
          <w:rFonts w:hint="eastAsia" w:ascii="仿宋_GB2312" w:hAnsi="Calibri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Calibri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（四）纸质</w:t>
      </w:r>
      <w:r>
        <w:rPr>
          <w:rFonts w:hint="default" w:ascii="仿宋_GB2312" w:hAnsi="Calibri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材料受理地点：</w:t>
      </w:r>
      <w:r>
        <w:rPr>
          <w:rFonts w:hint="eastAsia" w:ascii="仿宋_GB2312" w:hAnsi="Calibri" w:eastAsia="仿宋_GB2312" w:cs="Times New Roman"/>
          <w:b w:val="0"/>
          <w:bCs w:val="0"/>
          <w:sz w:val="32"/>
          <w:szCs w:val="32"/>
          <w:highlight w:val="none"/>
        </w:rPr>
        <w:t>深圳市光明区</w:t>
      </w:r>
      <w:r>
        <w:rPr>
          <w:rFonts w:hint="eastAsia" w:ascii="仿宋_GB2312" w:hAnsi="Calibri" w:eastAsia="仿宋_GB2312" w:cs="Times New Roman"/>
          <w:b w:val="0"/>
          <w:bCs w:val="0"/>
          <w:sz w:val="32"/>
          <w:szCs w:val="32"/>
          <w:highlight w:val="none"/>
          <w:lang w:eastAsia="zh-CN"/>
        </w:rPr>
        <w:t>光明街道牛山路</w:t>
      </w:r>
      <w:r>
        <w:rPr>
          <w:rFonts w:hint="eastAsia" w:ascii="仿宋_GB2312" w:hAnsi="Calibri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公共服务平台3楼342B室。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Chars="0" w:firstLine="640" w:firstLineChars="200"/>
        <w:jc w:val="both"/>
        <w:textAlignment w:val="auto"/>
        <w:rPr>
          <w:rFonts w:hint="default"/>
          <w:lang w:val="en-US" w:eastAsia="zh-CN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业务</w:t>
      </w:r>
      <w:r>
        <w:rPr>
          <w:rFonts w:hint="default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咨询电话：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0755-88212831</w:t>
      </w:r>
    </w:p>
    <w:p>
      <w:pPr>
        <w:pageBreakBefore w:val="0"/>
        <w:kinsoku/>
        <w:wordWrap/>
        <w:topLinePunct w:val="0"/>
        <w:autoSpaceDE/>
        <w:autoSpaceDN/>
        <w:bidi w:val="0"/>
        <w:adjustRightInd w:val="0"/>
        <w:snapToGrid w:val="0"/>
        <w:spacing w:line="560" w:lineRule="exact"/>
        <w:ind w:leftChars="0" w:firstLine="640" w:firstLineChars="200"/>
        <w:jc w:val="both"/>
        <w:textAlignment w:val="auto"/>
        <w:outlineLvl w:val="0"/>
        <w:rPr>
          <w:rFonts w:ascii="黑体" w:hAnsi="Calibri" w:eastAsia="黑体" w:cs="Times New Roman"/>
          <w:szCs w:val="32"/>
        </w:rPr>
      </w:pPr>
      <w:r>
        <w:rPr>
          <w:rFonts w:hint="eastAsia" w:ascii="黑体" w:hAnsi="Calibri" w:eastAsia="黑体" w:cs="Times New Roman"/>
          <w:sz w:val="32"/>
          <w:szCs w:val="32"/>
          <w:lang w:eastAsia="zh-CN"/>
        </w:rPr>
        <w:t>七</w:t>
      </w:r>
      <w:r>
        <w:rPr>
          <w:rFonts w:hint="eastAsia" w:ascii="黑体" w:hAnsi="Calibri" w:eastAsia="黑体" w:cs="Times New Roman"/>
          <w:sz w:val="32"/>
          <w:szCs w:val="32"/>
        </w:rPr>
        <w:t>、办理流程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2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</w:pPr>
      <w:r>
        <w:rPr>
          <w:rFonts w:hint="eastAsia" w:ascii="仿宋_GB2312" w:eastAsia="仿宋_GB2312" w:cs="仿宋_GB2312"/>
          <w:color w:val="000000"/>
          <w:sz w:val="31"/>
          <w:szCs w:val="31"/>
          <w:lang w:eastAsia="zh-CN"/>
        </w:rPr>
        <w:t>光明</w:t>
      </w:r>
      <w:r>
        <w:rPr>
          <w:rFonts w:hint="default" w:ascii="仿宋_GB2312" w:eastAsia="仿宋_GB2312" w:cs="仿宋_GB2312"/>
          <w:color w:val="000000"/>
          <w:sz w:val="31"/>
          <w:szCs w:val="31"/>
        </w:rPr>
        <w:t>区工业和信息化局发布指南--申报单位网上申报--初审--申报单位提交纸质版申请材料--征求相关部门意见--审定资助计划--社会公示--下达项目资金计划--申报单位办理资金拨付手续--</w:t>
      </w:r>
      <w:r>
        <w:rPr>
          <w:rFonts w:hint="eastAsia" w:ascii="仿宋_GB2312" w:eastAsia="仿宋_GB2312" w:cs="仿宋_GB2312"/>
          <w:color w:val="000000"/>
          <w:sz w:val="31"/>
          <w:szCs w:val="31"/>
          <w:lang w:eastAsia="zh-CN"/>
        </w:rPr>
        <w:t>光明</w:t>
      </w:r>
      <w:r>
        <w:rPr>
          <w:rFonts w:hint="default" w:ascii="仿宋_GB2312" w:eastAsia="仿宋_GB2312" w:cs="仿宋_GB2312"/>
          <w:color w:val="000000"/>
          <w:sz w:val="31"/>
          <w:szCs w:val="31"/>
        </w:rPr>
        <w:t>区工业和信息化局拨</w:t>
      </w:r>
      <w:r>
        <w:rPr>
          <w:rFonts w:hint="eastAsia" w:ascii="仿宋_GB2312" w:eastAsia="仿宋_GB2312" w:cs="仿宋_GB2312"/>
          <w:color w:val="000000"/>
          <w:sz w:val="31"/>
          <w:szCs w:val="31"/>
          <w:lang w:eastAsia="zh-CN"/>
        </w:rPr>
        <w:t>付</w:t>
      </w:r>
      <w:r>
        <w:rPr>
          <w:rFonts w:hint="default" w:ascii="仿宋_GB2312" w:eastAsia="仿宋_GB2312" w:cs="仿宋_GB2312"/>
          <w:color w:val="000000"/>
          <w:sz w:val="31"/>
          <w:szCs w:val="31"/>
        </w:rPr>
        <w:t>资金。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left="0" w:leftChars="0"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八、注意事项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Chars="0" w:firstLine="640" w:firstLineChars="200"/>
        <w:jc w:val="both"/>
        <w:textAlignment w:val="auto"/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（一）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</w:rPr>
        <w:t>申报单位对申报材料的合法性、真实性、准确性和完整性负责。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  <w:lang w:eastAsia="zh-CN"/>
        </w:rPr>
        <w:t>对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</w:rPr>
        <w:t>利用不正当手段骗取或协助骗取专项财政资金情形的，光明区</w:t>
      </w:r>
      <w:r>
        <w:rPr>
          <w:rFonts w:hint="default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工业和信息化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</w:rPr>
        <w:t>局核实后将按照区政府专项资金有关规定予以处理，并按照有关法律法规的规定追究相应责任。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Chars="0" w:firstLine="640" w:firstLineChars="200"/>
        <w:jc w:val="both"/>
        <w:textAlignment w:val="auto"/>
        <w:rPr>
          <w:rFonts w:hint="default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（二）</w:t>
      </w:r>
      <w:r>
        <w:rPr>
          <w:rFonts w:hint="default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同一主体的同一事项按照“就高不重复”原则予以资助。已经资助过的项目不得重复申报；同一单位内容相同或部分相同的项目不得向区有关部门多头申报。</w:t>
      </w:r>
      <w:r>
        <w:rPr>
          <w:rFonts w:hint="eastAsia" w:ascii="仿宋_GB2312" w:hAnsi="宋体" w:eastAsia="仿宋_GB2312" w:cs="仿宋_GB2312"/>
          <w:color w:val="auto"/>
          <w:kern w:val="0"/>
          <w:sz w:val="31"/>
          <w:szCs w:val="31"/>
          <w:lang w:val="en-US" w:eastAsia="zh-CN" w:bidi="ar"/>
        </w:rPr>
        <w:t>经核实属多头申报的项目，将取消申报资格并追究申报单位责任。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highlight w:val="none"/>
          <w:u w:val="none"/>
        </w:rPr>
      </w:pPr>
      <w:r>
        <w:rPr>
          <w:rFonts w:hint="default" w:ascii="仿宋_GB2312" w:hAnsi="仿宋_GB2312" w:eastAsia="仿宋_GB2312" w:cs="仿宋_GB2312"/>
          <w:sz w:val="32"/>
          <w:szCs w:val="32"/>
          <w:highlight w:val="none"/>
          <w:u w:val="none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三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u w:val="none"/>
        </w:rPr>
        <w:t>）项目申报单位需提交审计报告的，应当提供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已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通过注册会计师行业统一监管平台报备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u w:val="none"/>
        </w:rPr>
        <w:t>的审计报告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，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u w:val="none"/>
        </w:rPr>
        <w:t>项目申报单位提供未备案或虚假备案的审计报告，我局不予采用。相关审计报告经核查认定属于虚假材料的，项目单位五年内不得申报区经济发展资金项目，区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工业与信息化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u w:val="none"/>
        </w:rPr>
        <w:t>局将其列入诚信异常名录，并按照区政府失信联合惩戒有关规定予以处理。</w:t>
      </w:r>
    </w:p>
    <w:p>
      <w:pPr>
        <w:pageBreakBefore w:val="0"/>
        <w:kinsoku/>
        <w:wordWrap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（四）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申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报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单位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应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保留所上传资料的原件，对于任何存疑的申请材料，区工业和信息化局将随时查阅原件。</w:t>
      </w:r>
    </w:p>
    <w:p>
      <w:pPr>
        <w:pStyle w:val="10"/>
        <w:pageBreakBefore w:val="0"/>
        <w:kinsoku/>
        <w:wordWrap/>
        <w:topLinePunct w:val="0"/>
        <w:autoSpaceDE/>
        <w:autoSpaceDN/>
        <w:bidi w:val="0"/>
        <w:adjustRightInd w:val="0"/>
        <w:snapToGrid w:val="0"/>
        <w:spacing w:after="0" w:line="560" w:lineRule="exact"/>
        <w:ind w:left="0" w:leftChars="0" w:firstLine="640" w:firstLineChars="200"/>
        <w:jc w:val="both"/>
        <w:textAlignment w:val="auto"/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lang w:val="en-US" w:eastAsia="zh-CN" w:bidi="ar-SA"/>
        </w:rPr>
        <w:t>（五）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光明</w:t>
      </w:r>
      <w:r>
        <w:rPr>
          <w:rFonts w:hint="default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区工业和信息化局从未委托任何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机构</w:t>
      </w:r>
      <w:r>
        <w:rPr>
          <w:rFonts w:hint="default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和个人代理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本项目的资金</w:t>
      </w:r>
      <w:r>
        <w:rPr>
          <w:rFonts w:hint="default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申报事宜，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申报单位在正式申报项目前，请先仔细阅读通知和申报指南，按要求进行申报</w:t>
      </w:r>
      <w:r>
        <w:rPr>
          <w:rFonts w:hint="default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。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我</w:t>
      </w:r>
      <w:r>
        <w:rPr>
          <w:rFonts w:hint="default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局将严格按照有关标准和程序受理申请，不收取任何费用。如有任何机构和个人假借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我</w:t>
      </w:r>
      <w:r>
        <w:rPr>
          <w:rFonts w:hint="default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局工作人员名义向企业收取费用的，请知情者即向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我</w:t>
      </w:r>
      <w:r>
        <w:rPr>
          <w:rFonts w:hint="default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局举报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。</w:t>
      </w:r>
    </w:p>
    <w:p>
      <w:pPr>
        <w:pStyle w:val="10"/>
        <w:pageBreakBefore w:val="0"/>
        <w:kinsoku/>
        <w:wordWrap/>
        <w:topLinePunct w:val="0"/>
        <w:autoSpaceDE/>
        <w:autoSpaceDN/>
        <w:bidi w:val="0"/>
        <w:adjustRightInd w:val="0"/>
        <w:snapToGrid w:val="0"/>
        <w:spacing w:after="0" w:line="560" w:lineRule="exact"/>
        <w:ind w:left="0" w:leftChars="0" w:firstLine="640" w:firstLineChars="200"/>
        <w:jc w:val="both"/>
        <w:textAlignment w:val="auto"/>
        <w:rPr>
          <w:rFonts w:hint="eastAsia" w:ascii="仿宋_GB2312" w:hAnsi="宋体" w:eastAsia="仿宋_GB2312" w:cs="宋体"/>
          <w:color w:val="843C0B" w:themeColor="accent2" w:themeShade="80"/>
          <w:kern w:val="0"/>
          <w:sz w:val="32"/>
          <w:szCs w:val="32"/>
          <w:lang w:val="en-US" w:eastAsia="zh-CN"/>
        </w:rPr>
      </w:pPr>
      <w:r>
        <w:rPr>
          <w:rFonts w:hint="default" w:eastAsia="仿宋_GB2312"/>
          <w:sz w:val="32"/>
          <w:szCs w:val="32"/>
          <w:highlight w:val="none"/>
          <w:lang w:val="en-US" w:eastAsia="zh-CN"/>
        </w:rPr>
        <w:t>（</w:t>
      </w:r>
      <w:r>
        <w:rPr>
          <w:rFonts w:hint="eastAsia" w:eastAsia="仿宋_GB2312"/>
          <w:sz w:val="32"/>
          <w:szCs w:val="32"/>
          <w:highlight w:val="none"/>
          <w:lang w:val="en-US" w:eastAsia="zh-CN"/>
        </w:rPr>
        <w:t>六</w:t>
      </w:r>
      <w:r>
        <w:rPr>
          <w:rFonts w:hint="default" w:eastAsia="仿宋_GB2312"/>
          <w:sz w:val="32"/>
          <w:szCs w:val="32"/>
          <w:highlight w:val="none"/>
          <w:lang w:val="en-US" w:eastAsia="zh-CN"/>
        </w:rPr>
        <w:t>）资助金额受财政下达年度资金预算总额控制，</w:t>
      </w:r>
      <w:r>
        <w:rPr>
          <w:rFonts w:hint="default" w:eastAsia="仿宋_GB2312" w:cs="Times New Roman"/>
          <w:sz w:val="32"/>
          <w:szCs w:val="32"/>
          <w:highlight w:val="none"/>
          <w:u w:val="none"/>
          <w:lang w:val="en"/>
        </w:rPr>
        <w:t>光明区工业和信息化局</w:t>
      </w:r>
      <w:r>
        <w:rPr>
          <w:rFonts w:hint="default" w:eastAsia="仿宋_GB2312"/>
          <w:sz w:val="32"/>
          <w:szCs w:val="32"/>
          <w:highlight w:val="none"/>
          <w:lang w:val="en-US" w:eastAsia="zh-CN"/>
        </w:rPr>
        <w:t>将视申报情况对奖励金额和拨付进度等进行统一调整，申报单位应无条件同意调整结果。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left="0" w:leftChars="0" w:firstLine="640" w:firstLineChars="200"/>
        <w:jc w:val="both"/>
        <w:textAlignment w:val="auto"/>
        <w:rPr>
          <w:rFonts w:hint="eastAsia" w:ascii="仿宋_GB2312" w:hAnsi="宋体" w:eastAsia="仿宋_GB2312" w:cs="宋体"/>
          <w:color w:val="843C0B" w:themeColor="accent2" w:themeShade="80"/>
          <w:kern w:val="0"/>
          <w:sz w:val="32"/>
          <w:szCs w:val="32"/>
          <w:lang w:val="en-US" w:eastAsia="zh-CN"/>
        </w:rPr>
      </w:pPr>
    </w:p>
    <w:sectPr>
      <w:footerReference r:id="rId3" w:type="default"/>
      <w:pgSz w:w="11906" w:h="16838"/>
      <w:pgMar w:top="2098" w:right="1474" w:bottom="1984" w:left="1587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alibri Light">
    <w:altName w:val="DejaVu Sans"/>
    <w:panose1 w:val="020F0302020204030204"/>
    <w:charset w:val="00"/>
    <w:family w:val="auto"/>
    <w:pitch w:val="default"/>
    <w:sig w:usb0="00000000" w:usb1="00000000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CESI楷体-GB2312">
    <w:panose1 w:val="02000500000000000000"/>
    <w:charset w:val="86"/>
    <w:family w:val="auto"/>
    <w:pitch w:val="default"/>
    <w:sig w:usb0="800002BF" w:usb1="184F6CF8" w:usb2="00000012" w:usb3="00000000" w:csb0="0004000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cstheme="minor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mGtJuGgIAACkEAAAOAAAAZHJz&#10;L2Uyb0RvYy54bWytU8uO0zAU3SPxD5b3NG0Ro6pqOiozKkKqmJEGxNp17CaSX7LdJuUD4A9YsWHP&#10;d/U7OHaTFgErxMa51/f6Ps45Wdx2WpGD8KGxpqST0ZgSYbitGrMr6Yf36xczSkJkpmLKGlHSowj0&#10;dvn82aJ1czG1tVWV8ARFTJi3rqR1jG5eFIHXQrMwsk4YBKX1mkW4fldUnrWorlUxHY9vitb6ynnL&#10;RQi4vT8H6TLXl1Lw+CBlEJGokmK2mE+fz206i+WCzXeeubrh/RjsH6bQrDFoeil1zyIje9/8UUo3&#10;3NtgZRxxqwsrZcNF3gHbTMa/bfNUMyfyLgAnuAtM4f+V5e8Oj540FbijxDANik5fv5y+/Th9/0wm&#10;CZ7WhTmynhzyYvfadiWNfi+GUMB9WryTXqcvViJIAdbHC76ii4TjcjKbzmZjhDhig4MWxfW58yG+&#10;EVaTZJTUg8CMKztsQjynDimpm7HrRqlMojKkLenNy1fj/OASQXFl0CPtcR42WbHbdv1yW1sdsZu3&#10;Z3EEx9cNmm9YiI/MQw0YGAqPDziksmhie4uS2vpPf7tP+SAJUUpaqKukBvKnRL01IC8JcTD8YGwH&#10;w+z1nYVcQQhmySYe+KgGU3qrP0L2q9RDMhVQmBmObqBmMO8ivD6I34eL1eri751vdvX1MaToWNyY&#10;J8d7chO2wa32Efhm2BNmZ6B6KKHHTFz/7yTB/+rnrOsfvvwJ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FgAAAGRycy9QSwECFAAUAAAACACH&#10;TuJAs0lY7tAAAAAFAQAADwAAAAAAAAABACAAAAA4AAAAZHJzL2Rvd25yZXYueG1sUEsBAhQAFAAA&#10;AAgAh07iQCYa0m4aAgAAKQQAAA4AAAAAAAAAAQAgAAAANQEAAGRycy9lMm9Eb2MueG1sUEsFBgAA&#10;AAAGAAYAWQEAAME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cstheme="minor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Theme="minorEastAsia" w:hAnsiTheme="minorEastAsia" w:cstheme="minorEastAsia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FF4FDF"/>
    <w:rsid w:val="0767724F"/>
    <w:rsid w:val="15F1E285"/>
    <w:rsid w:val="17FEB106"/>
    <w:rsid w:val="1BFBE75F"/>
    <w:rsid w:val="1E5EE985"/>
    <w:rsid w:val="1F7941B8"/>
    <w:rsid w:val="1FEFFC61"/>
    <w:rsid w:val="1FFB0730"/>
    <w:rsid w:val="1FFFC600"/>
    <w:rsid w:val="25FF2E2C"/>
    <w:rsid w:val="2A1B9778"/>
    <w:rsid w:val="2FDE350C"/>
    <w:rsid w:val="34FE36DD"/>
    <w:rsid w:val="367B62C5"/>
    <w:rsid w:val="36DDEEF4"/>
    <w:rsid w:val="3745B3EC"/>
    <w:rsid w:val="3756F783"/>
    <w:rsid w:val="379F0A0E"/>
    <w:rsid w:val="37BB5667"/>
    <w:rsid w:val="3ACD69B7"/>
    <w:rsid w:val="3AFF77DD"/>
    <w:rsid w:val="3B37FDC1"/>
    <w:rsid w:val="3B6B010B"/>
    <w:rsid w:val="3BEB0230"/>
    <w:rsid w:val="3BFF0651"/>
    <w:rsid w:val="3CF2C52A"/>
    <w:rsid w:val="3DBEB019"/>
    <w:rsid w:val="3DEFECCE"/>
    <w:rsid w:val="3EDAED28"/>
    <w:rsid w:val="3F2DC0A0"/>
    <w:rsid w:val="3F8FC6C1"/>
    <w:rsid w:val="3FBEAB73"/>
    <w:rsid w:val="3FCB1CC0"/>
    <w:rsid w:val="3FDDC557"/>
    <w:rsid w:val="3FF7971A"/>
    <w:rsid w:val="3FF7C04A"/>
    <w:rsid w:val="3FFE1694"/>
    <w:rsid w:val="45CFAA96"/>
    <w:rsid w:val="45DFBA1F"/>
    <w:rsid w:val="46FBFD71"/>
    <w:rsid w:val="47DFF307"/>
    <w:rsid w:val="4AEBD93C"/>
    <w:rsid w:val="4F3FE116"/>
    <w:rsid w:val="4F6F1231"/>
    <w:rsid w:val="4FF37F4A"/>
    <w:rsid w:val="4FFB350B"/>
    <w:rsid w:val="5339CFBE"/>
    <w:rsid w:val="53DE7D00"/>
    <w:rsid w:val="53E18B9F"/>
    <w:rsid w:val="55D311C1"/>
    <w:rsid w:val="56744637"/>
    <w:rsid w:val="56BEA632"/>
    <w:rsid w:val="57F25A41"/>
    <w:rsid w:val="5AFDEDD3"/>
    <w:rsid w:val="5B7E896E"/>
    <w:rsid w:val="5BFF89F5"/>
    <w:rsid w:val="5D7EDA92"/>
    <w:rsid w:val="5D9B2F8D"/>
    <w:rsid w:val="5DCDF6B9"/>
    <w:rsid w:val="5DDD8353"/>
    <w:rsid w:val="5DFE6553"/>
    <w:rsid w:val="5E6732F2"/>
    <w:rsid w:val="5ECED160"/>
    <w:rsid w:val="5EFC6C75"/>
    <w:rsid w:val="5EFD9721"/>
    <w:rsid w:val="5F6F4848"/>
    <w:rsid w:val="5FD372A0"/>
    <w:rsid w:val="5FFD57FD"/>
    <w:rsid w:val="60F373EA"/>
    <w:rsid w:val="657AB011"/>
    <w:rsid w:val="65D6A8EA"/>
    <w:rsid w:val="66D78FE4"/>
    <w:rsid w:val="67D90E37"/>
    <w:rsid w:val="67DEE8CB"/>
    <w:rsid w:val="6AB7BA81"/>
    <w:rsid w:val="6BEF47AB"/>
    <w:rsid w:val="6CDB76F9"/>
    <w:rsid w:val="6DABE4AA"/>
    <w:rsid w:val="6DB7FA76"/>
    <w:rsid w:val="6DDBD16A"/>
    <w:rsid w:val="6DFD8382"/>
    <w:rsid w:val="6DFF81B3"/>
    <w:rsid w:val="6DFF966B"/>
    <w:rsid w:val="6E4FB0A0"/>
    <w:rsid w:val="6EFAEE92"/>
    <w:rsid w:val="6F9F5952"/>
    <w:rsid w:val="6FDA40C0"/>
    <w:rsid w:val="6FFF1974"/>
    <w:rsid w:val="71B6F742"/>
    <w:rsid w:val="71CF3F09"/>
    <w:rsid w:val="71FDBCB5"/>
    <w:rsid w:val="729DFF99"/>
    <w:rsid w:val="72FE1185"/>
    <w:rsid w:val="737F57EE"/>
    <w:rsid w:val="73ED1F4D"/>
    <w:rsid w:val="73FD72B1"/>
    <w:rsid w:val="73FFE07D"/>
    <w:rsid w:val="74AC30DA"/>
    <w:rsid w:val="75FE0155"/>
    <w:rsid w:val="76FBD7FA"/>
    <w:rsid w:val="7738F890"/>
    <w:rsid w:val="775B1978"/>
    <w:rsid w:val="77FF7D88"/>
    <w:rsid w:val="799F2DEE"/>
    <w:rsid w:val="79F7EE76"/>
    <w:rsid w:val="79FDEA36"/>
    <w:rsid w:val="79FF544C"/>
    <w:rsid w:val="7ADA0A62"/>
    <w:rsid w:val="7AEF54F8"/>
    <w:rsid w:val="7B6ED9B6"/>
    <w:rsid w:val="7BE5C16B"/>
    <w:rsid w:val="7BFB8DD8"/>
    <w:rsid w:val="7BFF27E2"/>
    <w:rsid w:val="7BFFE285"/>
    <w:rsid w:val="7C767576"/>
    <w:rsid w:val="7CBB3A1A"/>
    <w:rsid w:val="7CCB512D"/>
    <w:rsid w:val="7D3D2E98"/>
    <w:rsid w:val="7D5F5C4C"/>
    <w:rsid w:val="7D5FF5D4"/>
    <w:rsid w:val="7DAD694F"/>
    <w:rsid w:val="7DCBC277"/>
    <w:rsid w:val="7DE246D4"/>
    <w:rsid w:val="7DEB45C5"/>
    <w:rsid w:val="7DED6904"/>
    <w:rsid w:val="7DFA2D0F"/>
    <w:rsid w:val="7DFA723C"/>
    <w:rsid w:val="7DFC3AA5"/>
    <w:rsid w:val="7DFF1F02"/>
    <w:rsid w:val="7E67436D"/>
    <w:rsid w:val="7E9A2113"/>
    <w:rsid w:val="7EBED91F"/>
    <w:rsid w:val="7EBFB484"/>
    <w:rsid w:val="7EFA3501"/>
    <w:rsid w:val="7F3F2539"/>
    <w:rsid w:val="7F53655B"/>
    <w:rsid w:val="7F5EF144"/>
    <w:rsid w:val="7F5FF389"/>
    <w:rsid w:val="7F77F5CF"/>
    <w:rsid w:val="7F7E8CA3"/>
    <w:rsid w:val="7F7F1BA4"/>
    <w:rsid w:val="7F7F5992"/>
    <w:rsid w:val="7F8AA82E"/>
    <w:rsid w:val="7FC94A39"/>
    <w:rsid w:val="7FDB4DD2"/>
    <w:rsid w:val="7FDDDC39"/>
    <w:rsid w:val="7FEF6AE8"/>
    <w:rsid w:val="7FF361F2"/>
    <w:rsid w:val="7FF89923"/>
    <w:rsid w:val="7FFB9C26"/>
    <w:rsid w:val="7FFDA3D5"/>
    <w:rsid w:val="7FFF10B7"/>
    <w:rsid w:val="7FFF4FDF"/>
    <w:rsid w:val="8BEE31EB"/>
    <w:rsid w:val="99BD177F"/>
    <w:rsid w:val="99DCD1B8"/>
    <w:rsid w:val="9BFFE870"/>
    <w:rsid w:val="9EB10B2A"/>
    <w:rsid w:val="9FDB657C"/>
    <w:rsid w:val="9FED35CE"/>
    <w:rsid w:val="9FFBABD6"/>
    <w:rsid w:val="A5FD6D36"/>
    <w:rsid w:val="A7CFBD6F"/>
    <w:rsid w:val="A7FB9DC1"/>
    <w:rsid w:val="A9FFA07F"/>
    <w:rsid w:val="AB2DCBDA"/>
    <w:rsid w:val="AF7BF02E"/>
    <w:rsid w:val="B1DE75FD"/>
    <w:rsid w:val="B76D6B67"/>
    <w:rsid w:val="B7AF593C"/>
    <w:rsid w:val="B7EF80C2"/>
    <w:rsid w:val="BAFF8C16"/>
    <w:rsid w:val="BBB6C44C"/>
    <w:rsid w:val="BBB7D09E"/>
    <w:rsid w:val="BBCD00F1"/>
    <w:rsid w:val="BBDB4812"/>
    <w:rsid w:val="BCFFF958"/>
    <w:rsid w:val="BDFC048D"/>
    <w:rsid w:val="BDFEB554"/>
    <w:rsid w:val="BDFF3CF6"/>
    <w:rsid w:val="BE7E56BA"/>
    <w:rsid w:val="BFBF60E1"/>
    <w:rsid w:val="BFFFAA07"/>
    <w:rsid w:val="CC77CF6A"/>
    <w:rsid w:val="CF9F7D97"/>
    <w:rsid w:val="CFA35D72"/>
    <w:rsid w:val="CFB50FE5"/>
    <w:rsid w:val="CFBB39A0"/>
    <w:rsid w:val="CFE55A18"/>
    <w:rsid w:val="CFF149CE"/>
    <w:rsid w:val="D2173C92"/>
    <w:rsid w:val="D3AF4F54"/>
    <w:rsid w:val="D41B7C74"/>
    <w:rsid w:val="D6FF2F35"/>
    <w:rsid w:val="D7561D2F"/>
    <w:rsid w:val="DBB5D2B5"/>
    <w:rsid w:val="DBDD0E3A"/>
    <w:rsid w:val="DDEF016E"/>
    <w:rsid w:val="DDEFF4B4"/>
    <w:rsid w:val="DE6F625D"/>
    <w:rsid w:val="DEDFE113"/>
    <w:rsid w:val="DEE675A4"/>
    <w:rsid w:val="DEFDE0C6"/>
    <w:rsid w:val="DEFF69BC"/>
    <w:rsid w:val="DF69050D"/>
    <w:rsid w:val="DFAD97DC"/>
    <w:rsid w:val="DFBB8E2A"/>
    <w:rsid w:val="DFDD7669"/>
    <w:rsid w:val="DFEBBF7D"/>
    <w:rsid w:val="DFFD8806"/>
    <w:rsid w:val="DFFEA0ED"/>
    <w:rsid w:val="E33FC04D"/>
    <w:rsid w:val="E5DAA735"/>
    <w:rsid w:val="E6EFF97C"/>
    <w:rsid w:val="E731C61F"/>
    <w:rsid w:val="E7EF8361"/>
    <w:rsid w:val="E7FFF90C"/>
    <w:rsid w:val="EB77D2C2"/>
    <w:rsid w:val="EB983042"/>
    <w:rsid w:val="EBFC42A1"/>
    <w:rsid w:val="ED7A4170"/>
    <w:rsid w:val="EDDF88FD"/>
    <w:rsid w:val="EDEF78F7"/>
    <w:rsid w:val="EDFBB39B"/>
    <w:rsid w:val="EDFED176"/>
    <w:rsid w:val="EDFF18A4"/>
    <w:rsid w:val="EF6D0BF3"/>
    <w:rsid w:val="EFBF4F8D"/>
    <w:rsid w:val="EFD4289F"/>
    <w:rsid w:val="EFEF1396"/>
    <w:rsid w:val="EFFD954A"/>
    <w:rsid w:val="F17C7BAD"/>
    <w:rsid w:val="F1FEB59D"/>
    <w:rsid w:val="F3F3B90D"/>
    <w:rsid w:val="F3F73A8B"/>
    <w:rsid w:val="F56F7358"/>
    <w:rsid w:val="F5773CE4"/>
    <w:rsid w:val="F5E1928E"/>
    <w:rsid w:val="F5F6EB5A"/>
    <w:rsid w:val="F7388477"/>
    <w:rsid w:val="F73DBF40"/>
    <w:rsid w:val="F75F0CE2"/>
    <w:rsid w:val="F7AE8681"/>
    <w:rsid w:val="F7DE0F75"/>
    <w:rsid w:val="F7FB154F"/>
    <w:rsid w:val="F7FEEE2E"/>
    <w:rsid w:val="F7FF6DE0"/>
    <w:rsid w:val="F937517E"/>
    <w:rsid w:val="FADE5112"/>
    <w:rsid w:val="FAFEF0FC"/>
    <w:rsid w:val="FAFFC457"/>
    <w:rsid w:val="FB368A64"/>
    <w:rsid w:val="FB3F3E37"/>
    <w:rsid w:val="FB3F93E3"/>
    <w:rsid w:val="FB7CF20F"/>
    <w:rsid w:val="FB7D7EAE"/>
    <w:rsid w:val="FBBFD0AB"/>
    <w:rsid w:val="FBDD4567"/>
    <w:rsid w:val="FBEEFF04"/>
    <w:rsid w:val="FBEF5703"/>
    <w:rsid w:val="FBFBF0AC"/>
    <w:rsid w:val="FBFE1320"/>
    <w:rsid w:val="FCB71834"/>
    <w:rsid w:val="FD7D3404"/>
    <w:rsid w:val="FD9FF093"/>
    <w:rsid w:val="FDDE4D62"/>
    <w:rsid w:val="FDEF060F"/>
    <w:rsid w:val="FDFE9762"/>
    <w:rsid w:val="FE21F508"/>
    <w:rsid w:val="FE348889"/>
    <w:rsid w:val="FE35D526"/>
    <w:rsid w:val="FE578A96"/>
    <w:rsid w:val="FE7E034C"/>
    <w:rsid w:val="FEAEA9FD"/>
    <w:rsid w:val="FEBE7A40"/>
    <w:rsid w:val="FEBE9D8F"/>
    <w:rsid w:val="FEBFDF55"/>
    <w:rsid w:val="FEF3DE50"/>
    <w:rsid w:val="FEF7DB26"/>
    <w:rsid w:val="FEFB3DC8"/>
    <w:rsid w:val="FEFBD4B8"/>
    <w:rsid w:val="FEFD6AD4"/>
    <w:rsid w:val="FEFFF943"/>
    <w:rsid w:val="FF30B6EF"/>
    <w:rsid w:val="FF3E9104"/>
    <w:rsid w:val="FF3F2F5D"/>
    <w:rsid w:val="FF6F0C68"/>
    <w:rsid w:val="FF789AB4"/>
    <w:rsid w:val="FF7F7398"/>
    <w:rsid w:val="FF7F935C"/>
    <w:rsid w:val="FF7F98F1"/>
    <w:rsid w:val="FF9FDCD7"/>
    <w:rsid w:val="FFAF1C57"/>
    <w:rsid w:val="FFB2C7EE"/>
    <w:rsid w:val="FFBB39CE"/>
    <w:rsid w:val="FFBFE739"/>
    <w:rsid w:val="FFDB6C78"/>
    <w:rsid w:val="FFDBC2F8"/>
    <w:rsid w:val="FFDBDCB7"/>
    <w:rsid w:val="FFDFC4D2"/>
    <w:rsid w:val="FFE35DBD"/>
    <w:rsid w:val="FFFB5C76"/>
    <w:rsid w:val="FFFBDF72"/>
    <w:rsid w:val="FFFD886F"/>
    <w:rsid w:val="FFFF043F"/>
    <w:rsid w:val="FFFF6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next w:val="1"/>
    <w:qFormat/>
    <w:uiPriority w:val="0"/>
    <w:pPr>
      <w:keepNext/>
      <w:keepLines/>
      <w:widowControl w:val="0"/>
      <w:spacing w:line="560" w:lineRule="exact"/>
      <w:jc w:val="center"/>
      <w:outlineLvl w:val="0"/>
    </w:pPr>
    <w:rPr>
      <w:rFonts w:eastAsia="黑体" w:cs="Times New Roman" w:asciiTheme="minorHAnsi" w:hAnsiTheme="minorHAnsi"/>
      <w:kern w:val="44"/>
      <w:sz w:val="21"/>
      <w:szCs w:val="24"/>
      <w:lang w:val="en-US" w:eastAsia="zh-CN" w:bidi="ar-SA"/>
    </w:rPr>
  </w:style>
  <w:style w:type="character" w:default="1" w:styleId="12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99"/>
    <w:pPr>
      <w:widowControl w:val="0"/>
      <w:spacing w:after="120"/>
      <w:ind w:firstLine="48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Body Text Indent"/>
    <w:basedOn w:val="1"/>
    <w:qFormat/>
    <w:uiPriority w:val="0"/>
    <w:pPr>
      <w:spacing w:line="560" w:lineRule="exact"/>
      <w:ind w:firstLine="420" w:firstLineChars="200"/>
      <w:jc w:val="left"/>
    </w:pPr>
    <w:rPr>
      <w:rFonts w:ascii="宋体" w:hAnsi="宋体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8">
    <w:name w:val="Normal (Web)"/>
    <w:basedOn w:val="1"/>
    <w:qFormat/>
    <w:uiPriority w:val="0"/>
    <w:pPr>
      <w:spacing w:before="150" w:after="150" w:line="480" w:lineRule="auto"/>
      <w:jc w:val="left"/>
    </w:pPr>
    <w:rPr>
      <w:rFonts w:ascii="宋体" w:hAnsi="Times New Roman" w:eastAsia="宋体" w:cs="Times New Roman"/>
      <w:color w:val="000000"/>
      <w:kern w:val="0"/>
      <w:sz w:val="21"/>
      <w:szCs w:val="21"/>
    </w:rPr>
  </w:style>
  <w:style w:type="paragraph" w:styleId="9">
    <w:name w:val="Title"/>
    <w:basedOn w:val="1"/>
    <w:next w:val="1"/>
    <w:qFormat/>
    <w:uiPriority w:val="10"/>
    <w:pPr>
      <w:widowControl w:val="0"/>
      <w:spacing w:before="240" w:after="60"/>
      <w:jc w:val="center"/>
      <w:outlineLvl w:val="0"/>
    </w:pPr>
    <w:rPr>
      <w:rFonts w:ascii="Calibri Light" w:hAnsi="Calibri Light" w:eastAsiaTheme="minorEastAsia" w:cstheme="minorBidi"/>
      <w:b/>
      <w:bCs/>
      <w:kern w:val="2"/>
      <w:sz w:val="32"/>
      <w:szCs w:val="32"/>
      <w:lang w:val="en-US" w:eastAsia="zh-CN" w:bidi="ar-SA"/>
    </w:rPr>
  </w:style>
  <w:style w:type="paragraph" w:styleId="10">
    <w:name w:val="Body Text First Indent"/>
    <w:basedOn w:val="2"/>
    <w:qFormat/>
    <w:uiPriority w:val="0"/>
    <w:pPr>
      <w:tabs>
        <w:tab w:val="left" w:pos="562"/>
        <w:tab w:val="left" w:pos="3372"/>
        <w:tab w:val="left" w:pos="3653"/>
      </w:tabs>
      <w:ind w:firstLine="420" w:firstLineChars="100"/>
    </w:pPr>
  </w:style>
  <w:style w:type="character" w:styleId="13">
    <w:name w:val="Strong"/>
    <w:basedOn w:val="12"/>
    <w:qFormat/>
    <w:uiPriority w:val="0"/>
    <w:rPr>
      <w:b/>
    </w:rPr>
  </w:style>
  <w:style w:type="character" w:styleId="14">
    <w:name w:val="Hyperlink"/>
    <w:basedOn w:val="12"/>
    <w:qFormat/>
    <w:uiPriority w:val="0"/>
    <w:rPr>
      <w:color w:val="0000FF"/>
      <w:u w:val="single"/>
    </w:rPr>
  </w:style>
  <w:style w:type="paragraph" w:customStyle="1" w:styleId="15">
    <w:name w:val="标书正文1"/>
    <w:qFormat/>
    <w:uiPriority w:val="0"/>
    <w:pPr>
      <w:widowControl w:val="0"/>
      <w:spacing w:line="520" w:lineRule="exact"/>
      <w:ind w:firstLine="640" w:firstLineChars="20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6">
    <w:name w:val="我的正文"/>
    <w:basedOn w:val="1"/>
    <w:qFormat/>
    <w:uiPriority w:val="0"/>
    <w:pPr>
      <w:spacing w:line="560" w:lineRule="exact"/>
      <w:ind w:firstLine="420" w:firstLineChars="200"/>
    </w:pPr>
    <w:rPr>
      <w:rFonts w:ascii="仿宋_GB2312" w:hAnsi="仿宋_GB2312" w:eastAsia="仿宋_GB2312"/>
      <w:sz w:val="32"/>
    </w:rPr>
  </w:style>
  <w:style w:type="paragraph" w:customStyle="1" w:styleId="17">
    <w:name w:val="WW-Default"/>
    <w:qFormat/>
    <w:uiPriority w:val="0"/>
    <w:pPr>
      <w:widowControl w:val="0"/>
      <w:suppressAutoHyphens/>
      <w:autoSpaceDE w:val="0"/>
    </w:pPr>
    <w:rPr>
      <w:rFonts w:ascii="Calibri" w:hAnsi="Calibri" w:eastAsia="宋体" w:cs="Times New Roman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Office_11.8.2.10386_F1E327BC-269C-435d-A152-05C5408002CA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2023-08-08T01:25:00Z</dcterms:created>
  <dc:creator>广东华商-mxy</dc:creator>
  <cp:lastModifiedBy>huawei</cp:lastModifiedBy>
  <dcterms:modified xsi:type="dcterms:W3CDTF">2025-08-15T16:14:03Z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</Properties>
</file>