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Lines w:val="0"/>
        <w:pageBreakBefore w:val="0"/>
        <w:widowControl w:val="0"/>
        <w:spacing w:before="0" w:beforeAutospacing="0" w:after="0" w:afterAutospacing="0" w:line="560" w:lineRule="exact"/>
        <w:jc w:val="center"/>
        <w:outlineLvl w:val="9"/>
        <w:rPr>
          <w:rFonts w:hint="eastAsia" w:ascii="Times New Roman" w:hAnsi="Times New Roman" w:eastAsia="方正小标宋简体"/>
          <w:b w:val="0"/>
          <w:bCs/>
          <w:i w:val="0"/>
          <w:caps w:val="0"/>
          <w:color w:val="000000"/>
          <w:spacing w:val="0"/>
          <w:w w:val="100"/>
          <w:sz w:val="44"/>
          <w:szCs w:val="44"/>
          <w:lang w:val="en-US" w:eastAsia="zh-CN"/>
        </w:rPr>
      </w:pPr>
      <w:bookmarkStart w:id="0" w:name="_GoBack"/>
      <w:bookmarkEnd w:id="0"/>
      <w:r>
        <w:rPr>
          <w:rFonts w:hint="eastAsia" w:ascii="Times New Roman" w:hAnsi="Times New Roman" w:eastAsia="方正小标宋简体"/>
          <w:b w:val="0"/>
          <w:bCs/>
          <w:i w:val="0"/>
          <w:caps w:val="0"/>
          <w:color w:val="000000"/>
          <w:spacing w:val="0"/>
          <w:w w:val="100"/>
          <w:sz w:val="44"/>
          <w:szCs w:val="44"/>
          <w:lang w:val="en-US" w:eastAsia="zh-CN"/>
        </w:rPr>
        <w:t>光明区产业用地项目引进监管实施办法</w:t>
      </w:r>
    </w:p>
    <w:p>
      <w:pPr>
        <w:keepLines w:val="0"/>
        <w:pageBreakBefore w:val="0"/>
        <w:widowControl w:val="0"/>
        <w:spacing w:before="0" w:beforeAutospacing="0" w:after="0" w:afterAutospacing="0" w:line="560" w:lineRule="exact"/>
        <w:jc w:val="center"/>
        <w:outlineLvl w:val="9"/>
        <w:rPr>
          <w:rFonts w:hint="eastAsia" w:ascii="楷体_GB2312" w:hAnsi="楷体_GB2312" w:eastAsia="楷体_GB2312" w:cs="楷体_GB2312"/>
          <w:b w:val="0"/>
          <w:bCs/>
          <w:i w:val="0"/>
          <w:caps w:val="0"/>
          <w:color w:val="000000"/>
          <w:spacing w:val="0"/>
          <w:w w:val="100"/>
          <w:sz w:val="32"/>
          <w:szCs w:val="32"/>
          <w:lang w:val="en-US" w:eastAsia="zh-CN"/>
        </w:rPr>
      </w:pPr>
      <w:r>
        <w:rPr>
          <w:rFonts w:hint="eastAsia" w:ascii="楷体_GB2312" w:hAnsi="楷体_GB2312" w:eastAsia="楷体_GB2312" w:cs="楷体_GB2312"/>
          <w:b w:val="0"/>
          <w:bCs/>
          <w:i w:val="0"/>
          <w:caps w:val="0"/>
          <w:color w:val="000000"/>
          <w:spacing w:val="0"/>
          <w:w w:val="100"/>
          <w:sz w:val="32"/>
          <w:szCs w:val="32"/>
          <w:lang w:val="en-US" w:eastAsia="zh-CN"/>
        </w:rPr>
        <w:t>（征求意见稿）</w:t>
      </w:r>
    </w:p>
    <w:p>
      <w:pPr>
        <w:spacing w:line="560" w:lineRule="exact"/>
        <w:rPr>
          <w:rFonts w:hint="eastAsia" w:ascii="仿宋_GB2312" w:hAnsi="仿宋_GB2312" w:eastAsia="仿宋_GB2312" w:cs="仿宋_GB2312"/>
          <w:sz w:val="32"/>
          <w:szCs w:val="32"/>
        </w:rPr>
      </w:pPr>
    </w:p>
    <w:p>
      <w:pPr>
        <w:keepNext w:val="0"/>
        <w:keepLines w:val="0"/>
        <w:widowControl/>
        <w:spacing w:line="560" w:lineRule="exact"/>
        <w:jc w:val="center"/>
        <w:rPr>
          <w:rFonts w:hint="eastAsia" w:ascii="黑体" w:hAnsi="黑体" w:eastAsia="黑体" w:cs="黑体"/>
          <w:sz w:val="32"/>
          <w:szCs w:val="32"/>
        </w:rPr>
      </w:pPr>
      <w:r>
        <w:rPr>
          <w:rFonts w:hint="eastAsia" w:ascii="黑体" w:hAnsi="黑体" w:eastAsia="黑体" w:cs="黑体"/>
          <w:color w:val="000000"/>
          <w:kern w:val="0"/>
          <w:sz w:val="32"/>
          <w:szCs w:val="32"/>
          <w:lang w:val="en-US" w:eastAsia="zh-CN" w:bidi="en-US"/>
        </w:rPr>
        <w:t>第一章  总则</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仿宋_GB2312" w:eastAsia="仿宋_GB2312" w:cs="仿宋_GB2312"/>
          <w:sz w:val="32"/>
          <w:szCs w:val="32"/>
          <w:lang w:val="en-US" w:eastAsia="zh-CN"/>
        </w:rPr>
        <w:t>第一条【制定依据】 为规范光明区产业用地项目的引进监</w:t>
      </w:r>
      <w:r>
        <w:rPr>
          <w:rFonts w:hint="eastAsia" w:ascii="仿宋_GB2312" w:hAnsi="黑体" w:eastAsia="仿宋_GB2312"/>
          <w:sz w:val="32"/>
          <w:szCs w:val="32"/>
          <w:lang w:val="en-US" w:eastAsia="zh-CN"/>
        </w:rPr>
        <w:t>管工作，进一步推进土地供给侧结构性改革，保障重点产业用地项目土地供应，推动产业转型升级，根据有关法律法规及规章，并结合本区实际，制定本办法。</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第二条【工作原则】 光明区产业用地项目引进坚持质量引领的原则，产业用地项目监管坚持“全方位、全年限、多部门联动”的原则。</w:t>
      </w:r>
    </w:p>
    <w:p>
      <w:pPr>
        <w:keepNext w:val="0"/>
        <w:keepLines w:val="0"/>
        <w:pageBreakBefore w:val="0"/>
        <w:widowControl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第三条【适用范围】 本办法适用于光明区行政辖区内产业用地项目引进监管工作。</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rPr>
      </w:pPr>
      <w:r>
        <w:rPr>
          <w:rFonts w:hint="eastAsia" w:ascii="仿宋_GB2312" w:hAnsi="仿宋_GB2312" w:eastAsia="仿宋_GB2312" w:cs="仿宋_GB2312"/>
          <w:color w:val="000000"/>
          <w:kern w:val="0"/>
          <w:sz w:val="32"/>
          <w:szCs w:val="32"/>
          <w:lang w:val="en-US" w:eastAsia="zh-CN" w:bidi="en-US"/>
        </w:rPr>
        <w:t>第四条【产业项目分类】本办法所成产业项目分为重点产业项目、一般产业项目、通用产业用房项目</w:t>
      </w:r>
      <w:r>
        <w:rPr>
          <w:rFonts w:hint="eastAsia" w:ascii="仿宋_GB2312" w:hAnsi="仿宋" w:eastAsia="仿宋_GB2312"/>
          <w:color w:val="auto"/>
          <w:sz w:val="32"/>
          <w:szCs w:val="32"/>
          <w:highlight w:val="none"/>
        </w:rPr>
        <w:t>。</w:t>
      </w:r>
    </w:p>
    <w:p>
      <w:pPr>
        <w:keepNext w:val="0"/>
        <w:keepLines w:val="0"/>
        <w:widowControl w:val="0"/>
        <w:spacing w:beforeLines="0" w:afterLines="0" w:line="579" w:lineRule="exact"/>
        <w:ind w:firstLine="640" w:firstLineChars="200"/>
        <w:jc w:val="left"/>
        <w:outlineLvl w:val="9"/>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重点产业项目是指对我市经济和产业发展具有重大带动作用的产业项目</w:t>
      </w:r>
      <w:r>
        <w:rPr>
          <w:rFonts w:hint="eastAsia" w:ascii="仿宋_GB2312" w:hAnsi="仿宋" w:eastAsia="仿宋_GB2312"/>
          <w:color w:val="auto"/>
          <w:sz w:val="32"/>
          <w:szCs w:val="32"/>
          <w:highlight w:val="none"/>
          <w:lang w:eastAsia="zh-CN"/>
        </w:rPr>
        <w:t>，重点产业项目分为市级重点产业项目和区级重点产业项目。</w:t>
      </w:r>
      <w:r>
        <w:rPr>
          <w:rFonts w:hint="eastAsia" w:ascii="仿宋_GB2312" w:hAnsi="仿宋" w:eastAsia="仿宋_GB2312"/>
          <w:color w:val="auto"/>
          <w:sz w:val="32"/>
          <w:szCs w:val="32"/>
          <w:highlight w:val="none"/>
        </w:rPr>
        <w:t>通用产业用房是指由</w:t>
      </w:r>
      <w:r>
        <w:rPr>
          <w:rFonts w:hint="eastAsia" w:ascii="仿宋_GB2312" w:hAnsi="仿宋" w:eastAsia="仿宋_GB2312"/>
          <w:color w:val="auto"/>
          <w:sz w:val="32"/>
          <w:szCs w:val="32"/>
          <w:highlight w:val="none"/>
          <w:lang w:val="en-US" w:eastAsia="zh-CN"/>
        </w:rPr>
        <w:t>市政府确定的</w:t>
      </w:r>
      <w:r>
        <w:rPr>
          <w:rFonts w:hint="eastAsia" w:ascii="仿宋_GB2312" w:hAnsi="仿宋" w:eastAsia="仿宋_GB2312"/>
          <w:color w:val="auto"/>
          <w:sz w:val="32"/>
          <w:szCs w:val="32"/>
          <w:highlight w:val="none"/>
        </w:rPr>
        <w:t>产业空间</w:t>
      </w:r>
      <w:r>
        <w:rPr>
          <w:rFonts w:hint="eastAsia" w:ascii="仿宋_GB2312" w:hAnsi="仿宋" w:eastAsia="仿宋_GB2312"/>
          <w:color w:val="auto"/>
          <w:sz w:val="32"/>
          <w:szCs w:val="32"/>
          <w:highlight w:val="none"/>
          <w:lang w:val="en-US" w:eastAsia="zh-CN"/>
        </w:rPr>
        <w:t>建设运营</w:t>
      </w:r>
      <w:r>
        <w:rPr>
          <w:rFonts w:hint="eastAsia" w:ascii="仿宋_GB2312" w:hAnsi="仿宋" w:eastAsia="仿宋_GB2312"/>
          <w:color w:val="auto"/>
          <w:sz w:val="32"/>
          <w:szCs w:val="32"/>
          <w:highlight w:val="none"/>
        </w:rPr>
        <w:t>企业投资建设，</w:t>
      </w:r>
      <w:r>
        <w:rPr>
          <w:rFonts w:hint="eastAsia" w:ascii="仿宋_GB2312" w:hAnsi="仿宋" w:eastAsia="仿宋_GB2312"/>
          <w:color w:val="auto"/>
          <w:sz w:val="32"/>
          <w:szCs w:val="32"/>
          <w:highlight w:val="none"/>
          <w:lang w:val="en-US" w:eastAsia="zh-CN"/>
        </w:rPr>
        <w:t>采取</w:t>
      </w:r>
      <w:r>
        <w:rPr>
          <w:rFonts w:hint="eastAsia" w:ascii="仿宋_GB2312" w:hAnsi="仿宋" w:eastAsia="仿宋_GB2312"/>
          <w:color w:val="auto"/>
          <w:sz w:val="32"/>
          <w:szCs w:val="32"/>
          <w:highlight w:val="none"/>
          <w:lang w:eastAsia="zh-CN"/>
        </w:rPr>
        <w:t>“</w:t>
      </w:r>
      <w:r>
        <w:rPr>
          <w:rFonts w:hint="eastAsia" w:ascii="仿宋_GB2312" w:hAnsi="仿宋" w:eastAsia="仿宋_GB2312"/>
          <w:color w:val="auto"/>
          <w:sz w:val="32"/>
          <w:szCs w:val="32"/>
          <w:highlight w:val="none"/>
        </w:rPr>
        <w:t>限价格、限对象</w:t>
      </w:r>
      <w:r>
        <w:rPr>
          <w:rFonts w:hint="eastAsia" w:ascii="仿宋_GB2312" w:hAnsi="仿宋" w:eastAsia="仿宋_GB2312"/>
          <w:color w:val="auto"/>
          <w:sz w:val="32"/>
          <w:szCs w:val="32"/>
          <w:highlight w:val="none"/>
          <w:lang w:eastAsia="zh-CN"/>
        </w:rPr>
        <w:t>”</w:t>
      </w:r>
      <w:r>
        <w:rPr>
          <w:rFonts w:hint="eastAsia" w:ascii="仿宋_GB2312" w:hAnsi="仿宋" w:eastAsia="仿宋_GB2312"/>
          <w:color w:val="auto"/>
          <w:sz w:val="32"/>
          <w:szCs w:val="32"/>
          <w:highlight w:val="none"/>
          <w:lang w:val="en-US" w:eastAsia="zh-CN"/>
        </w:rPr>
        <w:t>方式</w:t>
      </w:r>
      <w:r>
        <w:rPr>
          <w:rFonts w:hint="eastAsia" w:ascii="仿宋_GB2312" w:hAnsi="仿宋" w:eastAsia="仿宋_GB2312"/>
          <w:color w:val="auto"/>
          <w:sz w:val="32"/>
          <w:szCs w:val="32"/>
          <w:highlight w:val="none"/>
        </w:rPr>
        <w:t>出租、出售</w:t>
      </w:r>
      <w:r>
        <w:rPr>
          <w:rFonts w:hint="eastAsia" w:ascii="仿宋_GB2312" w:hAnsi="仿宋" w:eastAsia="仿宋_GB2312"/>
          <w:color w:val="auto"/>
          <w:sz w:val="32"/>
          <w:szCs w:val="32"/>
          <w:highlight w:val="none"/>
          <w:lang w:val="en-US" w:eastAsia="zh-CN"/>
        </w:rPr>
        <w:t>的</w:t>
      </w:r>
      <w:r>
        <w:rPr>
          <w:rFonts w:hint="eastAsia" w:ascii="仿宋_GB2312" w:hAnsi="仿宋" w:eastAsia="仿宋_GB2312"/>
          <w:color w:val="auto"/>
          <w:sz w:val="32"/>
          <w:szCs w:val="32"/>
          <w:highlight w:val="none"/>
        </w:rPr>
        <w:t>产业用房。</w:t>
      </w:r>
    </w:p>
    <w:p>
      <w:pPr>
        <w:keepNext w:val="0"/>
        <w:keepLines w:val="0"/>
        <w:widowControl w:val="0"/>
        <w:spacing w:beforeLines="0" w:afterLines="0" w:line="579" w:lineRule="exact"/>
        <w:ind w:firstLine="640" w:firstLineChars="200"/>
        <w:jc w:val="left"/>
        <w:outlineLvl w:val="9"/>
        <w:rPr>
          <w:rFonts w:ascii="黑体" w:hAnsi="宋体" w:eastAsia="黑体"/>
          <w:color w:val="000000"/>
          <w:kern w:val="0"/>
          <w:sz w:val="32"/>
          <w:szCs w:val="32"/>
          <w:lang w:val="en-US" w:eastAsia="zh-CN" w:bidi="en-US"/>
        </w:rPr>
      </w:pPr>
      <w:r>
        <w:rPr>
          <w:rFonts w:hint="eastAsia" w:ascii="仿宋_GB2312" w:hAnsi="仿宋" w:eastAsia="仿宋_GB2312"/>
          <w:color w:val="auto"/>
          <w:sz w:val="32"/>
          <w:szCs w:val="32"/>
          <w:highlight w:val="none"/>
          <w:lang w:eastAsia="zh-CN"/>
        </w:rPr>
        <w:t>除重点产业项目、通用产业用房项目之外的项目为一般产业项目。</w:t>
      </w:r>
    </w:p>
    <w:p>
      <w:pPr>
        <w:keepNext w:val="0"/>
        <w:keepLines w:val="0"/>
        <w:widowControl/>
        <w:jc w:val="center"/>
        <w:rPr>
          <w:rFonts w:ascii="黑体" w:hAnsi="宋体" w:eastAsia="黑体"/>
          <w:color w:val="000000"/>
          <w:kern w:val="0"/>
          <w:sz w:val="32"/>
          <w:szCs w:val="32"/>
          <w:lang w:val="en-US" w:eastAsia="zh-CN" w:bidi="en-US"/>
        </w:rPr>
      </w:pPr>
      <w:r>
        <w:rPr>
          <w:rFonts w:ascii="黑体" w:hAnsi="宋体" w:eastAsia="黑体"/>
          <w:color w:val="000000"/>
          <w:kern w:val="0"/>
          <w:sz w:val="32"/>
          <w:szCs w:val="32"/>
          <w:lang w:val="en-US" w:eastAsia="zh-CN" w:bidi="en-US"/>
        </w:rPr>
        <w:t>第二章</w:t>
      </w:r>
      <w:r>
        <w:rPr>
          <w:rFonts w:hint="eastAsia" w:ascii="黑体" w:hAnsi="宋体" w:eastAsia="黑体"/>
          <w:color w:val="000000"/>
          <w:kern w:val="0"/>
          <w:sz w:val="32"/>
          <w:szCs w:val="32"/>
          <w:lang w:val="en-US" w:eastAsia="zh-CN" w:bidi="en-US"/>
        </w:rPr>
        <w:t xml:space="preserve">  </w:t>
      </w:r>
      <w:r>
        <w:rPr>
          <w:rFonts w:ascii="黑体" w:hAnsi="宋体" w:eastAsia="黑体"/>
          <w:color w:val="000000"/>
          <w:kern w:val="0"/>
          <w:sz w:val="32"/>
          <w:szCs w:val="32"/>
          <w:lang w:val="en-US" w:eastAsia="zh-CN" w:bidi="en-US"/>
        </w:rPr>
        <w:t>职责分工</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 xml:space="preserve">第五条【工作机制】 </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成立区重点产业项目遴选小组（以下简称“遴选小组”），由区委书记任组长，区长任常务副组长，分管工业和信息化、规划和自然资源部门的区领导担任副组长，成员由区司法行政、区发展和改革、区统计、区环保、区土地整备、区规划和自然资源、区税务、区市场监管等部门的主要负责人组成。根据具体项目需要，可邀请各街道、应急、文体、教育、水务、卫生、建筑工务、交通运输等部门参与相关工作及会议。</w:t>
      </w:r>
    </w:p>
    <w:p>
      <w:pPr>
        <w:keepNext w:val="0"/>
        <w:keepLines w:val="0"/>
        <w:pageBreakBefore w:val="0"/>
        <w:widowControl w:val="0"/>
        <w:spacing w:beforeLines="0" w:afterLines="0" w:line="579" w:lineRule="exact"/>
        <w:ind w:firstLine="640" w:firstLineChars="200"/>
        <w:outlineLvl w:val="9"/>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遴选小组负责审定产业用地项目的竞买资格条件、重点产业用地项目遴选方案、产业发展监管协议、产业用地项目后续履约核查处理意见及其他相关重大事项。</w:t>
      </w:r>
      <w:r>
        <w:rPr>
          <w:rFonts w:hint="eastAsia" w:ascii="仿宋_GB2312" w:hAnsi="仿宋" w:eastAsia="仿宋_GB2312"/>
          <w:color w:val="auto"/>
          <w:sz w:val="32"/>
          <w:szCs w:val="32"/>
          <w:highlight w:val="none"/>
          <w:lang w:val="en-US" w:eastAsia="zh-CN"/>
        </w:rPr>
        <w:t>遴选小组</w:t>
      </w:r>
      <w:r>
        <w:rPr>
          <w:rFonts w:hint="eastAsia" w:ascii="仿宋_GB2312" w:hAnsi="仿宋" w:eastAsia="仿宋_GB2312"/>
          <w:color w:val="auto"/>
          <w:sz w:val="32"/>
          <w:szCs w:val="32"/>
          <w:highlight w:val="none"/>
        </w:rPr>
        <w:t>办公室设在</w:t>
      </w:r>
      <w:r>
        <w:rPr>
          <w:rFonts w:hint="eastAsia" w:ascii="仿宋_GB2312" w:hAnsi="仿宋" w:eastAsia="仿宋_GB2312"/>
          <w:color w:val="auto"/>
          <w:sz w:val="32"/>
          <w:szCs w:val="32"/>
          <w:highlight w:val="none"/>
          <w:lang w:eastAsia="zh-CN"/>
        </w:rPr>
        <w:t>区工业和信息化局，</w:t>
      </w:r>
      <w:r>
        <w:rPr>
          <w:rFonts w:hint="eastAsia" w:ascii="仿宋_GB2312" w:hAnsi="仿宋" w:eastAsia="仿宋_GB2312" w:cs="Times New Roman"/>
          <w:color w:val="auto"/>
          <w:sz w:val="32"/>
          <w:szCs w:val="32"/>
          <w:highlight w:val="none"/>
        </w:rPr>
        <w:t>负责统筹推动领导小组会议</w:t>
      </w:r>
      <w:r>
        <w:rPr>
          <w:rFonts w:hint="eastAsia" w:ascii="仿宋_GB2312" w:hAnsi="仿宋" w:eastAsia="仿宋_GB2312" w:cs="Times New Roman"/>
          <w:color w:val="auto"/>
          <w:sz w:val="32"/>
          <w:szCs w:val="32"/>
          <w:highlight w:val="none"/>
          <w:lang w:eastAsia="zh-CN"/>
        </w:rPr>
        <w:t>审定有关事项。</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第六条【职责分工】</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区司法行政部门负责对项目引进工作进行合法性审查。</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区发展和改革部门负责遴选方案和产业发展监管协议中有关经济指标提出意见。</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区工业和信息化部门负责汇总由区各产业主管部门报送的经分管区领导初审的产业发展监管协议及重点产业项目遴选方案等材料，并提请遴选小组审定。</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各产业主管部门依职能负责本行业产业项目接洽、培育、储备和筛选；起草项目论证方案、遴选方案及产业发展监管协议并征求相关单位的意见；提请分管区领导对产业发展监管协议、重点产业用地项目遴选方案等材料进行初审；负责对遴选方案进行报备，对备案有异议的项目，将有关单位意见汇总报市重点产业项目遴选小组办公室；对竞得人（中标人）主体资格进行审查或核实；报请区政府签订产业发展监管协议；协调解决项目引进、项目选址、项目用地出让、项目监管等问题，并承办区政府交办的其他工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区统计部门协助将迁入企业的产值（或营业收入）等在光明区纳统。</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环保部门负责根据《深圳市建设项目环境影响评价审批和备案管理名录》《深圳市区域空间生态环境评价重点项目环境影响审批名录（试行）》，对需要引进的项目是否符合环境保护规划、是否符合水源保护区要求、是否对环境造成影响等方面提出相关意见。</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区土地整备部门负责统筹协调、指导街道具体实施产业用地项目土地整备工作，梳理汇总街道报送的产业用地项目选址地块的土地整备情况。</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规划和自然资源部门负责联合产业部门出具项目论证意见，就重点产业用地项目遴选方案、竞买资格条件及产业发展监管协议的相关内容提出意见，负责核实申报产业用地企业在全市范围内的用地情况，负责按程序推进产业用地供应工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区市场监管部门负责对申报产业用地企业是否被列入严重违法失信名单提出意见，协调迁入或新设于光明区企业的工商注册事宜。</w:t>
      </w:r>
    </w:p>
    <w:p>
      <w:pPr>
        <w:keepNext w:val="0"/>
        <w:keepLines w:val="0"/>
        <w:widowControl/>
        <w:jc w:val="center"/>
        <w:rPr>
          <w:rFonts w:ascii="黑体" w:hAnsi="宋体" w:eastAsia="黑体"/>
          <w:color w:val="000000"/>
          <w:kern w:val="0"/>
          <w:sz w:val="32"/>
          <w:szCs w:val="32"/>
          <w:lang w:val="en-US" w:eastAsia="zh-CN" w:bidi="en-US"/>
        </w:rPr>
      </w:pPr>
    </w:p>
    <w:p>
      <w:pPr>
        <w:keepNext w:val="0"/>
        <w:keepLines w:val="0"/>
        <w:widowControl/>
        <w:jc w:val="center"/>
        <w:rPr>
          <w:rFonts w:ascii="黑体" w:hAnsi="宋体" w:eastAsia="黑体"/>
          <w:color w:val="000000"/>
          <w:kern w:val="0"/>
          <w:sz w:val="32"/>
          <w:szCs w:val="32"/>
          <w:lang w:val="en-US" w:eastAsia="zh-CN" w:bidi="en-US"/>
        </w:rPr>
      </w:pPr>
      <w:r>
        <w:rPr>
          <w:rFonts w:ascii="黑体" w:hAnsi="宋体" w:eastAsia="黑体"/>
          <w:color w:val="000000"/>
          <w:kern w:val="0"/>
          <w:sz w:val="32"/>
          <w:szCs w:val="32"/>
          <w:lang w:val="en-US" w:eastAsia="zh-CN" w:bidi="en-US"/>
        </w:rPr>
        <w:t>第三章  项目标准、申报资料及准入条件</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第七条【产业用地项目基本要求】 拟引进产业用地项目应符合深圳市及光明区产业发展导向。</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第八条【申报资料】 申请重点产业用地项目认定的企业，应向区各产业主管部门提交下列材料：</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（一）申请产业用地的函；</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（二）光明区申请产业用地企业信息采集表；</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（三）项目可行性研究报告；</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（四）企业营业执照副本；</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（五）法定代表人身份证明（验原件交复印件）、授权委托书；</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（六）近三年的审计报告、纳税证明；</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（七）属于国家/深圳市高新技术企业或深圳市高新技术项目的，需提交国家/深圳市高新技术企业认定证书或深圳市高新技术项目认定证书；</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（八）其他相关证明材料。</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eastAsia="zh-CN"/>
        </w:rPr>
      </w:pPr>
      <w:r>
        <w:rPr>
          <w:rFonts w:hint="eastAsia" w:ascii="仿宋_GB2312" w:hAnsi="黑体" w:eastAsia="仿宋_GB2312"/>
          <w:sz w:val="32"/>
          <w:szCs w:val="32"/>
          <w:lang w:val="en-US" w:eastAsia="zh-CN"/>
        </w:rPr>
        <w:t xml:space="preserve">第九条【竞买资格条件】 </w:t>
      </w:r>
      <w:r>
        <w:rPr>
          <w:rFonts w:hint="eastAsia" w:ascii="仿宋_GB2312" w:hAnsi="仿宋" w:eastAsia="仿宋_GB2312"/>
          <w:color w:val="auto"/>
          <w:sz w:val="32"/>
          <w:szCs w:val="32"/>
          <w:highlight w:val="none"/>
          <w:lang w:val="en-US" w:eastAsia="zh-CN"/>
        </w:rPr>
        <w:t>重点产业项目用地按照项目遴选方案设置，一般产业项目用地可按规定设置准入行业类别</w:t>
      </w:r>
      <w:r>
        <w:rPr>
          <w:rFonts w:hint="eastAsia" w:ascii="仿宋_GB2312" w:hAnsi="仿宋" w:eastAsia="仿宋_GB2312"/>
          <w:color w:val="auto"/>
          <w:sz w:val="32"/>
          <w:szCs w:val="32"/>
          <w:highlight w:val="none"/>
          <w:lang w:eastAsia="zh-CN"/>
        </w:rPr>
        <w:t>。</w:t>
      </w:r>
    </w:p>
    <w:p>
      <w:pPr>
        <w:keepNext w:val="0"/>
        <w:keepLines w:val="0"/>
        <w:widowControl/>
        <w:jc w:val="center"/>
        <w:rPr>
          <w:rFonts w:ascii="黑体" w:hAnsi="宋体" w:eastAsia="黑体"/>
          <w:color w:val="000000"/>
          <w:kern w:val="0"/>
          <w:sz w:val="32"/>
          <w:szCs w:val="32"/>
          <w:lang w:val="en-US" w:eastAsia="zh-CN" w:bidi="en-US"/>
        </w:rPr>
      </w:pPr>
    </w:p>
    <w:p>
      <w:pPr>
        <w:keepNext w:val="0"/>
        <w:keepLines w:val="0"/>
        <w:widowControl/>
        <w:jc w:val="center"/>
        <w:rPr>
          <w:rFonts w:ascii="黑体" w:hAnsi="宋体" w:eastAsia="黑体"/>
          <w:color w:val="000000"/>
          <w:kern w:val="0"/>
          <w:sz w:val="32"/>
          <w:szCs w:val="32"/>
          <w:lang w:val="en-US" w:eastAsia="zh-CN" w:bidi="en-US"/>
        </w:rPr>
      </w:pPr>
      <w:r>
        <w:rPr>
          <w:rFonts w:ascii="黑体" w:hAnsi="宋体" w:eastAsia="黑体"/>
          <w:color w:val="000000"/>
          <w:kern w:val="0"/>
          <w:sz w:val="32"/>
          <w:szCs w:val="32"/>
          <w:lang w:val="en-US" w:eastAsia="zh-CN" w:bidi="en-US"/>
        </w:rPr>
        <w:t>第四章  项目引进</w:t>
      </w:r>
      <w:r>
        <w:rPr>
          <w:rFonts w:hint="eastAsia" w:ascii="黑体" w:hAnsi="宋体" w:eastAsia="黑体"/>
          <w:color w:val="000000"/>
          <w:kern w:val="0"/>
          <w:sz w:val="32"/>
          <w:szCs w:val="32"/>
          <w:lang w:val="en-US" w:eastAsia="zh-CN" w:bidi="en-US"/>
        </w:rPr>
        <w:t>及其审批</w:t>
      </w:r>
      <w:r>
        <w:rPr>
          <w:rFonts w:ascii="黑体" w:hAnsi="宋体" w:eastAsia="黑体"/>
          <w:color w:val="000000"/>
          <w:kern w:val="0"/>
          <w:sz w:val="32"/>
          <w:szCs w:val="32"/>
          <w:lang w:val="en-US" w:eastAsia="zh-CN" w:bidi="en-US"/>
        </w:rPr>
        <w:t>流程</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第十条【项目洽谈和培育】 区各产业主管部门根据我市及光明区产业导向目录与项目引进有关标准，对申请产业用地企业开展前期对接洽谈、申报资料受理、尽职调查、项目论证等工作。结合企业规模、成长性、技术先进性、投资额等情况及项目引进标准，对符合要求的项目起草项目论证意见、产业发展监管协议、遴选方案。</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rPr>
      </w:pPr>
      <w:r>
        <w:rPr>
          <w:rFonts w:hint="eastAsia" w:ascii="仿宋_GB2312" w:hAnsi="黑体" w:eastAsia="仿宋_GB2312"/>
          <w:sz w:val="32"/>
          <w:szCs w:val="32"/>
          <w:lang w:val="en-US" w:eastAsia="zh-CN"/>
        </w:rPr>
        <w:t>第十一条【项目论证】</w:t>
      </w:r>
      <w:r>
        <w:rPr>
          <w:rFonts w:hint="eastAsia" w:ascii="仿宋_GB2312" w:hAnsi="仿宋" w:eastAsia="仿宋_GB2312"/>
          <w:color w:val="auto"/>
          <w:sz w:val="32"/>
          <w:szCs w:val="32"/>
          <w:highlight w:val="none"/>
          <w:lang w:val="en-US" w:eastAsia="zh-CN"/>
        </w:rPr>
        <w:t>项目论证工作由区产业部门、市规划和自然资源部门派出机构联合开展。区各产业部门</w:t>
      </w:r>
      <w:r>
        <w:rPr>
          <w:rFonts w:hint="eastAsia" w:ascii="仿宋_GB2312" w:hAnsi="仿宋" w:eastAsia="仿宋_GB2312"/>
          <w:color w:val="auto"/>
          <w:sz w:val="32"/>
          <w:szCs w:val="32"/>
          <w:highlight w:val="none"/>
          <w:lang w:eastAsia="zh-CN"/>
        </w:rPr>
        <w:t>负责组织</w:t>
      </w:r>
      <w:r>
        <w:rPr>
          <w:rFonts w:hint="eastAsia" w:ascii="仿宋_GB2312" w:hAnsi="仿宋" w:eastAsia="仿宋_GB2312"/>
          <w:color w:val="auto"/>
          <w:sz w:val="32"/>
          <w:szCs w:val="32"/>
          <w:highlight w:val="none"/>
          <w:lang w:val="en-US" w:eastAsia="zh-CN"/>
        </w:rPr>
        <w:t>对意向用地单位提交的材料进行核实并对履约能力</w:t>
      </w:r>
      <w:r>
        <w:rPr>
          <w:rFonts w:hint="eastAsia" w:ascii="仿宋_GB2312" w:hAnsi="仿宋" w:eastAsia="仿宋_GB2312"/>
          <w:color w:val="auto"/>
          <w:sz w:val="32"/>
          <w:szCs w:val="32"/>
          <w:highlight w:val="none"/>
          <w:lang w:eastAsia="zh-CN"/>
        </w:rPr>
        <w:t>开展</w:t>
      </w:r>
      <w:r>
        <w:rPr>
          <w:rFonts w:hint="eastAsia" w:ascii="仿宋_GB2312" w:hAnsi="仿宋" w:eastAsia="仿宋_GB2312"/>
          <w:color w:val="auto"/>
          <w:sz w:val="32"/>
          <w:szCs w:val="32"/>
          <w:highlight w:val="none"/>
          <w:lang w:val="en-US" w:eastAsia="zh-CN"/>
        </w:rPr>
        <w:t>尽职调查，对项目产业发展要求、建设规模或通用产业用房建设需求、租售管理要求等进行论证。市规划和自然资源部门派出机构</w:t>
      </w:r>
      <w:r>
        <w:rPr>
          <w:rFonts w:hint="eastAsia" w:ascii="仿宋_GB2312" w:hAnsi="仿宋" w:eastAsia="仿宋_GB2312"/>
          <w:color w:val="auto"/>
          <w:sz w:val="32"/>
          <w:szCs w:val="32"/>
          <w:highlight w:val="none"/>
          <w:lang w:eastAsia="zh-CN"/>
        </w:rPr>
        <w:t>负责</w:t>
      </w:r>
      <w:r>
        <w:rPr>
          <w:rFonts w:hint="eastAsia" w:ascii="仿宋_GB2312" w:hAnsi="仿宋" w:eastAsia="仿宋_GB2312"/>
          <w:color w:val="auto"/>
          <w:sz w:val="32"/>
          <w:szCs w:val="32"/>
          <w:highlight w:val="none"/>
          <w:lang w:val="en-US" w:eastAsia="zh-CN"/>
        </w:rPr>
        <w:t>核实意向用地单位及其关联公司市内已有产业用地开发建设情况，按照我市产业空间布局规划、年度建设用地供应计划，结合土地储备实际情况等，提出具体用地选址意见。项目论证工作完成后，由区产业部门、市规划和自然资源部门派出机构共同出具项目论证意见。项目论证意见</w:t>
      </w:r>
      <w:r>
        <w:rPr>
          <w:rFonts w:hint="eastAsia" w:ascii="仿宋_GB2312" w:hAnsi="仿宋" w:eastAsia="仿宋_GB2312" w:cs="Times New Roman"/>
          <w:color w:val="auto"/>
          <w:sz w:val="32"/>
          <w:szCs w:val="32"/>
          <w:highlight w:val="none"/>
          <w:lang w:eastAsia="zh-CN"/>
        </w:rPr>
        <w:t>具体</w:t>
      </w:r>
      <w:r>
        <w:rPr>
          <w:rFonts w:hint="eastAsia" w:ascii="仿宋_GB2312" w:hAnsi="仿宋" w:eastAsia="仿宋_GB2312" w:cs="Times New Roman"/>
          <w:color w:val="auto"/>
          <w:sz w:val="32"/>
          <w:szCs w:val="32"/>
          <w:highlight w:val="none"/>
          <w:lang w:val="en-US" w:eastAsia="zh-CN"/>
        </w:rPr>
        <w:t>包括</w:t>
      </w:r>
      <w:r>
        <w:rPr>
          <w:rFonts w:hint="eastAsia" w:ascii="仿宋_GB2312" w:hAnsi="仿宋" w:eastAsia="仿宋_GB2312" w:cs="Times New Roman"/>
          <w:color w:val="auto"/>
          <w:sz w:val="32"/>
          <w:szCs w:val="32"/>
          <w:highlight w:val="none"/>
        </w:rPr>
        <w:t>以下内容</w:t>
      </w:r>
      <w:r>
        <w:rPr>
          <w:rFonts w:hint="eastAsia" w:ascii="仿宋_GB2312" w:hAnsi="仿宋" w:eastAsia="仿宋_GB2312"/>
          <w:color w:val="auto"/>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eastAsia="zh-CN"/>
        </w:rPr>
      </w:pPr>
      <w:r>
        <w:rPr>
          <w:rFonts w:hint="eastAsia" w:ascii="仿宋_GB2312" w:hAnsi="仿宋" w:eastAsia="仿宋_GB2312" w:cs="Times New Roman"/>
          <w:color w:val="auto"/>
          <w:kern w:val="2"/>
          <w:sz w:val="32"/>
          <w:szCs w:val="32"/>
          <w:highlight w:val="none"/>
          <w:lang w:val="en-US" w:eastAsia="zh-CN" w:bidi="ar-SA"/>
        </w:rPr>
        <w:t>（一）</w:t>
      </w:r>
      <w:r>
        <w:rPr>
          <w:rFonts w:hint="eastAsia" w:ascii="仿宋_GB2312" w:hAnsi="仿宋" w:eastAsia="仿宋_GB2312"/>
          <w:color w:val="auto"/>
          <w:sz w:val="32"/>
          <w:szCs w:val="32"/>
          <w:highlight w:val="none"/>
        </w:rPr>
        <w:t>项目引进</w:t>
      </w:r>
      <w:r>
        <w:rPr>
          <w:rFonts w:hint="eastAsia" w:ascii="仿宋_GB2312" w:hAnsi="仿宋" w:eastAsia="仿宋_GB2312"/>
          <w:color w:val="auto"/>
          <w:sz w:val="32"/>
          <w:szCs w:val="32"/>
          <w:highlight w:val="none"/>
          <w:lang w:val="en-US" w:eastAsia="zh-CN"/>
        </w:rPr>
        <w:t>或通用产业用房建设</w:t>
      </w:r>
      <w:r>
        <w:rPr>
          <w:rFonts w:hint="eastAsia" w:ascii="仿宋_GB2312" w:hAnsi="仿宋" w:eastAsia="仿宋_GB2312"/>
          <w:color w:val="auto"/>
          <w:sz w:val="32"/>
          <w:szCs w:val="32"/>
          <w:highlight w:val="none"/>
        </w:rPr>
        <w:t>的可行性、必要性</w:t>
      </w:r>
      <w:r>
        <w:rPr>
          <w:rFonts w:hint="eastAsia" w:ascii="仿宋_GB2312" w:hAnsi="仿宋" w:eastAsia="仿宋_GB2312"/>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eastAsia="zh-CN"/>
        </w:rPr>
      </w:pPr>
      <w:r>
        <w:rPr>
          <w:rFonts w:hint="eastAsia" w:ascii="仿宋_GB2312" w:hAnsi="仿宋" w:eastAsia="仿宋_GB2312" w:cs="Times New Roman"/>
          <w:color w:val="auto"/>
          <w:kern w:val="2"/>
          <w:sz w:val="32"/>
          <w:szCs w:val="32"/>
          <w:highlight w:val="none"/>
          <w:lang w:val="en-US" w:eastAsia="zh-CN" w:bidi="ar-SA"/>
        </w:rPr>
        <w:t>（二）</w:t>
      </w:r>
      <w:r>
        <w:rPr>
          <w:rFonts w:hint="eastAsia" w:ascii="仿宋_GB2312" w:hAnsi="仿宋" w:eastAsia="仿宋_GB2312"/>
          <w:color w:val="auto"/>
          <w:sz w:val="32"/>
          <w:szCs w:val="32"/>
          <w:highlight w:val="none"/>
          <w:lang w:val="en-US" w:eastAsia="zh-CN"/>
        </w:rPr>
        <w:t>产业准入条件和</w:t>
      </w:r>
      <w:r>
        <w:rPr>
          <w:rFonts w:hint="eastAsia" w:ascii="仿宋_GB2312" w:hAnsi="仿宋" w:eastAsia="仿宋_GB2312"/>
          <w:color w:val="auto"/>
          <w:sz w:val="32"/>
          <w:szCs w:val="32"/>
          <w:highlight w:val="none"/>
        </w:rPr>
        <w:t>建设内容</w:t>
      </w:r>
      <w:r>
        <w:rPr>
          <w:rFonts w:hint="eastAsia" w:ascii="仿宋_GB2312" w:hAnsi="仿宋" w:eastAsia="仿宋_GB2312"/>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eastAsia="zh-CN"/>
        </w:rPr>
      </w:pPr>
      <w:r>
        <w:rPr>
          <w:rFonts w:hint="eastAsia" w:ascii="仿宋_GB2312" w:hAnsi="仿宋" w:eastAsia="仿宋_GB2312" w:cs="Times New Roman"/>
          <w:color w:val="auto"/>
          <w:kern w:val="2"/>
          <w:sz w:val="32"/>
          <w:szCs w:val="32"/>
          <w:highlight w:val="none"/>
          <w:lang w:val="en-US" w:eastAsia="zh-CN" w:bidi="ar-SA"/>
        </w:rPr>
        <w:t>（三）</w:t>
      </w:r>
      <w:r>
        <w:rPr>
          <w:rFonts w:hint="eastAsia" w:ascii="仿宋_GB2312" w:hAnsi="仿宋" w:eastAsia="仿宋_GB2312"/>
          <w:color w:val="auto"/>
          <w:sz w:val="32"/>
          <w:szCs w:val="32"/>
          <w:highlight w:val="none"/>
          <w:lang w:val="en-US" w:eastAsia="zh-CN"/>
        </w:rPr>
        <w:t>拟选址用地的基本情况</w:t>
      </w:r>
      <w:r>
        <w:rPr>
          <w:rFonts w:hint="eastAsia" w:ascii="仿宋_GB2312" w:hAnsi="仿宋" w:eastAsia="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eastAsia="zh-CN"/>
        </w:rPr>
      </w:pPr>
      <w:r>
        <w:rPr>
          <w:rFonts w:hint="eastAsia" w:ascii="仿宋_GB2312" w:hAnsi="仿宋" w:eastAsia="仿宋_GB2312"/>
          <w:color w:val="auto"/>
          <w:sz w:val="32"/>
          <w:szCs w:val="32"/>
          <w:highlight w:val="none"/>
          <w:lang w:eastAsia="zh-CN"/>
        </w:rPr>
        <w:t>（</w:t>
      </w:r>
      <w:r>
        <w:rPr>
          <w:rFonts w:hint="eastAsia" w:ascii="仿宋_GB2312" w:hAnsi="仿宋" w:eastAsia="仿宋_GB2312"/>
          <w:color w:val="auto"/>
          <w:sz w:val="32"/>
          <w:szCs w:val="32"/>
          <w:highlight w:val="none"/>
          <w:lang w:val="en-US" w:eastAsia="zh-CN"/>
        </w:rPr>
        <w:t>四</w:t>
      </w:r>
      <w:r>
        <w:rPr>
          <w:rFonts w:hint="eastAsia" w:ascii="仿宋_GB2312" w:hAnsi="仿宋" w:eastAsia="仿宋_GB2312" w:cs="Times New Roman"/>
          <w:color w:val="auto"/>
          <w:sz w:val="32"/>
          <w:szCs w:val="32"/>
          <w:highlight w:val="none"/>
          <w:lang w:val="en-US" w:eastAsia="zh-CN"/>
        </w:rPr>
        <w:t>）</w:t>
      </w:r>
      <w:r>
        <w:rPr>
          <w:rFonts w:hint="eastAsia" w:ascii="仿宋_GB2312" w:hAnsi="仿宋" w:eastAsia="仿宋_GB2312"/>
          <w:color w:val="auto"/>
          <w:sz w:val="32"/>
          <w:szCs w:val="32"/>
          <w:highlight w:val="none"/>
        </w:rPr>
        <w:t>投资强度、产出</w:t>
      </w:r>
      <w:r>
        <w:rPr>
          <w:rFonts w:hint="eastAsia" w:ascii="仿宋_GB2312" w:hAnsi="仿宋" w:eastAsia="仿宋_GB2312"/>
          <w:color w:val="auto"/>
          <w:sz w:val="32"/>
          <w:szCs w:val="32"/>
          <w:highlight w:val="none"/>
          <w:lang w:val="en-US" w:eastAsia="zh-CN"/>
        </w:rPr>
        <w:t>效益等</w:t>
      </w:r>
      <w:r>
        <w:rPr>
          <w:rFonts w:hint="eastAsia" w:ascii="仿宋_GB2312" w:hAnsi="仿宋" w:eastAsia="仿宋_GB2312" w:cs="Times New Roman"/>
          <w:color w:val="auto"/>
          <w:sz w:val="32"/>
          <w:szCs w:val="32"/>
          <w:highlight w:val="none"/>
          <w:lang w:val="en-US" w:eastAsia="zh-CN"/>
        </w:rPr>
        <w:t>产业发展要求及通用产业用房的建设标准、租售比例等管理要求</w:t>
      </w:r>
      <w:r>
        <w:rPr>
          <w:rFonts w:hint="eastAsia" w:ascii="仿宋_GB2312" w:hAnsi="仿宋" w:eastAsia="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rPr>
        <w:t>（</w:t>
      </w:r>
      <w:r>
        <w:rPr>
          <w:rFonts w:hint="eastAsia" w:ascii="仿宋_GB2312" w:hAnsi="仿宋" w:eastAsia="仿宋_GB2312"/>
          <w:color w:val="auto"/>
          <w:sz w:val="32"/>
          <w:szCs w:val="32"/>
          <w:highlight w:val="none"/>
          <w:lang w:val="en-US" w:eastAsia="zh-CN"/>
        </w:rPr>
        <w:t>五</w:t>
      </w:r>
      <w:r>
        <w:rPr>
          <w:rFonts w:hint="eastAsia" w:ascii="仿宋_GB2312" w:hAnsi="仿宋" w:eastAsia="仿宋_GB2312"/>
          <w:color w:val="auto"/>
          <w:sz w:val="32"/>
          <w:szCs w:val="32"/>
          <w:highlight w:val="none"/>
        </w:rPr>
        <w:t>）</w:t>
      </w:r>
      <w:r>
        <w:rPr>
          <w:rFonts w:hint="eastAsia" w:ascii="仿宋_GB2312" w:hAnsi="仿宋" w:eastAsia="仿宋_GB2312"/>
          <w:color w:val="auto"/>
          <w:sz w:val="32"/>
          <w:szCs w:val="32"/>
          <w:highlight w:val="none"/>
          <w:lang w:eastAsia="zh-CN"/>
        </w:rPr>
        <w:t>是否允许</w:t>
      </w:r>
      <w:r>
        <w:rPr>
          <w:rFonts w:hint="eastAsia" w:ascii="仿宋_GB2312" w:hAnsi="仿宋" w:eastAsia="仿宋_GB2312"/>
          <w:color w:val="auto"/>
          <w:sz w:val="32"/>
          <w:szCs w:val="32"/>
          <w:highlight w:val="none"/>
        </w:rPr>
        <w:t>联合</w:t>
      </w:r>
      <w:r>
        <w:rPr>
          <w:rFonts w:hint="eastAsia" w:ascii="仿宋_GB2312" w:hAnsi="仿宋" w:eastAsia="仿宋_GB2312"/>
          <w:color w:val="auto"/>
          <w:sz w:val="32"/>
          <w:szCs w:val="32"/>
          <w:highlight w:val="none"/>
          <w:lang w:val="en-US" w:eastAsia="zh-CN"/>
        </w:rPr>
        <w:t>竞买</w:t>
      </w:r>
      <w:r>
        <w:rPr>
          <w:rFonts w:hint="eastAsia" w:ascii="仿宋_GB2312" w:hAnsi="仿宋" w:eastAsia="仿宋_GB2312"/>
          <w:color w:val="auto"/>
          <w:sz w:val="32"/>
          <w:szCs w:val="32"/>
          <w:highlight w:val="none"/>
          <w:lang w:eastAsia="zh-CN"/>
        </w:rPr>
        <w:t>；</w:t>
      </w:r>
    </w:p>
    <w:p>
      <w:pPr>
        <w:keepNext w:val="0"/>
        <w:keepLines w:val="0"/>
        <w:pageBreakBefore w:val="0"/>
        <w:widowControl w:val="0"/>
        <w:spacing w:beforeLines="0" w:afterLines="0" w:line="579" w:lineRule="exact"/>
        <w:ind w:firstLine="640" w:firstLineChars="200"/>
        <w:outlineLvl w:val="9"/>
        <w:rPr>
          <w:rFonts w:hint="eastAsia" w:ascii="仿宋_GB2312" w:hAnsi="黑体" w:eastAsia="仿宋_GB2312"/>
          <w:sz w:val="32"/>
          <w:szCs w:val="32"/>
          <w:lang w:val="en-US" w:eastAsia="zh-CN"/>
        </w:rPr>
      </w:pPr>
      <w:r>
        <w:rPr>
          <w:rFonts w:hint="eastAsia" w:ascii="仿宋_GB2312" w:hAnsi="仿宋" w:eastAsia="仿宋_GB2312"/>
          <w:color w:val="auto"/>
          <w:sz w:val="32"/>
          <w:szCs w:val="32"/>
          <w:highlight w:val="none"/>
          <w:lang w:val="en-US" w:eastAsia="zh-CN"/>
        </w:rPr>
        <w:t>（六）其他需要明确的事项。</w:t>
      </w:r>
    </w:p>
    <w:p>
      <w:pPr>
        <w:keepNext w:val="0"/>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黑体" w:eastAsia="仿宋_GB2312"/>
          <w:sz w:val="32"/>
          <w:szCs w:val="32"/>
          <w:lang w:val="en-US" w:eastAsia="zh-CN"/>
        </w:rPr>
        <w:t>第十二条【产业发展监管协议】</w:t>
      </w:r>
      <w:r>
        <w:rPr>
          <w:rFonts w:hint="eastAsia" w:ascii="仿宋_GB2312" w:hAnsi="仿宋" w:eastAsia="仿宋_GB2312"/>
          <w:color w:val="auto"/>
          <w:sz w:val="32"/>
          <w:szCs w:val="32"/>
          <w:highlight w:val="none"/>
          <w:lang w:val="en-US" w:eastAsia="zh-CN"/>
        </w:rPr>
        <w:t>区产业部门结合项目论证拟订产业项目的产业发展监管协议（以下简称监管协议），具体包括以下内容：</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（一）基本情况，包括地块情况和产业准入条件；</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（二）监管协议双方的权利和义务，包括项目的投资强度、产出效率等产业发展要求，以及转让、出租、抵押等产权限制条件；</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（三）履约核查内容及违约责任；</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（四）联合竞买要求；</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（五）其他需要明确的事项。</w:t>
      </w:r>
    </w:p>
    <w:p>
      <w:pPr>
        <w:keepNext w:val="0"/>
        <w:keepLines w:val="0"/>
        <w:pageBreakBefore w:val="0"/>
        <w:widowControl w:val="0"/>
        <w:spacing w:beforeLines="0" w:afterLines="0" w:line="579" w:lineRule="exact"/>
        <w:ind w:firstLine="640" w:firstLineChars="200"/>
        <w:outlineLvl w:val="9"/>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第十三条【重点产业用地项目遴选方案】</w:t>
      </w:r>
      <w:r>
        <w:rPr>
          <w:rFonts w:hint="eastAsia" w:ascii="仿宋_GB2312" w:hAnsi="仿宋" w:eastAsia="仿宋_GB2312"/>
          <w:color w:val="auto"/>
          <w:sz w:val="32"/>
          <w:szCs w:val="32"/>
          <w:highlight w:val="none"/>
          <w:lang w:val="en-US" w:eastAsia="zh-CN"/>
        </w:rPr>
        <w:t>重点产业项目由区各产业部门在项目论证意见基础上，拟订项目遴选方案草案。属于市级重点产业项目的，由区政府将项目遴选方案草案和监管协议草案报送项目所属行业类别对应的市产业部门、市规划和自然资源部门。市规划和自然资源部门出具审核意见反馈市产业部门，由市产业部门制定项目遴选方案、监管协议。</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第十四条【征求意见】 区各产业主管部门征求相关单位对产业发展监管协议及重点产业项目遴选方案的意见。</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第十五条【初审】 区各产业主管部门根据需要召集区发展和改革、规划和自然资源、土地整备等部门，对产业发展监管协议及重点产业项目遴选方案等材料进行研究</w:t>
      </w:r>
      <w:r>
        <w:rPr>
          <w:rFonts w:ascii="仿宋_GB2312" w:hAnsi="黑体" w:eastAsia="仿宋_GB2312"/>
          <w:sz w:val="32"/>
          <w:szCs w:val="32"/>
          <w:lang w:val="en-US" w:eastAsia="zh-CN"/>
        </w:rPr>
        <w:t>，并将</w:t>
      </w:r>
      <w:r>
        <w:rPr>
          <w:rFonts w:hint="eastAsia" w:ascii="仿宋_GB2312" w:hAnsi="黑体" w:eastAsia="仿宋_GB2312"/>
          <w:sz w:val="32"/>
          <w:szCs w:val="32"/>
          <w:lang w:val="en-US" w:eastAsia="zh-CN"/>
        </w:rPr>
        <w:t>经分管区领导初审</w:t>
      </w:r>
      <w:r>
        <w:rPr>
          <w:rFonts w:ascii="仿宋_GB2312" w:hAnsi="黑体" w:eastAsia="仿宋_GB2312"/>
          <w:sz w:val="32"/>
          <w:szCs w:val="32"/>
          <w:lang w:val="en-US" w:eastAsia="zh-CN"/>
        </w:rPr>
        <w:t>后的材料报</w:t>
      </w:r>
      <w:r>
        <w:rPr>
          <w:rFonts w:hint="eastAsia" w:ascii="仿宋_GB2312" w:hAnsi="黑体" w:eastAsia="仿宋_GB2312"/>
          <w:sz w:val="32"/>
          <w:szCs w:val="32"/>
          <w:lang w:val="en-US" w:eastAsia="zh-CN"/>
        </w:rPr>
        <w:t>遴选小组办公室</w:t>
      </w:r>
      <w:r>
        <w:rPr>
          <w:rFonts w:ascii="仿宋_GB2312" w:hAnsi="黑体" w:eastAsia="仿宋_GB2312"/>
          <w:sz w:val="32"/>
          <w:szCs w:val="32"/>
          <w:lang w:val="en-US" w:eastAsia="zh-CN"/>
        </w:rPr>
        <w:t>汇总</w:t>
      </w:r>
      <w:r>
        <w:rPr>
          <w:rFonts w:hint="eastAsia" w:ascii="仿宋_GB2312" w:hAnsi="黑体" w:eastAsia="仿宋_GB2312"/>
          <w:sz w:val="32"/>
          <w:szCs w:val="32"/>
          <w:lang w:val="en-US" w:eastAsia="zh-CN"/>
        </w:rPr>
        <w:t>。</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第十六条【审定】 遴选小组办公室提请遴选小组审定产业发展监管协议及重点产业项目遴选方案。</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第十七条【遴选方案报备】 重点产业项目遴选方案（含竞买资格条件）与产业发展监管协议一并报市发展改革、规划和自然资源及相关产业主管部门备案。</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第十八条【项目论证意见和遴选方案有效期】</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项目论证意见和重点产业项目遴选方案有效期1年，有效期内未完成国有建设用地使用权供应方案审定的，项目论证意见和重点产业项目遴选方案失效。失效后确有必要继续供应土地的，应当按照本办法规定重新开展项目论证或遴选工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第十九条【组织用地供应工作】 区规划和自然资源部门根据区委区政府审定结果，按程序组织用地供应工作。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第二十条【核实或审查竞买资格条件】 区各产业主管部门按规定对竞得人（中标人）主体资格进行审查或核实。</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其中，一般产业用地项目的竞得人在签订成交确认书后5个工作日内向区各产业主管部门提出竞买资格条件核实申请，由区各产业主管部门自受理之日起5个工作日内提出核实意见。</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重点产业用地项目用地竞买申请人在建设用地供应公告规定的公告期内向区各产业主管部门提出竞买资格条件审查申请的，由区各产业主管部门自受理之日起5个工作日内提出审查意见。</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第二十一条【签订产业发展监管协议】 由区政府与用地竞得人签订产业发展监管协议，对双方权利义务进行约定，并于土地成交后的5个工作日内签订，产业发展监管协议将作为土地供应合同的附件。</w:t>
      </w:r>
    </w:p>
    <w:p>
      <w:pPr>
        <w:keepNext w:val="0"/>
        <w:keepLines w:val="0"/>
        <w:widowControl/>
        <w:jc w:val="center"/>
        <w:rPr>
          <w:rFonts w:ascii="黑体" w:hAnsi="宋体" w:eastAsia="黑体"/>
          <w:color w:val="000000"/>
          <w:kern w:val="0"/>
          <w:sz w:val="32"/>
          <w:szCs w:val="32"/>
          <w:lang w:val="en-US" w:eastAsia="zh-CN" w:bidi="en-US"/>
        </w:rPr>
      </w:pPr>
    </w:p>
    <w:p>
      <w:pPr>
        <w:keepNext w:val="0"/>
        <w:keepLines w:val="0"/>
        <w:widowControl/>
        <w:jc w:val="center"/>
        <w:rPr>
          <w:rFonts w:ascii="黑体" w:hAnsi="宋体" w:eastAsia="黑体"/>
          <w:color w:val="000000"/>
          <w:kern w:val="0"/>
          <w:sz w:val="32"/>
          <w:szCs w:val="32"/>
          <w:lang w:val="en-US" w:eastAsia="zh-CN" w:bidi="en-US"/>
        </w:rPr>
      </w:pPr>
      <w:r>
        <w:rPr>
          <w:rFonts w:ascii="黑体" w:hAnsi="宋体" w:eastAsia="黑体"/>
          <w:color w:val="000000"/>
          <w:kern w:val="0"/>
          <w:sz w:val="32"/>
          <w:szCs w:val="32"/>
          <w:lang w:val="en-US" w:eastAsia="zh-CN" w:bidi="en-US"/>
        </w:rPr>
        <w:t>第五章  项目后续监管</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二条【监管时点及核查内容】在宗地项目建成投产后1年内、投产后每隔5年、租赁转出让前1年内、出让（租赁）年期届满前1年及双方约定一致的其他核查时间点，由区商务部门会同相关部门，通过自行核查或委托专业机构对协议有关约定事项的履行情况进行核查。</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（一）项目建成投产后1年内，核查内容包括产业发展监管协议约定的投资强度是否达到承诺值、投产时间是否延误、产值规模（或营业收入）及企业贡献是否达标，产值能耗是否超标；</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（二）项目投产后第6年，核查内容包括产业发展监管协议约定的达产时间是否延误、产出效率是否达到承诺值、产值规模（或营业收入）及企业贡献是否达标，产值能耗是否超标；</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（三）租赁年期届满前1年，核查项目是否达到约定的转出让条件；</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土地出让期内每一个核查时点，均需核查的其他事项包括房产是否存在擅自出售、出租情况，控股股东或者实际控制人是否发生变化，实际运营产业是否符合准入条件等。</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第二十三条【后续履约核查】 对履约考核未通过的，区商务部门形成核查处理意见，按程序提请区委区政府审定。结合企业实际情况，对于因自然灾害、政府行为、社会异常事件等不可抗力造成部分考核指标未达标的，可视具体情况分梯度处理。经区委区政府审定的履约核查处理报告按批次报送市规划和自然资源部门汇总后报送市政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用地竞得人履约考核未通过的，产业发展监管责任主体应当依法依约进行处置。</w:t>
      </w:r>
    </w:p>
    <w:p>
      <w:pPr>
        <w:pStyle w:val="178"/>
        <w:spacing w:line="560" w:lineRule="exact"/>
        <w:ind w:left="1050" w:hanging="420" w:firstLineChars="0"/>
        <w:outlineLvl w:val="1"/>
        <w:rPr>
          <w:rFonts w:hint="eastAsia" w:ascii="仿宋_GB2312" w:hAnsi="黑体" w:eastAsia="仿宋_GB2312"/>
          <w:kern w:val="2"/>
          <w:sz w:val="32"/>
          <w:szCs w:val="32"/>
          <w:lang w:val="en-US" w:eastAsia="zh-CN" w:bidi="ar-SA"/>
        </w:rPr>
      </w:pPr>
      <w:r>
        <w:rPr>
          <w:rFonts w:hint="eastAsia" w:ascii="仿宋_GB2312" w:hAnsi="黑体" w:eastAsia="仿宋_GB2312"/>
          <w:kern w:val="2"/>
          <w:sz w:val="32"/>
          <w:szCs w:val="32"/>
          <w:lang w:val="en-US" w:eastAsia="zh-CN" w:bidi="ar-SA"/>
        </w:rPr>
        <w:t>第二十四条【监管协议调整】</w:t>
      </w:r>
    </w:p>
    <w:p>
      <w:pPr>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s="Times New Roman"/>
          <w:color w:val="auto"/>
          <w:sz w:val="32"/>
          <w:szCs w:val="32"/>
          <w:highlight w:val="none"/>
          <w:lang w:val="en-US" w:eastAsia="zh-CN"/>
        </w:rPr>
      </w:pPr>
      <w:r>
        <w:rPr>
          <w:rFonts w:hint="eastAsia" w:ascii="仿宋_GB2312" w:hAnsi="仿宋" w:eastAsia="仿宋_GB2312" w:cs="Times New Roman"/>
          <w:color w:val="auto"/>
          <w:sz w:val="32"/>
          <w:szCs w:val="32"/>
          <w:highlight w:val="none"/>
          <w:lang w:val="en-US" w:eastAsia="zh-CN"/>
        </w:rPr>
        <w:t>因国家政策、市场环境变化或不可抗力等客观原因导致履约困难的，市产业部门或区政府可依用地单位申请，协商调整监管协议相关产业发展要求并签订监管协议补充协议。</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黑体" w:eastAsia="仿宋_GB2312"/>
          <w:sz w:val="32"/>
          <w:szCs w:val="32"/>
          <w:lang w:val="en-US" w:eastAsia="zh-CN"/>
        </w:rPr>
        <w:t xml:space="preserve">第二十五条【退出机制】 </w:t>
      </w:r>
      <w:r>
        <w:rPr>
          <w:rFonts w:hint="eastAsia" w:ascii="仿宋_GB2312" w:hAnsi="仿宋" w:eastAsia="仿宋_GB2312"/>
          <w:color w:val="auto"/>
          <w:sz w:val="32"/>
          <w:szCs w:val="32"/>
          <w:highlight w:val="none"/>
          <w:lang w:val="en-US" w:eastAsia="zh-CN"/>
        </w:rPr>
        <w:t>用地单位因自身原因无力继续投资建设或运营，申请转让土地使用权未获批准或无符合条件的次受让人的，可向市规划和自然资源部门派出机构申请终止履行土地供应合同并收储。经原批准用地的人民政府批准后，解除土地供应合同并按规定开展土地收储。</w:t>
      </w:r>
    </w:p>
    <w:p>
      <w:pPr>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经批准土地收储的，土地收储价格按照剩余年期的土地市场价格，并扣除原</w:t>
      </w:r>
      <w:r>
        <w:rPr>
          <w:rFonts w:hint="eastAsia" w:ascii="仿宋_GB2312" w:hAnsi="仿宋" w:eastAsia="仿宋_GB2312"/>
          <w:color w:val="auto"/>
          <w:sz w:val="32"/>
          <w:szCs w:val="32"/>
          <w:highlight w:val="none"/>
          <w:lang w:eastAsia="zh-CN"/>
        </w:rPr>
        <w:t>合同约定</w:t>
      </w:r>
      <w:r>
        <w:rPr>
          <w:rFonts w:hint="eastAsia" w:ascii="仿宋_GB2312" w:hAnsi="仿宋" w:eastAsia="仿宋_GB2312"/>
          <w:color w:val="auto"/>
          <w:sz w:val="32"/>
          <w:szCs w:val="32"/>
          <w:highlight w:val="none"/>
          <w:lang w:val="en-US" w:eastAsia="zh-CN"/>
        </w:rPr>
        <w:t>地价20%的违约金后确定。构成闲置土地需要征缴土地闲置费的，应按规定征缴。</w:t>
      </w:r>
    </w:p>
    <w:p>
      <w:pPr>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建（构）筑物原则上不予补偿，由用地单位限期清除；经批准建（构）筑物可保留使用的，可以按不超过建（构）筑物残值的标准进行补偿。</w:t>
      </w:r>
    </w:p>
    <w:p>
      <w:pPr>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土地收储申请未获批准的，用地单位应继续履行土地供应合同。拒不履行土地供应合同的，建设用地使用权和建（构）筑物按照规定或者土地供应合同约定进行处置。</w:t>
      </w:r>
    </w:p>
    <w:p>
      <w:pPr>
        <w:keepLines w:val="0"/>
        <w:pageBreakBefore w:val="0"/>
        <w:widowControl w:val="0"/>
        <w:numPr>
          <w:ilvl w:val="0"/>
          <w:numId w:val="0"/>
        </w:numPr>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土地收储以及建（构）筑物补偿所需资金，在土地整备资金中列支。</w:t>
      </w:r>
    </w:p>
    <w:p>
      <w:pPr>
        <w:keepNext w:val="0"/>
        <w:keepLines w:val="0"/>
        <w:widowControl w:val="0"/>
        <w:spacing w:line="560" w:lineRule="exact"/>
        <w:ind w:firstLine="640" w:firstLineChars="200"/>
        <w:jc w:val="left"/>
        <w:rPr>
          <w:rFonts w:ascii="黑体" w:hAnsi="宋体" w:eastAsia="黑体"/>
          <w:color w:val="000000"/>
          <w:kern w:val="0"/>
          <w:sz w:val="32"/>
          <w:szCs w:val="32"/>
          <w:lang w:val="en-US" w:eastAsia="zh-CN" w:bidi="en-US"/>
        </w:rPr>
      </w:pPr>
    </w:p>
    <w:p>
      <w:pPr>
        <w:keepNext w:val="0"/>
        <w:keepLines w:val="0"/>
        <w:widowControl/>
        <w:jc w:val="center"/>
        <w:rPr>
          <w:rFonts w:ascii="黑体" w:hAnsi="宋体" w:eastAsia="黑体"/>
          <w:color w:val="000000"/>
          <w:kern w:val="0"/>
          <w:sz w:val="32"/>
          <w:szCs w:val="32"/>
          <w:lang w:val="en-US" w:eastAsia="zh-CN" w:bidi="en-US"/>
        </w:rPr>
      </w:pPr>
      <w:r>
        <w:rPr>
          <w:rFonts w:ascii="黑体" w:hAnsi="宋体" w:eastAsia="黑体"/>
          <w:color w:val="000000"/>
          <w:kern w:val="0"/>
          <w:sz w:val="32"/>
          <w:szCs w:val="32"/>
          <w:lang w:val="en-US" w:eastAsia="zh-CN" w:bidi="en-US"/>
        </w:rPr>
        <w:t>第六章  保障措施</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第二十六条【配合协作】 各有关部门按照职责分工， 互相配合，各负其责，共同参与产业用地项目引进及后续监管工作。</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第二十七条【责任追究】 区有关部门、管理机构及其工作人员未按照规定履行职责或者有违反法律、法规、规章规定行为的，依照有关规定追究相关责任人的行政责任；涉嫌犯罪的，移送司法机关依法处理。</w:t>
      </w:r>
    </w:p>
    <w:p>
      <w:pPr>
        <w:keepNext w:val="0"/>
        <w:keepLines w:val="0"/>
        <w:widowControl/>
        <w:jc w:val="both"/>
        <w:rPr>
          <w:rFonts w:ascii="黑体" w:hAnsi="宋体" w:eastAsia="黑体"/>
          <w:color w:val="000000"/>
          <w:kern w:val="0"/>
          <w:sz w:val="32"/>
          <w:szCs w:val="32"/>
          <w:lang w:val="en-US" w:eastAsia="zh-CN" w:bidi="en-US"/>
        </w:rPr>
      </w:pPr>
    </w:p>
    <w:p>
      <w:pPr>
        <w:keepNext w:val="0"/>
        <w:keepLines w:val="0"/>
        <w:widowControl/>
        <w:jc w:val="center"/>
        <w:rPr>
          <w:rFonts w:hint="eastAsia" w:ascii="仿宋_GB2312" w:hAnsi="黑体" w:eastAsia="仿宋_GB2312"/>
          <w:sz w:val="32"/>
          <w:szCs w:val="32"/>
          <w:lang w:val="en-US" w:eastAsia="zh-CN"/>
        </w:rPr>
      </w:pPr>
      <w:r>
        <w:rPr>
          <w:rFonts w:ascii="黑体" w:hAnsi="宋体" w:eastAsia="黑体"/>
          <w:color w:val="000000"/>
          <w:kern w:val="0"/>
          <w:sz w:val="32"/>
          <w:szCs w:val="32"/>
          <w:lang w:val="en-US" w:eastAsia="zh-CN" w:bidi="en-US"/>
        </w:rPr>
        <w:t>第七章  附则</w:t>
      </w:r>
    </w:p>
    <w:p>
      <w:pPr>
        <w:pStyle w:val="178"/>
        <w:keepNext w:val="0"/>
        <w:keepLines w:val="0"/>
        <w:pageBreakBefore w:val="0"/>
        <w:widowControl w:val="0"/>
        <w:kinsoku/>
        <w:wordWrap/>
        <w:overflowPunct/>
        <w:topLinePunct w:val="0"/>
        <w:autoSpaceDE/>
        <w:autoSpaceDN/>
        <w:bidi w:val="0"/>
        <w:adjustRightInd/>
        <w:snapToGrid/>
        <w:spacing w:beforeLines="0" w:afterLines="0" w:line="579" w:lineRule="exact"/>
        <w:ind w:left="0" w:firstLine="640" w:firstLineChars="200"/>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第</w:t>
      </w:r>
      <w:r>
        <w:rPr>
          <w:rFonts w:hint="eastAsia" w:ascii="仿宋_GB2312" w:hAnsi="仿宋_GB2312" w:eastAsia="仿宋_GB2312" w:cs="仿宋_GB2312"/>
          <w:color w:val="auto"/>
          <w:sz w:val="32"/>
          <w:szCs w:val="32"/>
          <w:highlight w:val="none"/>
          <w:lang w:val="en-US" w:eastAsia="zh-CN"/>
        </w:rPr>
        <w:t>二十八</w:t>
      </w:r>
      <w:r>
        <w:rPr>
          <w:rFonts w:hint="eastAsia" w:ascii="仿宋_GB2312" w:hAnsi="仿宋_GB2312" w:eastAsia="仿宋_GB2312" w:cs="仿宋_GB2312"/>
          <w:color w:val="auto"/>
          <w:sz w:val="32"/>
          <w:szCs w:val="32"/>
          <w:highlight w:val="none"/>
        </w:rPr>
        <w:t>条</w:t>
      </w:r>
      <w:r>
        <w:rPr>
          <w:rFonts w:hint="eastAsia" w:ascii="仿宋_GB2312" w:hAnsi="仿宋_GB2312" w:eastAsia="仿宋_GB2312" w:cs="仿宋_GB2312"/>
          <w:color w:val="auto"/>
          <w:sz w:val="32"/>
          <w:szCs w:val="32"/>
          <w:highlight w:val="none"/>
          <w:lang w:eastAsia="zh-CN"/>
        </w:rPr>
        <w:t>【重点产业项目标准】</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color w:val="auto"/>
          <w:sz w:val="32"/>
          <w:szCs w:val="32"/>
          <w:highlight w:val="none"/>
          <w:lang w:val="en-US" w:eastAsia="zh-CN"/>
        </w:rPr>
        <w:t>级重点产业项目的</w:t>
      </w:r>
      <w:r>
        <w:rPr>
          <w:rFonts w:hint="eastAsia" w:ascii="仿宋_GB2312" w:hAnsi="仿宋_GB2312" w:eastAsia="仿宋_GB2312" w:cs="仿宋_GB2312"/>
          <w:color w:val="auto"/>
          <w:sz w:val="32"/>
          <w:szCs w:val="32"/>
          <w:highlight w:val="none"/>
        </w:rPr>
        <w:t>认定标准</w:t>
      </w:r>
      <w:r>
        <w:rPr>
          <w:rFonts w:hint="eastAsia" w:ascii="仿宋_GB2312" w:hAnsi="仿宋_GB2312" w:eastAsia="仿宋_GB2312" w:cs="仿宋_GB2312"/>
          <w:color w:val="auto"/>
          <w:sz w:val="32"/>
          <w:szCs w:val="32"/>
          <w:highlight w:val="none"/>
          <w:lang w:val="en-US" w:eastAsia="zh-CN"/>
        </w:rPr>
        <w:t>由</w:t>
      </w:r>
      <w:r>
        <w:rPr>
          <w:rFonts w:hint="eastAsia" w:ascii="仿宋_GB2312" w:hAnsi="仿宋_GB2312" w:eastAsia="仿宋_GB2312" w:cs="仿宋_GB2312"/>
          <w:color w:val="auto"/>
          <w:sz w:val="32"/>
          <w:szCs w:val="32"/>
          <w:highlight w:val="none"/>
          <w:lang w:eastAsia="zh-CN"/>
        </w:rPr>
        <w:t>区工业和信息化局</w:t>
      </w:r>
      <w:r>
        <w:rPr>
          <w:rFonts w:hint="eastAsia" w:ascii="仿宋_GB2312" w:hAnsi="仿宋_GB2312" w:eastAsia="仿宋_GB2312" w:cs="仿宋_GB2312"/>
          <w:color w:val="auto"/>
          <w:sz w:val="32"/>
          <w:szCs w:val="32"/>
          <w:highlight w:val="none"/>
          <w:lang w:val="en-US" w:eastAsia="zh-CN"/>
        </w:rPr>
        <w:t>于</w:t>
      </w:r>
      <w:r>
        <w:rPr>
          <w:rFonts w:hint="eastAsia" w:ascii="仿宋_GB2312" w:hAnsi="仿宋_GB2312" w:eastAsia="仿宋_GB2312" w:cs="仿宋_GB2312"/>
          <w:color w:val="auto"/>
          <w:sz w:val="32"/>
          <w:szCs w:val="32"/>
          <w:highlight w:val="none"/>
        </w:rPr>
        <w:t>本办法施行之日起6个月内制定，并定期更新</w:t>
      </w:r>
      <w:r>
        <w:rPr>
          <w:rFonts w:hint="eastAsia" w:ascii="仿宋_GB2312" w:hAnsi="仿宋_GB2312" w:eastAsia="仿宋_GB2312" w:cs="仿宋_GB2312"/>
          <w:color w:val="auto"/>
          <w:sz w:val="32"/>
          <w:szCs w:val="32"/>
          <w:highlight w:val="none"/>
          <w:lang w:eastAsia="zh-CN"/>
        </w:rPr>
        <w:t>。</w:t>
      </w:r>
    </w:p>
    <w:p>
      <w:pPr>
        <w:keepLines w:val="0"/>
        <w:pageBreakBefore w:val="0"/>
        <w:widowControl w:val="0"/>
        <w:kinsoku/>
        <w:wordWrap/>
        <w:overflowPunct/>
        <w:topLinePunct w:val="0"/>
        <w:autoSpaceDE/>
        <w:autoSpaceDN/>
        <w:bidi w:val="0"/>
        <w:adjustRightInd/>
        <w:snapToGrid/>
        <w:spacing w:beforeLines="0" w:afterLines="0" w:line="579" w:lineRule="exact"/>
        <w:ind w:firstLine="640" w:firstLineChars="200"/>
        <w:textAlignment w:val="auto"/>
        <w:outlineLvl w:val="9"/>
        <w:rPr>
          <w:rFonts w:hint="eastAsia" w:ascii="仿宋_GB2312" w:hAnsi="仿宋" w:eastAsia="仿宋_GB2312"/>
          <w:color w:val="auto"/>
          <w:sz w:val="32"/>
          <w:szCs w:val="32"/>
          <w:highlight w:val="none"/>
          <w:lang w:val="en-US" w:eastAsia="zh-CN"/>
        </w:rPr>
      </w:pPr>
      <w:r>
        <w:rPr>
          <w:rFonts w:hint="eastAsia" w:ascii="仿宋_GB2312" w:hAnsi="仿宋_GB2312" w:eastAsia="仿宋_GB2312" w:cs="仿宋_GB2312"/>
          <w:bCs/>
          <w:color w:val="auto"/>
          <w:sz w:val="32"/>
          <w:szCs w:val="32"/>
          <w:highlight w:val="none"/>
        </w:rPr>
        <w:t>第</w:t>
      </w:r>
      <w:r>
        <w:rPr>
          <w:rFonts w:hint="eastAsia" w:ascii="仿宋_GB2312" w:hAnsi="仿宋_GB2312" w:eastAsia="仿宋_GB2312" w:cs="仿宋_GB2312"/>
          <w:bCs/>
          <w:color w:val="auto"/>
          <w:sz w:val="32"/>
          <w:szCs w:val="32"/>
          <w:highlight w:val="none"/>
          <w:lang w:eastAsia="zh-CN"/>
        </w:rPr>
        <w:t>二</w:t>
      </w:r>
      <w:r>
        <w:rPr>
          <w:rFonts w:hint="eastAsia" w:ascii="仿宋_GB2312" w:hAnsi="仿宋_GB2312" w:eastAsia="仿宋_GB2312" w:cs="仿宋_GB2312"/>
          <w:bCs/>
          <w:color w:val="auto"/>
          <w:sz w:val="32"/>
          <w:szCs w:val="32"/>
          <w:highlight w:val="none"/>
          <w:lang w:val="en-US" w:eastAsia="zh-CN"/>
        </w:rPr>
        <w:t>十九</w:t>
      </w:r>
      <w:r>
        <w:rPr>
          <w:rFonts w:hint="eastAsia" w:ascii="仿宋_GB2312" w:hAnsi="仿宋_GB2312" w:eastAsia="仿宋_GB2312" w:cs="仿宋_GB2312"/>
          <w:bCs/>
          <w:color w:val="auto"/>
          <w:sz w:val="32"/>
          <w:szCs w:val="32"/>
          <w:highlight w:val="none"/>
        </w:rPr>
        <w:t>条</w:t>
      </w:r>
      <w:r>
        <w:rPr>
          <w:rFonts w:hint="eastAsia" w:ascii="仿宋_GB2312" w:hAnsi="仿宋_GB2312" w:eastAsia="仿宋_GB2312" w:cs="仿宋_GB2312"/>
          <w:bCs/>
          <w:color w:val="auto"/>
          <w:sz w:val="32"/>
          <w:szCs w:val="32"/>
          <w:highlight w:val="none"/>
          <w:lang w:eastAsia="zh-CN"/>
        </w:rPr>
        <w:t>【通用产业空间管理规则】</w:t>
      </w:r>
      <w:r>
        <w:rPr>
          <w:rFonts w:hint="eastAsia" w:ascii="仿宋_GB2312" w:hAnsi="仿宋_GB2312" w:eastAsia="仿宋_GB2312" w:cs="仿宋_GB2312"/>
          <w:sz w:val="32"/>
          <w:szCs w:val="32"/>
        </w:rPr>
        <w:t xml:space="preserve">  </w:t>
      </w:r>
      <w:r>
        <w:rPr>
          <w:rFonts w:hint="eastAsia" w:ascii="仿宋_GB2312" w:hAnsi="仿宋" w:eastAsia="仿宋_GB2312"/>
          <w:color w:val="auto"/>
          <w:sz w:val="32"/>
          <w:szCs w:val="32"/>
          <w:highlight w:val="none"/>
          <w:lang w:val="en-US" w:eastAsia="zh-CN"/>
        </w:rPr>
        <w:t>通用产业用房的</w:t>
      </w:r>
      <w:r>
        <w:rPr>
          <w:rFonts w:hint="eastAsia" w:ascii="仿宋_GB2312" w:hAnsi="仿宋" w:eastAsia="仿宋_GB2312"/>
          <w:color w:val="auto"/>
          <w:sz w:val="32"/>
          <w:szCs w:val="32"/>
          <w:highlight w:val="none"/>
        </w:rPr>
        <w:t>租售</w:t>
      </w:r>
      <w:r>
        <w:rPr>
          <w:rFonts w:hint="eastAsia" w:ascii="仿宋_GB2312" w:hAnsi="仿宋" w:eastAsia="仿宋_GB2312"/>
          <w:color w:val="auto"/>
          <w:sz w:val="32"/>
          <w:szCs w:val="32"/>
          <w:highlight w:val="none"/>
          <w:lang w:val="en-US" w:eastAsia="zh-CN"/>
        </w:rPr>
        <w:t>参考</w:t>
      </w:r>
      <w:r>
        <w:rPr>
          <w:rFonts w:hint="eastAsia" w:ascii="仿宋_GB2312" w:hAnsi="仿宋" w:eastAsia="仿宋_GB2312"/>
          <w:color w:val="auto"/>
          <w:sz w:val="32"/>
          <w:szCs w:val="32"/>
          <w:highlight w:val="none"/>
        </w:rPr>
        <w:t>价格</w:t>
      </w:r>
      <w:r>
        <w:rPr>
          <w:rFonts w:hint="eastAsia" w:ascii="仿宋_GB2312" w:hAnsi="仿宋" w:eastAsia="仿宋_GB2312"/>
          <w:color w:val="auto"/>
          <w:sz w:val="32"/>
          <w:szCs w:val="32"/>
          <w:highlight w:val="none"/>
          <w:lang w:eastAsia="zh-CN"/>
        </w:rPr>
        <w:t>、租售</w:t>
      </w:r>
      <w:r>
        <w:rPr>
          <w:rFonts w:hint="eastAsia" w:ascii="仿宋_GB2312" w:hAnsi="仿宋" w:eastAsia="仿宋_GB2312"/>
          <w:color w:val="auto"/>
          <w:sz w:val="32"/>
          <w:szCs w:val="32"/>
          <w:highlight w:val="none"/>
          <w:lang w:val="en-US" w:eastAsia="zh-CN"/>
        </w:rPr>
        <w:t>对象、</w:t>
      </w:r>
      <w:r>
        <w:rPr>
          <w:rFonts w:hint="eastAsia" w:ascii="仿宋_GB2312" w:hAnsi="仿宋" w:eastAsia="仿宋_GB2312"/>
          <w:color w:val="auto"/>
          <w:sz w:val="32"/>
          <w:szCs w:val="32"/>
          <w:highlight w:val="none"/>
        </w:rPr>
        <w:t>二次转让</w:t>
      </w:r>
      <w:r>
        <w:rPr>
          <w:rFonts w:hint="eastAsia" w:ascii="仿宋_GB2312" w:hAnsi="仿宋" w:eastAsia="仿宋_GB2312"/>
          <w:color w:val="auto"/>
          <w:sz w:val="32"/>
          <w:szCs w:val="32"/>
          <w:highlight w:val="none"/>
          <w:lang w:val="en-US" w:eastAsia="zh-CN"/>
        </w:rPr>
        <w:t>要求</w:t>
      </w:r>
      <w:r>
        <w:rPr>
          <w:rFonts w:hint="eastAsia" w:ascii="仿宋_GB2312" w:hAnsi="仿宋" w:eastAsia="仿宋_GB2312"/>
          <w:color w:val="auto"/>
          <w:sz w:val="32"/>
          <w:szCs w:val="32"/>
          <w:highlight w:val="none"/>
          <w:lang w:eastAsia="zh-CN"/>
        </w:rPr>
        <w:t>以及园区建设运营标准要求等管理规则</w:t>
      </w:r>
      <w:r>
        <w:rPr>
          <w:rFonts w:hint="eastAsia" w:ascii="仿宋_GB2312" w:hAnsi="仿宋" w:eastAsia="仿宋_GB2312"/>
          <w:color w:val="auto"/>
          <w:sz w:val="32"/>
          <w:szCs w:val="32"/>
          <w:highlight w:val="none"/>
        </w:rPr>
        <w:t>，由</w:t>
      </w:r>
      <w:r>
        <w:rPr>
          <w:rFonts w:hint="eastAsia" w:ascii="仿宋_GB2312" w:hAnsi="仿宋" w:eastAsia="仿宋_GB2312"/>
          <w:color w:val="auto"/>
          <w:sz w:val="32"/>
          <w:szCs w:val="32"/>
          <w:highlight w:val="none"/>
          <w:lang w:eastAsia="zh-CN"/>
        </w:rPr>
        <w:t>区工业和信息化局</w:t>
      </w:r>
      <w:r>
        <w:rPr>
          <w:rFonts w:hint="eastAsia" w:ascii="仿宋_GB2312" w:hAnsi="仿宋" w:eastAsia="仿宋_GB2312"/>
          <w:color w:val="auto"/>
          <w:sz w:val="32"/>
          <w:szCs w:val="32"/>
          <w:highlight w:val="none"/>
          <w:lang w:val="en-US" w:eastAsia="zh-CN"/>
        </w:rPr>
        <w:t>于</w:t>
      </w:r>
      <w:r>
        <w:rPr>
          <w:rFonts w:hint="eastAsia" w:ascii="仿宋_GB2312" w:hAnsi="仿宋" w:eastAsia="仿宋_GB2312"/>
          <w:color w:val="auto"/>
          <w:sz w:val="32"/>
          <w:szCs w:val="32"/>
          <w:highlight w:val="none"/>
        </w:rPr>
        <w:t>本办法施行之日起6个月内制定。</w:t>
      </w:r>
    </w:p>
    <w:p>
      <w:pPr>
        <w:keepNext w:val="0"/>
        <w:keepLines w:val="0"/>
        <w:pageBreakBefore w:val="0"/>
        <w:widowControl w:val="0"/>
        <w:spacing w:beforeLines="0" w:afterLines="0" w:line="579" w:lineRule="exact"/>
        <w:ind w:firstLine="640" w:firstLineChars="200"/>
        <w:outlineLvl w:val="9"/>
        <w:rPr>
          <w:rFonts w:hint="eastAsia" w:ascii="仿宋_GB2312" w:hAnsi="黑体" w:eastAsia="仿宋_GB2312"/>
          <w:sz w:val="32"/>
          <w:szCs w:val="32"/>
          <w:lang w:val="en-US" w:eastAsia="zh-CN"/>
        </w:rPr>
      </w:pPr>
      <w:r>
        <w:rPr>
          <w:rFonts w:hint="eastAsia" w:ascii="仿宋_GB2312" w:hAnsi="仿宋" w:eastAsia="仿宋_GB2312"/>
          <w:color w:val="auto"/>
          <w:sz w:val="32"/>
          <w:szCs w:val="32"/>
          <w:highlight w:val="none"/>
        </w:rPr>
        <w:t>产业空间</w:t>
      </w:r>
      <w:r>
        <w:rPr>
          <w:rFonts w:hint="eastAsia" w:ascii="仿宋_GB2312" w:hAnsi="仿宋" w:eastAsia="仿宋_GB2312"/>
          <w:color w:val="auto"/>
          <w:sz w:val="32"/>
          <w:szCs w:val="32"/>
          <w:highlight w:val="none"/>
          <w:lang w:val="en-US" w:eastAsia="zh-CN"/>
        </w:rPr>
        <w:t>建设运营</w:t>
      </w:r>
      <w:r>
        <w:rPr>
          <w:rFonts w:hint="eastAsia" w:ascii="仿宋_GB2312" w:hAnsi="仿宋" w:eastAsia="仿宋_GB2312"/>
          <w:color w:val="auto"/>
          <w:sz w:val="32"/>
          <w:szCs w:val="32"/>
          <w:highlight w:val="none"/>
        </w:rPr>
        <w:t>企业</w:t>
      </w:r>
      <w:r>
        <w:rPr>
          <w:rFonts w:hint="eastAsia" w:ascii="仿宋_GB2312" w:hAnsi="仿宋" w:eastAsia="仿宋_GB2312"/>
          <w:color w:val="auto"/>
          <w:sz w:val="32"/>
          <w:szCs w:val="32"/>
          <w:highlight w:val="none"/>
          <w:lang w:val="en-US" w:eastAsia="zh-CN"/>
        </w:rPr>
        <w:t>自有用地建设或通过收购、股权划转等方式取得的产业用房，除只租不售的创新型产业用房外，其他符合通用产业用房标准的，可向区工业和信息化局申请纳入通用产业用房管理，经审查并报区政府审批同意后，可按规定补缴地价，按通用产业用房管理有关规定进行销售。</w:t>
      </w:r>
    </w:p>
    <w:p>
      <w:pPr>
        <w:keepNext w:val="0"/>
        <w:keepLines w:val="0"/>
        <w:pageBreakBefore w:val="0"/>
        <w:widowControl w:val="0"/>
        <w:spacing w:line="560" w:lineRule="exact"/>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第三十条【实施时间和解释权】本实施办法自2026年X月XX日起施行，有效期5年，《光明区产业用地项目引进监管实施办法》（深光工信规〔2025〕2 号）同时废止，由区工业和信息化部门负责解释。本实施办法如遇与上级政策规定不一致的，以上级政策规定为准。</w:t>
      </w:r>
    </w:p>
    <w:p>
      <w:pPr>
        <w:spacing w:line="560" w:lineRule="exact"/>
        <w:ind w:firstLine="660"/>
        <w:rPr>
          <w:rFonts w:hint="eastAsia" w:ascii="仿宋_GB2312" w:hAnsi="黑体" w:eastAsia="仿宋_GB2312"/>
          <w:sz w:val="32"/>
          <w:szCs w:val="32"/>
          <w:lang w:val="en-US" w:eastAsia="zh-CN"/>
        </w:rPr>
      </w:pPr>
    </w:p>
    <w:p>
      <w:pPr>
        <w:numPr>
          <w:ilvl w:val="0"/>
          <w:numId w:val="0"/>
        </w:numPr>
        <w:spacing w:line="560" w:lineRule="exact"/>
      </w:pPr>
    </w:p>
    <w:sectPr>
      <w:headerReference r:id="rId5" w:type="first"/>
      <w:footerReference r:id="rId8" w:type="first"/>
      <w:footerReference r:id="rId6" w:type="default"/>
      <w:footerReference r:id="rId7" w:type="even"/>
      <w:pgSz w:w="11906" w:h="16838"/>
      <w:pgMar w:top="2098" w:right="1474" w:bottom="2098" w:left="1588" w:header="851" w:footer="1361" w:gutter="0"/>
      <w:cols w:space="1701" w:num="1"/>
      <w:titlePg/>
      <w:docGrid w:type="lines" w:linePitch="57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altName w:val="方正楷体_GBK"/>
    <w:panose1 w:val="02010609030101010101"/>
    <w:charset w:val="86"/>
    <w:family w:val="auto"/>
    <w:pitch w:val="default"/>
    <w:sig w:usb0="00000000" w:usb1="00000000" w:usb2="00000000" w:usb3="00000000" w:csb0="00040000" w:csb1="00000000"/>
  </w:font>
  <w:font w:name="仿宋">
    <w:altName w:val="方正仿宋_GBK"/>
    <w:panose1 w:val="02010609060101010101"/>
    <w:charset w:val="00"/>
    <w:family w:val="auto"/>
    <w:pitch w:val="default"/>
    <w:sig w:usb0="00000000" w:usb1="00000000" w:usb2="00000000" w:usb3="00000000" w:csb0="00000000" w:csb1="00000000"/>
  </w:font>
  <w:font w:name="Nimbus Roman">
    <w:panose1 w:val="00000500000000000000"/>
    <w:charset w:val="00"/>
    <w:family w:val="auto"/>
    <w:pitch w:val="default"/>
    <w:sig w:usb0="00000287" w:usb1="00000800" w:usb2="00000000" w:usb3="00000000" w:csb0="600000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7"/>
      <w:wordWrap w:val="0"/>
      <w:ind w:right="0"/>
      <w:jc w:val="right"/>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187"/>
                            <w:tabs>
                              <w:tab w:val="clear" w:pos="4153"/>
                              <w:tab w:val="clear" w:pos="8306"/>
                            </w:tabs>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3</w:t>
                          </w:r>
                          <w:r>
                            <w:rPr>
                              <w:rFonts w:hint="eastAsia" w:ascii="宋体" w:hAnsi="宋体" w:eastAsia="宋体"/>
                              <w:sz w:val="28"/>
                              <w:szCs w:val="28"/>
                            </w:rPr>
                            <w:fldChar w:fldCharType="end"/>
                          </w:r>
                          <w:r>
                            <w:rPr>
                              <w:rFonts w:hint="eastAsia" w:ascii="宋体" w:hAnsi="宋体" w:eastAsia="宋体"/>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WAAAAZHJzL1BLAQIU&#10;ABQAAAAIAIdO4kC5dblS0AAAAAUBAAAPAAAAAAAAAAEAIAAAADgAAABkcnMvZG93bnJldi54bWxQ&#10;SwECFAAUAAAACACHTuJAG6dGWbABAABLAwAADgAAAAAAAAABACAAAAA1AQAAZHJzL2Uyb0RvYy54&#10;bWxQSwUGAAAAAAYABgBZAQAAVwUAAAAA&#10;">
              <v:fill on="f" focussize="0,0"/>
              <v:stroke on="f"/>
              <v:imagedata o:title=""/>
              <o:lock v:ext="edit" aspectratio="f"/>
              <v:textbox inset="0mm,0mm,0mm,0mm" style="mso-fit-shape-to-text:t;">
                <w:txbxContent>
                  <w:p>
                    <w:pPr>
                      <w:pStyle w:val="187"/>
                      <w:tabs>
                        <w:tab w:val="clear" w:pos="4153"/>
                        <w:tab w:val="clear" w:pos="8306"/>
                      </w:tabs>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3</w:t>
                    </w:r>
                    <w:r>
                      <w:rPr>
                        <w:rFonts w:hint="eastAsia" w:ascii="宋体" w:hAnsi="宋体" w:eastAsia="宋体"/>
                        <w:sz w:val="28"/>
                        <w:szCs w:val="28"/>
                      </w:rPr>
                      <w:fldChar w:fldCharType="end"/>
                    </w:r>
                    <w:r>
                      <w:rPr>
                        <w:rFonts w:hint="eastAsia" w:ascii="宋体" w:hAnsi="宋体" w:eastAsia="宋体"/>
                        <w:sz w:val="28"/>
                        <w:szCs w:val="28"/>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7"/>
      <w:ind w:firstLine="280" w:firstLineChars="100"/>
      <w:rPr>
        <w:rFonts w:ascii="宋体" w:hAnsi="宋体"/>
        <w:sz w:val="28"/>
        <w:szCs w:val="28"/>
      </w:rPr>
    </w:pPr>
  </w:p>
  <w:p>
    <w:pPr>
      <w:pStyle w:val="187"/>
      <w:ind w:right="360"/>
    </w:pPr>
    <w:r>
      <w:rPr>
        <w:sz w:val="28"/>
      </w:rPr>
      <mc:AlternateContent>
        <mc:Choice Requires="wps">
          <w:drawing>
            <wp:anchor distT="0" distB="0" distL="114300" distR="114300" simplePos="0" relativeHeight="251660288" behindDoc="0" locked="0" layoutInCell="1" allowOverlap="1">
              <wp:simplePos x="0" y="0"/>
              <wp:positionH relativeFrom="margin">
                <wp:posOffset>0</wp:posOffset>
              </wp:positionH>
              <wp:positionV relativeFrom="paragraph">
                <wp:posOffset>7620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187"/>
                            <w:tabs>
                              <w:tab w:val="clear" w:pos="4153"/>
                              <w:tab w:val="clear" w:pos="8306"/>
                            </w:tabs>
                            <w:rPr>
                              <w:rFonts w:hint="eastAsia" w:ascii="宋体" w:hAnsi="宋体" w:eastAsia="宋体"/>
                              <w:sz w:val="28"/>
                              <w:szCs w:val="28"/>
                            </w:rPr>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2</w:t>
                          </w:r>
                          <w:r>
                            <w:rPr>
                              <w:rFonts w:hint="eastAsia" w:ascii="宋体" w:hAnsi="宋体" w:eastAsia="宋体"/>
                              <w:sz w:val="28"/>
                              <w:szCs w:val="28"/>
                            </w:rPr>
                            <w:fldChar w:fldCharType="end"/>
                          </w:r>
                          <w:r>
                            <w:rPr>
                              <w:rFonts w:hint="eastAsia" w:ascii="宋体" w:hAnsi="宋体" w:eastAsia="宋体"/>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left:0pt;margin-top:0.6pt;height:144pt;width:144pt;mso-position-horizontal-relative:margin;mso-wrap-style:none;z-index:251660288;mso-width-relative:page;mso-height-relative:page;" filled="f" stroked="f" coordsize="21600,21600" o:gfxdata="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KEyw7LSAAAABgEAAA8AAAAAAAAAAQAgAAAAOAAAAGRycy9kb3ducmV2Lnht&#10;bFBLAQIUABQAAAAIAIdO4kBusJmvsAEAAEsDAAAOAAAAAAAAAAEAIAAAADcBAABkcnMvZTJvRG9j&#10;LnhtbFBLBQYAAAAABgAGAFkBAABZBQAAAAA=&#10;">
              <v:fill on="f" focussize="0,0"/>
              <v:stroke on="f"/>
              <v:imagedata o:title=""/>
              <o:lock v:ext="edit" aspectratio="f"/>
              <v:textbox inset="0mm,0mm,0mm,0mm" style="mso-fit-shape-to-text:t;">
                <w:txbxContent>
                  <w:p>
                    <w:pPr>
                      <w:pStyle w:val="187"/>
                      <w:tabs>
                        <w:tab w:val="clear" w:pos="4153"/>
                        <w:tab w:val="clear" w:pos="8306"/>
                      </w:tabs>
                      <w:rPr>
                        <w:rFonts w:hint="eastAsia" w:ascii="宋体" w:hAnsi="宋体" w:eastAsia="宋体"/>
                        <w:sz w:val="28"/>
                        <w:szCs w:val="28"/>
                      </w:rPr>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2</w:t>
                    </w:r>
                    <w:r>
                      <w:rPr>
                        <w:rFonts w:hint="eastAsia" w:ascii="宋体" w:hAnsi="宋体" w:eastAsia="宋体"/>
                        <w:sz w:val="28"/>
                        <w:szCs w:val="28"/>
                      </w:rPr>
                      <w:fldChar w:fldCharType="end"/>
                    </w:r>
                    <w:r>
                      <w:rPr>
                        <w:rFonts w:hint="eastAsia" w:ascii="宋体" w:hAnsi="宋体" w:eastAsia="宋体"/>
                        <w:sz w:val="28"/>
                        <w:szCs w:val="28"/>
                      </w:rPr>
                      <w:t xml:space="preserve"> —</w:t>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7"/>
    </w:pPr>
    <w:r>
      <w:rPr>
        <w:sz w:val="18"/>
      </w:rPr>
      <mc:AlternateContent>
        <mc:Choice Requires="wps">
          <w:drawing>
            <wp:anchor distT="0" distB="0" distL="114300" distR="114300" simplePos="0" relativeHeight="251661312" behindDoc="0" locked="0" layoutInCell="1" allowOverlap="1">
              <wp:simplePos x="0" y="0"/>
              <wp:positionH relativeFrom="margin">
                <wp:posOffset>4984115</wp:posOffset>
              </wp:positionH>
              <wp:positionV relativeFrom="paragraph">
                <wp:posOffset>27940</wp:posOffset>
              </wp:positionV>
              <wp:extent cx="1828800" cy="1828800"/>
              <wp:effectExtent l="0" t="0" r="0" b="0"/>
              <wp:wrapNone/>
              <wp:docPr id="3" name="矩形 3"/>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187"/>
                            <w:tabs>
                              <w:tab w:val="clear" w:pos="4153"/>
                              <w:tab w:val="clear" w:pos="8306"/>
                            </w:tabs>
                            <w:rPr>
                              <w:rFonts w:hint="eastAsia" w:ascii="宋体" w:hAnsi="宋体" w:eastAsia="宋体"/>
                              <w:sz w:val="28"/>
                              <w:szCs w:val="28"/>
                            </w:rPr>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1</w:t>
                          </w:r>
                          <w:r>
                            <w:rPr>
                              <w:rFonts w:hint="eastAsia" w:ascii="宋体" w:hAnsi="宋体" w:eastAsia="宋体"/>
                              <w:sz w:val="28"/>
                              <w:szCs w:val="28"/>
                            </w:rPr>
                            <w:fldChar w:fldCharType="end"/>
                          </w:r>
                          <w:r>
                            <w:rPr>
                              <w:rFonts w:hint="eastAsia" w:ascii="宋体" w:hAnsi="宋体" w:eastAsia="宋体"/>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left:392.45pt;margin-top:2.2pt;height:144pt;width:144pt;mso-position-horizontal-relative:margin;mso-wrap-style:none;z-index:251661312;mso-width-relative:page;mso-height-relative:page;" filled="f" stroked="f" coordsize="21600,21600" o:gfxdata="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BYAAABk&#10;cnMvUEsBAhQAFAAAAAgAh07iQJrqURXXAAAACgEAAA8AAAAAAAAAAQAgAAAAOAAAAGRycy9kb3du&#10;cmV2LnhtbFBLAQIUABQAAAAIAIdO4kC9QtP9sQEAAEsDAAAOAAAAAAAAAAEAIAAAADwBAABkcnMv&#10;ZTJvRG9jLnhtbFBLBQYAAAAABgAGAFkBAABfBQAAAAA=&#10;">
              <v:fill on="f" focussize="0,0"/>
              <v:stroke on="f"/>
              <v:imagedata o:title=""/>
              <o:lock v:ext="edit" aspectratio="f"/>
              <v:textbox inset="0mm,0mm,0mm,0mm" style="mso-fit-shape-to-text:t;">
                <w:txbxContent>
                  <w:p>
                    <w:pPr>
                      <w:pStyle w:val="187"/>
                      <w:tabs>
                        <w:tab w:val="clear" w:pos="4153"/>
                        <w:tab w:val="clear" w:pos="8306"/>
                      </w:tabs>
                      <w:rPr>
                        <w:rFonts w:hint="eastAsia" w:ascii="宋体" w:hAnsi="宋体" w:eastAsia="宋体"/>
                        <w:sz w:val="28"/>
                        <w:szCs w:val="28"/>
                      </w:rPr>
                    </w:pPr>
                    <w:r>
                      <w:rPr>
                        <w:rFonts w:hint="eastAsia" w:ascii="宋体" w:hAnsi="宋体" w:eastAsia="宋体"/>
                        <w:sz w:val="28"/>
                        <w:szCs w:val="28"/>
                      </w:rPr>
                      <w:t xml:space="preserve">— </w:t>
                    </w:r>
                    <w:r>
                      <w:rPr>
                        <w:rFonts w:hint="eastAsia" w:ascii="宋体" w:hAnsi="宋体" w:eastAsia="宋体"/>
                        <w:sz w:val="28"/>
                        <w:szCs w:val="28"/>
                      </w:rPr>
                      <w:fldChar w:fldCharType="begin"/>
                    </w:r>
                    <w:r>
                      <w:rPr>
                        <w:rFonts w:hint="eastAsia" w:ascii="宋体" w:hAnsi="宋体" w:eastAsia="宋体"/>
                        <w:sz w:val="28"/>
                        <w:szCs w:val="28"/>
                      </w:rPr>
                      <w:instrText xml:space="preserve"> PAGE  \* MERGEFORMAT </w:instrText>
                    </w:r>
                    <w:r>
                      <w:rPr>
                        <w:rFonts w:hint="eastAsia" w:ascii="宋体" w:hAnsi="宋体" w:eastAsia="宋体"/>
                        <w:sz w:val="28"/>
                        <w:szCs w:val="28"/>
                      </w:rPr>
                      <w:fldChar w:fldCharType="separate"/>
                    </w:r>
                    <w:r>
                      <w:rPr>
                        <w:rFonts w:hint="eastAsia" w:ascii="宋体" w:hAnsi="宋体" w:eastAsia="宋体"/>
                        <w:sz w:val="28"/>
                        <w:szCs w:val="28"/>
                      </w:rPr>
                      <w:t>1</w:t>
                    </w:r>
                    <w:r>
                      <w:rPr>
                        <w:rFonts w:hint="eastAsia" w:ascii="宋体" w:hAnsi="宋体" w:eastAsia="宋体"/>
                        <w:sz w:val="28"/>
                        <w:szCs w:val="28"/>
                      </w:rPr>
                      <w:fldChar w:fldCharType="end"/>
                    </w:r>
                    <w:r>
                      <w:rPr>
                        <w:rFonts w:hint="eastAsia" w:ascii="宋体" w:hAnsi="宋体" w:eastAsia="宋体"/>
                        <w:sz w:val="28"/>
                        <w:szCs w:val="28"/>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9"/>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true"/>
  <w:documentProtection w:enforcement="0"/>
  <w:defaultTabStop w:val="420"/>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AD75F9"/>
    <w:rsid w:val="6FFEC8A8"/>
    <w:rsid w:val="7CFE6133"/>
    <w:rsid w:val="BF3F0E83"/>
    <w:rsid w:val="D9FF19D1"/>
    <w:rsid w:val="FBFB63E2"/>
    <w:rsid w:val="FDFFB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1"/>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Calibri" w:hAnsi="Calibri" w:eastAsia="宋体" w:cs="Times New Roman"/>
      <w:color w:val="auto"/>
      <w:spacing w:val="0"/>
      <w:kern w:val="2"/>
      <w:position w:val="0"/>
      <w:sz w:val="21"/>
      <w:szCs w:val="22"/>
      <w:lang w:val="en-US" w:eastAsia="zh-CN" w:bidi="ar-SA"/>
    </w:rPr>
  </w:style>
  <w:style w:type="paragraph" w:styleId="2">
    <w:name w:val="heading 1"/>
    <w:basedOn w:val="1"/>
    <w:next w:val="1"/>
    <w:link w:val="32"/>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3">
    <w:name w:val="heading 2"/>
    <w:basedOn w:val="1"/>
    <w:next w:val="1"/>
    <w:link w:val="33"/>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4">
    <w:name w:val="heading 3"/>
    <w:basedOn w:val="1"/>
    <w:next w:val="1"/>
    <w:link w:val="34"/>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5"/>
    <w:unhideWhenUsed/>
    <w:qFormat/>
    <w:uiPriority w:val="9"/>
    <w:pPr>
      <w:keepNext/>
      <w:keepLines/>
      <w:overflowPunct w:val="0"/>
      <w:autoSpaceDE w:val="0"/>
      <w:autoSpaceDN w:val="0"/>
      <w:spacing w:before="320" w:after="200"/>
      <w:outlineLvl w:val="3"/>
    </w:pPr>
    <w:rPr>
      <w:rFonts w:ascii="Arial" w:hAnsi="Arial" w:eastAsia="Arial" w:cs="Arial"/>
      <w:b/>
      <w:bCs/>
      <w:sz w:val="26"/>
      <w:szCs w:val="26"/>
    </w:rPr>
  </w:style>
  <w:style w:type="paragraph" w:styleId="6">
    <w:name w:val="heading 5"/>
    <w:basedOn w:val="1"/>
    <w:next w:val="1"/>
    <w:link w:val="36"/>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7">
    <w:name w:val="heading 6"/>
    <w:basedOn w:val="1"/>
    <w:next w:val="1"/>
    <w:link w:val="37"/>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8">
    <w:name w:val="heading 7"/>
    <w:basedOn w:val="1"/>
    <w:next w:val="1"/>
    <w:link w:val="38"/>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9">
    <w:name w:val="heading 8"/>
    <w:basedOn w:val="1"/>
    <w:next w:val="1"/>
    <w:link w:val="39"/>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40"/>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link w:val="50"/>
    <w:unhideWhenUsed/>
    <w:qFormat/>
    <w:uiPriority w:val="99"/>
    <w:pPr>
      <w:tabs>
        <w:tab w:val="center" w:pos="7143"/>
        <w:tab w:val="right" w:pos="14287"/>
      </w:tabs>
      <w:overflowPunct w:val="0"/>
      <w:autoSpaceDE w:val="0"/>
      <w:autoSpaceDN w:val="0"/>
      <w:spacing w:after="0" w:line="240" w:lineRule="auto"/>
    </w:pPr>
  </w:style>
  <w:style w:type="paragraph" w:styleId="17">
    <w:name w:val="header"/>
    <w:basedOn w:val="1"/>
    <w:link w:val="48"/>
    <w:unhideWhenUsed/>
    <w:qFormat/>
    <w:uiPriority w:val="99"/>
    <w:pPr>
      <w:tabs>
        <w:tab w:val="center" w:pos="7143"/>
        <w:tab w:val="right" w:pos="14287"/>
      </w:tabs>
      <w:overflowPunct w:val="0"/>
      <w:autoSpaceDE w:val="0"/>
      <w:autoSpaceDN w:val="0"/>
      <w:spacing w:after="0" w:line="240" w:lineRule="auto"/>
    </w:p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3"/>
    <w:qFormat/>
    <w:uiPriority w:val="11"/>
    <w:pPr>
      <w:overflowPunct w:val="0"/>
      <w:autoSpaceDE w:val="0"/>
      <w:autoSpaceDN w:val="0"/>
      <w:spacing w:before="200" w:after="200"/>
    </w:pPr>
    <w:rPr>
      <w:sz w:val="24"/>
      <w:szCs w:val="24"/>
    </w:rPr>
  </w:style>
  <w:style w:type="paragraph" w:styleId="21">
    <w:name w:val="footnote text"/>
    <w:basedOn w:val="1"/>
    <w:link w:val="176"/>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Title"/>
    <w:basedOn w:val="1"/>
    <w:next w:val="1"/>
    <w:link w:val="42"/>
    <w:qFormat/>
    <w:uiPriority w:val="10"/>
    <w:pPr>
      <w:overflowPunct w:val="0"/>
      <w:autoSpaceDE w:val="0"/>
      <w:autoSpaceDN w:val="0"/>
      <w:spacing w:before="300" w:after="200"/>
      <w:contextualSpacing/>
    </w:pPr>
    <w:rPr>
      <w:sz w:val="48"/>
      <w:szCs w:val="48"/>
    </w:rPr>
  </w:style>
  <w:style w:type="table" w:styleId="27">
    <w:name w:val="Table Grid"/>
    <w:basedOn w:val="26"/>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Hyperlink"/>
    <w:unhideWhenUsed/>
    <w:qFormat/>
    <w:uiPriority w:val="99"/>
    <w:rPr>
      <w:color w:val="0000FF" w:themeColor="hyperlink"/>
      <w:u w:val="single"/>
      <w14:textFill>
        <w14:solidFill>
          <w14:schemeClr w14:val="hlink"/>
        </w14:solidFill>
      </w14:textFill>
    </w:rPr>
  </w:style>
  <w:style w:type="character" w:styleId="30">
    <w:name w:val="footnote reference"/>
    <w:basedOn w:val="28"/>
    <w:unhideWhenUsed/>
    <w:qFormat/>
    <w:uiPriority w:val="99"/>
    <w:rPr>
      <w:vertAlign w:val="superscript"/>
    </w:rPr>
  </w:style>
  <w:style w:type="paragraph" w:customStyle="1" w:styleId="31">
    <w:name w:val="NormalIndent"/>
    <w:basedOn w:val="1"/>
    <w:next w:val="1"/>
    <w:qFormat/>
    <w:uiPriority w:val="0"/>
    <w:pPr>
      <w:ind w:firstLine="420" w:firstLineChars="200"/>
    </w:pPr>
    <w:rPr>
      <w:rFonts w:ascii="宋体" w:hAnsi="宋体" w:eastAsia="宋体"/>
      <w:kern w:val="0"/>
      <w:sz w:val="24"/>
      <w:szCs w:val="20"/>
    </w:rPr>
  </w:style>
  <w:style w:type="character" w:customStyle="1" w:styleId="32">
    <w:name w:val="Heading 1 Char"/>
    <w:basedOn w:val="28"/>
    <w:link w:val="2"/>
    <w:qFormat/>
    <w:uiPriority w:val="9"/>
    <w:rPr>
      <w:rFonts w:ascii="Arial" w:hAnsi="Arial" w:eastAsia="Arial" w:cs="Arial"/>
      <w:sz w:val="40"/>
      <w:szCs w:val="40"/>
    </w:rPr>
  </w:style>
  <w:style w:type="character" w:customStyle="1" w:styleId="33">
    <w:name w:val="Heading 2 Char"/>
    <w:basedOn w:val="28"/>
    <w:link w:val="3"/>
    <w:qFormat/>
    <w:uiPriority w:val="9"/>
    <w:rPr>
      <w:rFonts w:ascii="Arial" w:hAnsi="Arial" w:eastAsia="Arial" w:cs="Arial"/>
      <w:sz w:val="34"/>
    </w:rPr>
  </w:style>
  <w:style w:type="character" w:customStyle="1" w:styleId="34">
    <w:name w:val="Heading 3 Char"/>
    <w:basedOn w:val="28"/>
    <w:link w:val="4"/>
    <w:qFormat/>
    <w:uiPriority w:val="9"/>
    <w:rPr>
      <w:rFonts w:ascii="Arial" w:hAnsi="Arial" w:eastAsia="Arial" w:cs="Arial"/>
      <w:sz w:val="30"/>
      <w:szCs w:val="30"/>
    </w:rPr>
  </w:style>
  <w:style w:type="character" w:customStyle="1" w:styleId="35">
    <w:name w:val="Heading 4 Char"/>
    <w:basedOn w:val="28"/>
    <w:link w:val="5"/>
    <w:qFormat/>
    <w:uiPriority w:val="9"/>
    <w:rPr>
      <w:rFonts w:ascii="Arial" w:hAnsi="Arial" w:eastAsia="Arial" w:cs="Arial"/>
      <w:b/>
      <w:bCs/>
      <w:sz w:val="26"/>
      <w:szCs w:val="26"/>
    </w:rPr>
  </w:style>
  <w:style w:type="character" w:customStyle="1" w:styleId="36">
    <w:name w:val="Heading 5 Char"/>
    <w:basedOn w:val="28"/>
    <w:link w:val="6"/>
    <w:qFormat/>
    <w:uiPriority w:val="9"/>
    <w:rPr>
      <w:rFonts w:ascii="Arial" w:hAnsi="Arial" w:eastAsia="Arial" w:cs="Arial"/>
      <w:b/>
      <w:bCs/>
      <w:sz w:val="24"/>
      <w:szCs w:val="24"/>
    </w:rPr>
  </w:style>
  <w:style w:type="character" w:customStyle="1" w:styleId="37">
    <w:name w:val="Heading 6 Char"/>
    <w:basedOn w:val="28"/>
    <w:link w:val="7"/>
    <w:qFormat/>
    <w:uiPriority w:val="9"/>
    <w:rPr>
      <w:rFonts w:ascii="Arial" w:hAnsi="Arial" w:eastAsia="Arial" w:cs="Arial"/>
      <w:b/>
      <w:bCs/>
      <w:sz w:val="22"/>
      <w:szCs w:val="22"/>
    </w:rPr>
  </w:style>
  <w:style w:type="character" w:customStyle="1" w:styleId="38">
    <w:name w:val="Heading 7 Char"/>
    <w:basedOn w:val="28"/>
    <w:link w:val="8"/>
    <w:qFormat/>
    <w:uiPriority w:val="9"/>
    <w:rPr>
      <w:rFonts w:ascii="Arial" w:hAnsi="Arial" w:eastAsia="Arial" w:cs="Arial"/>
      <w:b/>
      <w:bCs/>
      <w:i/>
      <w:iCs/>
      <w:sz w:val="22"/>
      <w:szCs w:val="22"/>
    </w:rPr>
  </w:style>
  <w:style w:type="character" w:customStyle="1" w:styleId="39">
    <w:name w:val="Heading 8 Char"/>
    <w:basedOn w:val="28"/>
    <w:link w:val="9"/>
    <w:qFormat/>
    <w:uiPriority w:val="9"/>
    <w:rPr>
      <w:rFonts w:ascii="Arial" w:hAnsi="Arial" w:eastAsia="Arial" w:cs="Arial"/>
      <w:i/>
      <w:iCs/>
      <w:sz w:val="22"/>
      <w:szCs w:val="22"/>
    </w:rPr>
  </w:style>
  <w:style w:type="character" w:customStyle="1" w:styleId="40">
    <w:name w:val="Heading 9 Char"/>
    <w:basedOn w:val="28"/>
    <w:link w:val="10"/>
    <w:qFormat/>
    <w:uiPriority w:val="9"/>
    <w:rPr>
      <w:rFonts w:ascii="Arial" w:hAnsi="Arial" w:eastAsia="Arial" w:cs="Arial"/>
      <w:i/>
      <w:iCs/>
      <w:sz w:val="21"/>
      <w:szCs w:val="21"/>
    </w:rPr>
  </w:style>
  <w:style w:type="paragraph" w:styleId="41">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Calibri" w:hAnsi="Calibri" w:eastAsia="宋体" w:cs="Times New Roman"/>
      <w:color w:val="auto"/>
      <w:spacing w:val="0"/>
      <w:position w:val="0"/>
      <w:sz w:val="21"/>
      <w:szCs w:val="22"/>
      <w:lang w:val="en-US" w:eastAsia="en-US" w:bidi="en-US"/>
    </w:rPr>
  </w:style>
  <w:style w:type="character" w:customStyle="1" w:styleId="42">
    <w:name w:val="Title Char"/>
    <w:basedOn w:val="28"/>
    <w:link w:val="25"/>
    <w:qFormat/>
    <w:uiPriority w:val="10"/>
    <w:rPr>
      <w:sz w:val="48"/>
      <w:szCs w:val="48"/>
    </w:rPr>
  </w:style>
  <w:style w:type="character" w:customStyle="1" w:styleId="43">
    <w:name w:val="Subtitle Char"/>
    <w:basedOn w:val="28"/>
    <w:link w:val="20"/>
    <w:qFormat/>
    <w:uiPriority w:val="11"/>
    <w:rPr>
      <w:sz w:val="24"/>
      <w:szCs w:val="24"/>
    </w:rPr>
  </w:style>
  <w:style w:type="paragraph" w:styleId="44">
    <w:name w:val="Quote"/>
    <w:basedOn w:val="1"/>
    <w:next w:val="1"/>
    <w:link w:val="45"/>
    <w:qFormat/>
    <w:uiPriority w:val="29"/>
    <w:pPr>
      <w:overflowPunct w:val="0"/>
      <w:autoSpaceDE w:val="0"/>
      <w:autoSpaceDN w:val="0"/>
      <w:ind w:left="720" w:right="720"/>
    </w:pPr>
    <w:rPr>
      <w:i/>
    </w:rPr>
  </w:style>
  <w:style w:type="character" w:customStyle="1" w:styleId="45">
    <w:name w:val="Quote Char"/>
    <w:link w:val="44"/>
    <w:qFormat/>
    <w:uiPriority w:val="29"/>
    <w:rPr>
      <w:i/>
    </w:rPr>
  </w:style>
  <w:style w:type="paragraph" w:styleId="46">
    <w:name w:val="Intense Quote"/>
    <w:basedOn w:val="1"/>
    <w:next w:val="1"/>
    <w:link w:val="47"/>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7">
    <w:name w:val="Intense Quote Char"/>
    <w:link w:val="46"/>
    <w:qFormat/>
    <w:uiPriority w:val="30"/>
    <w:rPr>
      <w:i/>
    </w:rPr>
  </w:style>
  <w:style w:type="character" w:customStyle="1" w:styleId="48">
    <w:name w:val="Header Char"/>
    <w:basedOn w:val="28"/>
    <w:link w:val="17"/>
    <w:qFormat/>
    <w:uiPriority w:val="99"/>
  </w:style>
  <w:style w:type="character" w:customStyle="1" w:styleId="49">
    <w:name w:val="Footer Char"/>
    <w:basedOn w:val="28"/>
    <w:link w:val="16"/>
    <w:qFormat/>
    <w:uiPriority w:val="99"/>
  </w:style>
  <w:style w:type="character" w:customStyle="1" w:styleId="50">
    <w:name w:val="Caption Char"/>
    <w:link w:val="16"/>
    <w:qFormat/>
    <w:uiPriority w:val="99"/>
  </w:style>
  <w:style w:type="table" w:customStyle="1" w:styleId="51">
    <w:name w:val="Table Grid Light"/>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2">
    <w:name w:val="Plain Table 1"/>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3">
    <w:name w:val="Plain Table 2"/>
    <w:basedOn w:val="26"/>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4">
    <w:name w:val="Plain Table 3"/>
    <w:basedOn w:val="26"/>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5">
    <w:name w:val="Plain Table 4"/>
    <w:basedOn w:val="26"/>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6">
    <w:name w:val="Plain Table 5"/>
    <w:basedOn w:val="26"/>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7">
    <w:name w:val="Grid Table 1 Light"/>
    <w:basedOn w:val="26"/>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8">
    <w:name w:val="Grid Table 1 Light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9">
    <w:name w:val="Grid Table 1 Light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0">
    <w:name w:val="Grid Table 1 Light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1">
    <w:name w:val="Grid Table 1 Light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2">
    <w:name w:val="Grid Table 1 Light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3">
    <w:name w:val="Grid Table 1 Light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4">
    <w:name w:val="Grid Table 2"/>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5">
    <w:name w:val="Grid Table 2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66">
    <w:name w:val="Grid Table 2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67">
    <w:name w:val="Grid Table 2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68">
    <w:name w:val="Grid Table 2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69">
    <w:name w:val="Grid Table 2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0">
    <w:name w:val="Grid Table 2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1">
    <w:name w:val="Grid Table 3"/>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2">
    <w:name w:val="Grid Table 3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3">
    <w:name w:val="Grid Table 3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4">
    <w:name w:val="Grid Table 3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5">
    <w:name w:val="Grid Table 3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6">
    <w:name w:val="Grid Table 3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7">
    <w:name w:val="Grid Table 3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8">
    <w:name w:val="Grid Table 4"/>
    <w:basedOn w:val="26"/>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9">
    <w:name w:val="Grid Table 4 - Accent 1"/>
    <w:basedOn w:val="26"/>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0">
    <w:name w:val="Grid Table 4 - Accent 2"/>
    <w:basedOn w:val="26"/>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1">
    <w:name w:val="Grid Table 4 - Accent 3"/>
    <w:basedOn w:val="26"/>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2">
    <w:name w:val="Grid Table 4 - Accent 4"/>
    <w:basedOn w:val="26"/>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3">
    <w:name w:val="Grid Table 4 - Accent 5"/>
    <w:basedOn w:val="26"/>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4">
    <w:name w:val="Grid Table 4 - Accent 6"/>
    <w:basedOn w:val="26"/>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5">
    <w:name w:val="Grid Table 5 Dark"/>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6">
    <w:name w:val="Grid Table 5 Dark- Accent 1"/>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87">
    <w:name w:val="Grid Table 5 Dark - Accent 2"/>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88">
    <w:name w:val="Grid Table 5 Dark - Accent 3"/>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89">
    <w:name w:val="Grid Table 5 Dark- Accent 4"/>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0">
    <w:name w:val="Grid Table 5 Dark - Accent 5"/>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1">
    <w:name w:val="Grid Table 5 Dark - Accent 6"/>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92">
    <w:name w:val="Grid Table 6 Colorful"/>
    <w:basedOn w:val="26"/>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1"/>
    <w:basedOn w:val="26"/>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4">
    <w:name w:val="Grid Table 6 Colorful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5">
    <w:name w:val="Grid Table 6 Colorful - Accent 3"/>
    <w:basedOn w:val="26"/>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6">
    <w:name w:val="Grid Table 6 Colorful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7">
    <w:name w:val="Grid Table 6 Colorful - Accent 5"/>
    <w:basedOn w:val="26"/>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8">
    <w:name w:val="Grid Table 6 Colorful - Accent 6"/>
    <w:basedOn w:val="26"/>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9">
    <w:name w:val="Grid Table 7 Colorful"/>
    <w:basedOn w:val="26"/>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1"/>
    <w:basedOn w:val="26"/>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1">
    <w:name w:val="Grid Table 7 Colorful - Accent 2"/>
    <w:basedOn w:val="26"/>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2">
    <w:name w:val="Grid Table 7 Colorful - Accent 3"/>
    <w:basedOn w:val="26"/>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3">
    <w:name w:val="Grid Table 7 Colorful - Accent 4"/>
    <w:basedOn w:val="26"/>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4">
    <w:name w:val="Grid Table 7 Colorful - Accent 5"/>
    <w:basedOn w:val="26"/>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5">
    <w:name w:val="Grid Table 7 Colorful - Accent 6"/>
    <w:basedOn w:val="26"/>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6">
    <w:name w:val="List Table 1 Light"/>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7">
    <w:name w:val="List Table 1 Light - Accent 1"/>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08">
    <w:name w:val="List Table 1 Light - Accent 2"/>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09">
    <w:name w:val="List Table 1 Light - Accent 3"/>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0">
    <w:name w:val="List Table 1 Light - Accent 4"/>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1">
    <w:name w:val="List Table 1 Light - Accent 5"/>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12">
    <w:name w:val="List Table 1 Light - Accent 6"/>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13">
    <w:name w:val="List Table 2"/>
    <w:basedOn w:val="26"/>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4">
    <w:name w:val="List Table 2 - Accent 1"/>
    <w:basedOn w:val="26"/>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15">
    <w:name w:val="List Table 2 - Accent 2"/>
    <w:basedOn w:val="26"/>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16">
    <w:name w:val="List Table 2 - Accent 3"/>
    <w:basedOn w:val="26"/>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17">
    <w:name w:val="List Table 2 - Accent 4"/>
    <w:basedOn w:val="26"/>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18">
    <w:name w:val="List Table 2 - Accent 5"/>
    <w:basedOn w:val="26"/>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19">
    <w:name w:val="List Table 2 - Accent 6"/>
    <w:basedOn w:val="26"/>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0">
    <w:name w:val="List Table 3"/>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1">
    <w:name w:val="List Table 3 - Accent 1"/>
    <w:basedOn w:val="26"/>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2">
    <w:name w:val="List Table 3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3">
    <w:name w:val="List Table 3 - Accent 3"/>
    <w:basedOn w:val="26"/>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4">
    <w:name w:val="List Table 3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5">
    <w:name w:val="List Table 3 - Accent 5"/>
    <w:basedOn w:val="26"/>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6">
    <w:name w:val="List Table 3 - Accent 6"/>
    <w:basedOn w:val="26"/>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7">
    <w:name w:val="List Table 4"/>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8">
    <w:name w:val="List Table 4 - Accent 1"/>
    <w:basedOn w:val="26"/>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29">
    <w:name w:val="List Table 4 - Accent 2"/>
    <w:basedOn w:val="26"/>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0">
    <w:name w:val="List Table 4 - Accent 3"/>
    <w:basedOn w:val="26"/>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1">
    <w:name w:val="List Table 4 - Accent 4"/>
    <w:basedOn w:val="26"/>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32">
    <w:name w:val="List Table 4 - Accent 5"/>
    <w:basedOn w:val="26"/>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33">
    <w:name w:val="List Table 4 - Accent 6"/>
    <w:basedOn w:val="26"/>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34">
    <w:name w:val="List Table 5 Dark"/>
    <w:basedOn w:val="26"/>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5">
    <w:name w:val="List Table 5 Dark - Accent 1"/>
    <w:basedOn w:val="26"/>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36">
    <w:name w:val="List Table 5 Dark - Accent 2"/>
    <w:basedOn w:val="26"/>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37">
    <w:name w:val="List Table 5 Dark - Accent 3"/>
    <w:basedOn w:val="26"/>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38">
    <w:name w:val="List Table 5 Dark - Accent 4"/>
    <w:basedOn w:val="26"/>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39">
    <w:name w:val="List Table 5 Dark - Accent 5"/>
    <w:basedOn w:val="26"/>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0">
    <w:name w:val="List Table 5 Dark - Accent 6"/>
    <w:basedOn w:val="26"/>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1">
    <w:name w:val="List Table 6 Colorful"/>
    <w:basedOn w:val="26"/>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2">
    <w:name w:val="List Table 6 Colorful - Accent 1"/>
    <w:basedOn w:val="26"/>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3">
    <w:name w:val="List Table 6 Colorful - Accent 2"/>
    <w:basedOn w:val="26"/>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4">
    <w:name w:val="List Table 6 Colorful - Accent 3"/>
    <w:basedOn w:val="26"/>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4"/>
    <w:basedOn w:val="26"/>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5"/>
    <w:basedOn w:val="26"/>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6"/>
    <w:basedOn w:val="26"/>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8">
    <w:name w:val="List Table 7 Colorful"/>
    <w:basedOn w:val="26"/>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9">
    <w:name w:val="List Table 7 Colorful - Accent 1"/>
    <w:basedOn w:val="26"/>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0">
    <w:name w:val="List Table 7 Colorful - Accent 2"/>
    <w:basedOn w:val="26"/>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1">
    <w:name w:val="List Table 7 Colorful - Accent 3"/>
    <w:basedOn w:val="26"/>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4"/>
    <w:basedOn w:val="26"/>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5"/>
    <w:basedOn w:val="26"/>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6"/>
    <w:basedOn w:val="26"/>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5">
    <w:name w:val="Lined - Accent"/>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6">
    <w:name w:val="Lined - Accent 1"/>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57">
    <w:name w:val="Lined - Accent 2"/>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58">
    <w:name w:val="Lined - Accent 3"/>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59">
    <w:name w:val="Lined - Accent 4"/>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0">
    <w:name w:val="Lined - Accent 5"/>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1">
    <w:name w:val="Lined - Accent 6"/>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2">
    <w:name w:val="Bordered &amp; Lined - Accent"/>
    <w:basedOn w:val="26"/>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3">
    <w:name w:val="Bordered &amp; Lined - Accent 1"/>
    <w:basedOn w:val="26"/>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4">
    <w:name w:val="Bordered &amp; Lined - Accent 2"/>
    <w:basedOn w:val="26"/>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5">
    <w:name w:val="Bordered &amp; Lined - Accent 3"/>
    <w:basedOn w:val="26"/>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6">
    <w:name w:val="Bordered &amp; Lined - Accent 4"/>
    <w:basedOn w:val="26"/>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7">
    <w:name w:val="Bordered &amp; Lined - Accent 5"/>
    <w:basedOn w:val="26"/>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8">
    <w:name w:val="Bordered &amp; Lined - Accent 6"/>
    <w:basedOn w:val="26"/>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9">
    <w:name w:val="Bordered"/>
    <w:basedOn w:val="26"/>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0">
    <w:name w:val="Bordered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1">
    <w:name w:val="Bordered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2">
    <w:name w:val="Bordered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3">
    <w:name w:val="Bordered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4">
    <w:name w:val="Bordered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5">
    <w:name w:val="Bordered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6">
    <w:name w:val="Footnote Text Char"/>
    <w:link w:val="21"/>
    <w:qFormat/>
    <w:uiPriority w:val="99"/>
    <w:rPr>
      <w:sz w:val="18"/>
    </w:rPr>
  </w:style>
  <w:style w:type="paragraph" w:customStyle="1" w:styleId="177">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fill="auto"/>
      <w:overflowPunct w:val="0"/>
      <w:autoSpaceDE w:val="0"/>
      <w:autoSpaceDN w:val="0"/>
      <w:spacing w:before="0" w:beforeAutospacing="0" w:after="0" w:afterAutospacing="0" w:line="240" w:lineRule="auto"/>
      <w:ind w:left="0" w:right="0" w:firstLine="0"/>
      <w:jc w:val="left"/>
    </w:pPr>
    <w:rPr>
      <w:rFonts w:hint="default" w:ascii="Calibri" w:hAnsi="Calibri" w:eastAsia="宋体" w:cs="Times New Roman"/>
      <w:color w:val="auto"/>
      <w:spacing w:val="0"/>
      <w:position w:val="0"/>
      <w:sz w:val="21"/>
      <w:szCs w:val="22"/>
      <w:lang w:val="en-US" w:eastAsia="en-US" w:bidi="en-US"/>
    </w:rPr>
  </w:style>
  <w:style w:type="paragraph" w:styleId="178">
    <w:name w:val="List Paragraph"/>
    <w:basedOn w:val="1"/>
    <w:qFormat/>
    <w:uiPriority w:val="0"/>
    <w:pPr>
      <w:keepNext/>
      <w:ind w:firstLine="420" w:firstLineChars="200"/>
    </w:pPr>
  </w:style>
  <w:style w:type="paragraph" w:customStyle="1" w:styleId="179">
    <w:name w:val="标题 11"/>
    <w:basedOn w:val="180"/>
    <w:next w:val="180"/>
    <w:qFormat/>
    <w:uiPriority w:val="0"/>
    <w:pPr>
      <w:keepNext/>
      <w:keepLines/>
      <w:spacing w:line="560" w:lineRule="exact"/>
      <w:ind w:firstLine="880" w:firstLineChars="200"/>
      <w:outlineLvl w:val="0"/>
    </w:pPr>
    <w:rPr>
      <w:rFonts w:ascii="Times New Roman" w:hAnsi="Times New Roman" w:eastAsia="黑体"/>
      <w:b/>
      <w:bCs/>
      <w:kern w:val="44"/>
      <w:sz w:val="32"/>
      <w:szCs w:val="44"/>
    </w:rPr>
  </w:style>
  <w:style w:type="paragraph" w:customStyle="1" w:styleId="180">
    <w:name w:val="正文_0"/>
    <w:next w:val="179"/>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beforeAutospacing="0" w:after="0" w:afterAutospacing="0" w:line="240" w:lineRule="auto"/>
      <w:ind w:left="0" w:right="0" w:firstLine="0"/>
      <w:jc w:val="both"/>
    </w:pPr>
    <w:rPr>
      <w:rFonts w:hint="default" w:ascii="Calibri" w:hAnsi="Calibri" w:eastAsia="宋体" w:cs="Times New Roman"/>
      <w:color w:val="auto"/>
      <w:spacing w:val="0"/>
      <w:kern w:val="2"/>
      <w:position w:val="0"/>
      <w:sz w:val="21"/>
      <w:szCs w:val="24"/>
      <w:lang w:val="en-US" w:eastAsia="zh-CN" w:bidi="ar-SA"/>
    </w:rPr>
  </w:style>
  <w:style w:type="character" w:customStyle="1" w:styleId="181">
    <w:name w:val="默认段落字体1"/>
    <w:link w:val="1"/>
    <w:qFormat/>
    <w:uiPriority w:val="0"/>
  </w:style>
  <w:style w:type="table" w:customStyle="1" w:styleId="182">
    <w:name w:val="普通表格1"/>
    <w:qFormat/>
    <w:uiPriority w:val="0"/>
  </w:style>
  <w:style w:type="paragraph" w:customStyle="1" w:styleId="183">
    <w:name w:val="正文缩进1"/>
    <w:basedOn w:val="1"/>
    <w:next w:val="1"/>
    <w:qFormat/>
    <w:uiPriority w:val="0"/>
    <w:pPr>
      <w:ind w:firstLine="630"/>
    </w:pPr>
    <w:rPr>
      <w:rFonts w:ascii="Calibri" w:hAnsi="Calibri" w:eastAsia="仿宋_GB2312"/>
      <w:kern w:val="0"/>
      <w:sz w:val="32"/>
      <w:szCs w:val="20"/>
    </w:rPr>
  </w:style>
  <w:style w:type="paragraph" w:customStyle="1" w:styleId="184">
    <w:name w:val="正文文本1"/>
    <w:basedOn w:val="1"/>
    <w:next w:val="185"/>
    <w:qFormat/>
    <w:uiPriority w:val="0"/>
    <w:pPr>
      <w:spacing w:line="560" w:lineRule="exact"/>
      <w:ind w:firstLine="880" w:firstLineChars="200"/>
    </w:pPr>
    <w:rPr>
      <w:rFonts w:ascii="Times New Roman" w:hAnsi="Times New Roman" w:eastAsia="仿宋_GB2312"/>
      <w:kern w:val="0"/>
      <w:sz w:val="32"/>
      <w:szCs w:val="20"/>
    </w:rPr>
  </w:style>
  <w:style w:type="paragraph" w:customStyle="1" w:styleId="185">
    <w:name w:val="标题1"/>
    <w:basedOn w:val="1"/>
    <w:next w:val="1"/>
    <w:qFormat/>
    <w:uiPriority w:val="0"/>
    <w:rPr>
      <w:rFonts w:ascii="Times New Roman" w:hAnsi="Times New Roman" w:eastAsia="宋体"/>
      <w:sz w:val="56"/>
      <w:szCs w:val="56"/>
    </w:rPr>
  </w:style>
  <w:style w:type="paragraph" w:customStyle="1" w:styleId="186">
    <w:name w:val="正文文本缩进1"/>
    <w:basedOn w:val="1"/>
    <w:next w:val="1"/>
    <w:qFormat/>
    <w:uiPriority w:val="0"/>
    <w:pPr>
      <w:spacing w:after="120"/>
      <w:ind w:left="420" w:leftChars="200"/>
    </w:pPr>
    <w:rPr>
      <w:rFonts w:ascii="Calibri" w:hAnsi="Calibri" w:eastAsia="宋体"/>
    </w:rPr>
  </w:style>
  <w:style w:type="paragraph" w:customStyle="1" w:styleId="187">
    <w:name w:val="页脚1"/>
    <w:basedOn w:val="1"/>
    <w:link w:val="188"/>
    <w:qFormat/>
    <w:uiPriority w:val="0"/>
    <w:pPr>
      <w:tabs>
        <w:tab w:val="center" w:pos="4153"/>
        <w:tab w:val="right" w:pos="8306"/>
      </w:tabs>
      <w:snapToGrid w:val="0"/>
      <w:jc w:val="left"/>
    </w:pPr>
    <w:rPr>
      <w:sz w:val="18"/>
      <w:szCs w:val="18"/>
    </w:rPr>
  </w:style>
  <w:style w:type="character" w:customStyle="1" w:styleId="188">
    <w:name w:val="页脚 Char"/>
    <w:basedOn w:val="181"/>
    <w:link w:val="187"/>
    <w:semiHidden/>
    <w:qFormat/>
    <w:uiPriority w:val="0"/>
    <w:rPr>
      <w:sz w:val="18"/>
      <w:szCs w:val="18"/>
    </w:rPr>
  </w:style>
  <w:style w:type="paragraph" w:customStyle="1" w:styleId="189">
    <w:name w:val="页眉1"/>
    <w:basedOn w:val="1"/>
    <w:link w:val="190"/>
    <w:qFormat/>
    <w:uiPriority w:val="0"/>
    <w:pPr>
      <w:pBdr>
        <w:bottom w:val="single" w:color="000000" w:sz="6" w:space="1"/>
      </w:pBdr>
      <w:tabs>
        <w:tab w:val="center" w:pos="4153"/>
        <w:tab w:val="right" w:pos="8306"/>
      </w:tabs>
      <w:snapToGrid w:val="0"/>
      <w:jc w:val="center"/>
    </w:pPr>
    <w:rPr>
      <w:sz w:val="18"/>
      <w:szCs w:val="18"/>
    </w:rPr>
  </w:style>
  <w:style w:type="character" w:customStyle="1" w:styleId="190">
    <w:name w:val="页眉 Char"/>
    <w:basedOn w:val="181"/>
    <w:link w:val="189"/>
    <w:semiHidden/>
    <w:qFormat/>
    <w:uiPriority w:val="0"/>
    <w:rPr>
      <w:sz w:val="18"/>
      <w:szCs w:val="18"/>
    </w:rPr>
  </w:style>
  <w:style w:type="paragraph" w:customStyle="1" w:styleId="191">
    <w:name w:val="WW-Default"/>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fill="auto"/>
      <w:autoSpaceDE w:val="0"/>
      <w:spacing w:before="0" w:beforeAutospacing="0" w:after="0" w:afterAutospacing="0" w:line="240" w:lineRule="auto"/>
      <w:ind w:left="0" w:right="0" w:firstLine="0"/>
      <w:jc w:val="left"/>
    </w:pPr>
    <w:rPr>
      <w:rFonts w:hint="default" w:ascii="Times New Roman" w:hAnsi="Times New Roman" w:eastAsia="宋体" w:cs="Times New Roman"/>
      <w:color w:val="000000"/>
      <w:spacing w:val="0"/>
      <w:positio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TotalTime>2</TotalTime>
  <ScaleCrop>false</ScaleCrop>
  <LinksUpToDate>false</LinksUpToDate>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2025-10-19T17:47:00Z</dcterms:created>
  <dc:creator>huawei</dc:creator>
  <cp:lastModifiedBy>huawei</cp:lastModifiedBy>
  <dcterms:modified xsi:type="dcterms:W3CDTF">2026-06-03T16:16:01Z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7A921DD1DBB252D84F61156A80DAC66D_42</vt:lpwstr>
  </property>
</Properties>
</file>