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79" w:lineRule="exact"/>
        <w:ind w:firstLine="643" w:firstLineChars="200"/>
        <w:jc w:val="center"/>
        <w:rPr>
          <w:rFonts w:hint="eastAsia" w:ascii="仿宋_GB2312" w:hAnsi="仿宋_GB2312" w:eastAsia="仿宋_GB2312" w:cs="仿宋_GB2312"/>
          <w:b/>
          <w:bCs/>
          <w:kern w:val="0"/>
          <w:sz w:val="32"/>
          <w:szCs w:val="32"/>
        </w:rPr>
      </w:pPr>
      <w:bookmarkStart w:id="0" w:name="_GoBack"/>
      <w:r>
        <w:rPr>
          <w:rFonts w:hint="eastAsia" w:ascii="仿宋_GB2312" w:hAnsi="仿宋_GB2312" w:eastAsia="仿宋_GB2312" w:cs="仿宋_GB2312"/>
          <w:b/>
          <w:bCs/>
          <w:kern w:val="0"/>
          <w:sz w:val="32"/>
          <w:szCs w:val="32"/>
        </w:rPr>
        <w:t xml:space="preserve">附表1 </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b/>
          <w:bCs/>
          <w:kern w:val="0"/>
          <w:sz w:val="32"/>
          <w:szCs w:val="32"/>
        </w:rPr>
        <w:t>建筑类型适用地价标准及修正系数表</w:t>
      </w:r>
    </w:p>
    <w:bookmarkEnd w:id="0"/>
    <w:tbl>
      <w:tblPr>
        <w:tblStyle w:val="2"/>
        <w:tblW w:w="9034" w:type="dxa"/>
        <w:jc w:val="center"/>
        <w:tblLayout w:type="fixed"/>
        <w:tblCellMar>
          <w:top w:w="0" w:type="dxa"/>
          <w:left w:w="108" w:type="dxa"/>
          <w:bottom w:w="0" w:type="dxa"/>
          <w:right w:w="108" w:type="dxa"/>
        </w:tblCellMar>
      </w:tblPr>
      <w:tblGrid>
        <w:gridCol w:w="729"/>
        <w:gridCol w:w="708"/>
        <w:gridCol w:w="5186"/>
        <w:gridCol w:w="1381"/>
        <w:gridCol w:w="1030"/>
      </w:tblGrid>
      <w:tr>
        <w:tblPrEx>
          <w:tblCellMar>
            <w:top w:w="0" w:type="dxa"/>
            <w:left w:w="108" w:type="dxa"/>
            <w:bottom w:w="0" w:type="dxa"/>
            <w:right w:w="108" w:type="dxa"/>
          </w:tblCellMar>
        </w:tblPrEx>
        <w:trPr>
          <w:trHeight w:val="28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beforeLines="0" w:afterLines="0" w:line="290" w:lineRule="exact"/>
              <w:ind w:left="0" w:leftChars="0" w:right="0" w:right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5894" w:type="dxa"/>
            <w:gridSpan w:val="2"/>
            <w:tcBorders>
              <w:top w:val="single" w:color="auto" w:sz="4" w:space="0"/>
              <w:left w:val="nil"/>
              <w:bottom w:val="single" w:color="auto" w:sz="4" w:space="0"/>
              <w:right w:val="single" w:color="auto" w:sz="4" w:space="0"/>
            </w:tcBorders>
            <w:vAlign w:val="center"/>
          </w:tcPr>
          <w:p>
            <w:pPr>
              <w:spacing w:beforeLines="0" w:afterLines="0" w:line="29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建筑类型</w:t>
            </w:r>
          </w:p>
        </w:tc>
        <w:tc>
          <w:tcPr>
            <w:tcW w:w="1381" w:type="dxa"/>
            <w:tcBorders>
              <w:top w:val="single" w:color="auto" w:sz="4" w:space="0"/>
              <w:left w:val="nil"/>
              <w:bottom w:val="single" w:color="auto" w:sz="4" w:space="0"/>
              <w:right w:val="single" w:color="auto" w:sz="4" w:space="0"/>
            </w:tcBorders>
            <w:vAlign w:val="center"/>
          </w:tcPr>
          <w:p>
            <w:pPr>
              <w:spacing w:beforeLines="0" w:afterLines="0" w:line="290" w:lineRule="exact"/>
              <w:ind w:left="0" w:left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适用地价</w:t>
            </w:r>
          </w:p>
          <w:p>
            <w:pPr>
              <w:spacing w:beforeLines="0" w:afterLines="0" w:line="290" w:lineRule="exact"/>
              <w:ind w:left="0" w:left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类型</w:t>
            </w:r>
          </w:p>
        </w:tc>
        <w:tc>
          <w:tcPr>
            <w:tcW w:w="1030" w:type="dxa"/>
            <w:tcBorders>
              <w:top w:val="single" w:color="auto" w:sz="4" w:space="0"/>
              <w:left w:val="nil"/>
              <w:bottom w:val="single" w:color="auto" w:sz="4" w:space="0"/>
              <w:right w:val="single" w:color="auto" w:sz="4" w:space="0"/>
            </w:tcBorders>
            <w:vAlign w:val="center"/>
          </w:tcPr>
          <w:p>
            <w:pPr>
              <w:spacing w:beforeLines="0" w:afterLines="0" w:line="290" w:lineRule="exact"/>
              <w:ind w:left="0" w:leftChars="0" w:right="0" w:right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修正</w:t>
            </w:r>
          </w:p>
          <w:p>
            <w:pPr>
              <w:spacing w:beforeLines="0" w:afterLines="0" w:line="290" w:lineRule="exact"/>
              <w:ind w:left="0" w:leftChars="0" w:right="0" w:right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系数</w:t>
            </w:r>
          </w:p>
        </w:tc>
      </w:tr>
      <w:tr>
        <w:tblPrEx>
          <w:tblCellMar>
            <w:top w:w="0" w:type="dxa"/>
            <w:left w:w="108" w:type="dxa"/>
            <w:bottom w:w="0" w:type="dxa"/>
            <w:right w:w="108" w:type="dxa"/>
          </w:tblCellMar>
        </w:tblPrEx>
        <w:trPr>
          <w:trHeight w:val="6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beforeLines="0" w:afterLines="0" w:line="2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894" w:type="dxa"/>
            <w:gridSpan w:val="2"/>
            <w:tcBorders>
              <w:top w:val="single" w:color="auto" w:sz="4" w:space="0"/>
              <w:left w:val="nil"/>
              <w:bottom w:val="single" w:color="auto" w:sz="4" w:space="0"/>
              <w:right w:val="single" w:color="auto" w:sz="4" w:space="0"/>
            </w:tcBorders>
            <w:vAlign w:val="center"/>
          </w:tcPr>
          <w:p>
            <w:pPr>
              <w:spacing w:beforeLines="0" w:afterLines="0" w:line="29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厂房（含新型产业用地中的厂房）</w:t>
            </w:r>
          </w:p>
        </w:tc>
        <w:tc>
          <w:tcPr>
            <w:tcW w:w="1381" w:type="dxa"/>
            <w:vMerge w:val="restart"/>
            <w:tcBorders>
              <w:top w:val="nil"/>
              <w:left w:val="single" w:color="auto" w:sz="4" w:space="0"/>
              <w:right w:val="nil"/>
            </w:tcBorders>
            <w:vAlign w:val="center"/>
          </w:tcPr>
          <w:p>
            <w:pPr>
              <w:spacing w:beforeLines="0" w:afterLines="0" w:line="2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工业</w:t>
            </w:r>
          </w:p>
        </w:tc>
        <w:tc>
          <w:tcPr>
            <w:tcW w:w="1030" w:type="dxa"/>
            <w:tcBorders>
              <w:top w:val="single" w:color="auto" w:sz="4" w:space="0"/>
              <w:left w:val="single" w:color="auto" w:sz="4" w:space="0"/>
              <w:bottom w:val="single" w:color="auto" w:sz="4" w:space="0"/>
              <w:right w:val="single" w:color="auto" w:sz="4" w:space="0"/>
            </w:tcBorders>
            <w:vAlign w:val="center"/>
          </w:tcPr>
          <w:p>
            <w:pPr>
              <w:spacing w:beforeLines="0" w:afterLines="0" w:line="2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CellMar>
            <w:top w:w="0" w:type="dxa"/>
            <w:left w:w="108" w:type="dxa"/>
            <w:bottom w:w="0" w:type="dxa"/>
            <w:right w:w="108" w:type="dxa"/>
          </w:tblCellMar>
        </w:tblPrEx>
        <w:trPr>
          <w:trHeight w:val="263"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beforeLines="0" w:afterLines="0" w:line="2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894" w:type="dxa"/>
            <w:gridSpan w:val="2"/>
            <w:tcBorders>
              <w:top w:val="single" w:color="auto" w:sz="4" w:space="0"/>
              <w:left w:val="nil"/>
              <w:bottom w:val="single" w:color="auto" w:sz="4" w:space="0"/>
              <w:right w:val="single" w:color="auto" w:sz="4" w:space="0"/>
            </w:tcBorders>
            <w:vAlign w:val="center"/>
          </w:tcPr>
          <w:p>
            <w:pPr>
              <w:spacing w:beforeLines="0" w:afterLines="0" w:line="29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仓库（含物流用地中的仓库）</w:t>
            </w:r>
          </w:p>
        </w:tc>
        <w:tc>
          <w:tcPr>
            <w:tcW w:w="1381" w:type="dxa"/>
            <w:vMerge w:val="continue"/>
            <w:tcBorders>
              <w:top w:val="nil"/>
              <w:left w:val="single" w:color="auto" w:sz="4" w:space="0"/>
              <w:right w:val="nil"/>
            </w:tcBorders>
            <w:vAlign w:val="center"/>
          </w:tcPr>
          <w:p>
            <w:pPr>
              <w:spacing w:beforeLines="0" w:afterLines="0" w:line="290" w:lineRule="exact"/>
              <w:jc w:val="center"/>
              <w:rPr>
                <w:rFonts w:hint="eastAsia" w:ascii="仿宋_GB2312" w:hAnsi="仿宋_GB2312" w:eastAsia="仿宋_GB2312" w:cs="仿宋_GB2312"/>
                <w:sz w:val="24"/>
                <w:szCs w:val="24"/>
              </w:rPr>
            </w:pPr>
          </w:p>
        </w:tc>
        <w:tc>
          <w:tcPr>
            <w:tcW w:w="1030" w:type="dxa"/>
            <w:tcBorders>
              <w:top w:val="single" w:color="auto" w:sz="4" w:space="0"/>
              <w:left w:val="single" w:color="auto" w:sz="4" w:space="0"/>
              <w:bottom w:val="single" w:color="auto" w:sz="4" w:space="0"/>
              <w:right w:val="single" w:color="auto" w:sz="4" w:space="0"/>
            </w:tcBorders>
            <w:vAlign w:val="center"/>
          </w:tcPr>
          <w:p>
            <w:pPr>
              <w:spacing w:beforeLines="0" w:afterLines="0" w:line="2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CellMar>
            <w:top w:w="0" w:type="dxa"/>
            <w:left w:w="108" w:type="dxa"/>
            <w:bottom w:w="0" w:type="dxa"/>
            <w:right w:w="108" w:type="dxa"/>
          </w:tblCellMar>
        </w:tblPrEx>
        <w:trPr>
          <w:trHeight w:val="284" w:hRule="atLeast"/>
          <w:jc w:val="center"/>
        </w:trPr>
        <w:tc>
          <w:tcPr>
            <w:tcW w:w="729" w:type="dxa"/>
            <w:vMerge w:val="restart"/>
            <w:tcBorders>
              <w:top w:val="single" w:color="auto" w:sz="4" w:space="0"/>
              <w:left w:val="single" w:color="auto" w:sz="4" w:space="0"/>
              <w:right w:val="single" w:color="auto" w:sz="4" w:space="0"/>
            </w:tcBorders>
            <w:vAlign w:val="center"/>
          </w:tcPr>
          <w:p>
            <w:pPr>
              <w:spacing w:beforeLines="0" w:afterLines="0" w:line="2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5894" w:type="dxa"/>
            <w:gridSpan w:val="2"/>
            <w:tcBorders>
              <w:top w:val="single" w:color="auto" w:sz="4" w:space="0"/>
              <w:left w:val="nil"/>
              <w:bottom w:val="single" w:color="auto" w:sz="4" w:space="0"/>
              <w:right w:val="single" w:color="auto" w:sz="4" w:space="0"/>
            </w:tcBorders>
            <w:vAlign w:val="center"/>
          </w:tcPr>
          <w:p>
            <w:pPr>
              <w:spacing w:beforeLines="0" w:afterLines="0" w:line="29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公用设施、市政设施及施工配套设施、训考场、殡葬设施</w:t>
            </w:r>
          </w:p>
        </w:tc>
        <w:tc>
          <w:tcPr>
            <w:tcW w:w="1381" w:type="dxa"/>
            <w:vMerge w:val="continue"/>
            <w:tcBorders>
              <w:left w:val="single" w:color="auto" w:sz="4" w:space="0"/>
              <w:right w:val="nil"/>
            </w:tcBorders>
            <w:vAlign w:val="center"/>
          </w:tcPr>
          <w:p>
            <w:pPr>
              <w:spacing w:beforeLines="0" w:afterLines="0" w:line="290" w:lineRule="exact"/>
              <w:jc w:val="center"/>
              <w:rPr>
                <w:rFonts w:hint="eastAsia" w:ascii="仿宋_GB2312" w:hAnsi="仿宋_GB2312" w:eastAsia="仿宋_GB2312" w:cs="仿宋_GB2312"/>
                <w:sz w:val="24"/>
                <w:szCs w:val="24"/>
              </w:rPr>
            </w:pPr>
          </w:p>
        </w:tc>
        <w:tc>
          <w:tcPr>
            <w:tcW w:w="1030" w:type="dxa"/>
            <w:tcBorders>
              <w:top w:val="single" w:color="auto" w:sz="4" w:space="0"/>
              <w:left w:val="single" w:color="auto" w:sz="4" w:space="0"/>
              <w:bottom w:val="single" w:color="auto" w:sz="4" w:space="0"/>
              <w:right w:val="single" w:color="auto" w:sz="4" w:space="0"/>
            </w:tcBorders>
            <w:vAlign w:val="center"/>
          </w:tcPr>
          <w:p>
            <w:pPr>
              <w:spacing w:beforeLines="0" w:afterLines="0" w:line="2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0.3</w:t>
            </w:r>
          </w:p>
        </w:tc>
      </w:tr>
      <w:tr>
        <w:tblPrEx>
          <w:tblCellMar>
            <w:top w:w="0" w:type="dxa"/>
            <w:left w:w="108" w:type="dxa"/>
            <w:bottom w:w="0" w:type="dxa"/>
            <w:right w:w="108" w:type="dxa"/>
          </w:tblCellMar>
        </w:tblPrEx>
        <w:trPr>
          <w:trHeight w:val="463" w:hRule="atLeast"/>
          <w:jc w:val="center"/>
        </w:trPr>
        <w:tc>
          <w:tcPr>
            <w:tcW w:w="729" w:type="dxa"/>
            <w:vMerge w:val="continue"/>
            <w:tcBorders>
              <w:left w:val="single" w:color="auto" w:sz="4" w:space="0"/>
              <w:bottom w:val="single" w:color="auto" w:sz="4" w:space="0"/>
              <w:right w:val="single" w:color="auto" w:sz="4" w:space="0"/>
            </w:tcBorders>
            <w:vAlign w:val="center"/>
          </w:tcPr>
          <w:p>
            <w:pPr>
              <w:spacing w:beforeLines="0" w:afterLines="0" w:line="290" w:lineRule="exact"/>
              <w:jc w:val="center"/>
              <w:rPr>
                <w:rFonts w:hint="eastAsia" w:ascii="仿宋_GB2312" w:hAnsi="仿宋_GB2312" w:eastAsia="仿宋_GB2312" w:cs="仿宋_GB2312"/>
                <w:sz w:val="24"/>
                <w:szCs w:val="24"/>
              </w:rPr>
            </w:pPr>
          </w:p>
        </w:tc>
        <w:tc>
          <w:tcPr>
            <w:tcW w:w="5894" w:type="dxa"/>
            <w:gridSpan w:val="2"/>
            <w:tcBorders>
              <w:top w:val="nil"/>
              <w:left w:val="nil"/>
              <w:bottom w:val="single" w:color="auto" w:sz="4" w:space="0"/>
              <w:right w:val="single" w:color="auto" w:sz="4" w:space="0"/>
            </w:tcBorders>
            <w:vAlign w:val="center"/>
          </w:tcPr>
          <w:p>
            <w:pPr>
              <w:spacing w:beforeLines="0" w:afterLines="0" w:line="29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交通设施（不含加油站、加气站、训考场、社会停车场（库）），综合管廊</w:t>
            </w:r>
          </w:p>
        </w:tc>
        <w:tc>
          <w:tcPr>
            <w:tcW w:w="1381" w:type="dxa"/>
            <w:vMerge w:val="continue"/>
            <w:tcBorders>
              <w:left w:val="single" w:color="auto" w:sz="4" w:space="0"/>
              <w:right w:val="nil"/>
            </w:tcBorders>
            <w:vAlign w:val="center"/>
          </w:tcPr>
          <w:p>
            <w:pPr>
              <w:spacing w:beforeLines="0" w:afterLines="0" w:line="290" w:lineRule="exact"/>
              <w:jc w:val="center"/>
              <w:rPr>
                <w:rFonts w:hint="eastAsia" w:ascii="仿宋_GB2312" w:hAnsi="仿宋_GB2312" w:eastAsia="仿宋_GB2312" w:cs="仿宋_GB2312"/>
                <w:sz w:val="24"/>
                <w:szCs w:val="24"/>
              </w:rPr>
            </w:pPr>
          </w:p>
        </w:tc>
        <w:tc>
          <w:tcPr>
            <w:tcW w:w="1030" w:type="dxa"/>
            <w:tcBorders>
              <w:top w:val="nil"/>
              <w:left w:val="single" w:color="auto" w:sz="4" w:space="0"/>
              <w:bottom w:val="single" w:color="auto" w:sz="4" w:space="0"/>
              <w:right w:val="single" w:color="auto" w:sz="4" w:space="0"/>
            </w:tcBorders>
            <w:vAlign w:val="center"/>
          </w:tcPr>
          <w:p>
            <w:pPr>
              <w:spacing w:beforeLines="0" w:afterLines="0" w:line="2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0.1</w:t>
            </w:r>
          </w:p>
        </w:tc>
      </w:tr>
      <w:tr>
        <w:tblPrEx>
          <w:tblCellMar>
            <w:top w:w="0" w:type="dxa"/>
            <w:left w:w="108" w:type="dxa"/>
            <w:bottom w:w="0" w:type="dxa"/>
            <w:right w:w="108" w:type="dxa"/>
          </w:tblCellMar>
        </w:tblPrEx>
        <w:trPr>
          <w:trHeight w:val="277" w:hRule="atLeast"/>
          <w:jc w:val="center"/>
        </w:trPr>
        <w:tc>
          <w:tcPr>
            <w:tcW w:w="729" w:type="dxa"/>
            <w:tcBorders>
              <w:left w:val="single" w:color="auto" w:sz="4" w:space="0"/>
              <w:bottom w:val="single" w:color="auto" w:sz="4" w:space="0"/>
              <w:right w:val="single" w:color="auto" w:sz="4" w:space="0"/>
            </w:tcBorders>
            <w:vAlign w:val="center"/>
          </w:tcPr>
          <w:p>
            <w:pPr>
              <w:spacing w:beforeLines="0" w:afterLines="0" w:line="2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894" w:type="dxa"/>
            <w:gridSpan w:val="2"/>
            <w:tcBorders>
              <w:top w:val="nil"/>
              <w:left w:val="nil"/>
              <w:bottom w:val="single" w:color="auto" w:sz="4" w:space="0"/>
              <w:right w:val="single" w:color="auto" w:sz="4" w:space="0"/>
            </w:tcBorders>
            <w:vAlign w:val="center"/>
          </w:tcPr>
          <w:p>
            <w:pPr>
              <w:spacing w:beforeLines="0" w:afterLines="0" w:line="29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新型产业用地中的研发用房、物流建筑</w:t>
            </w:r>
          </w:p>
        </w:tc>
        <w:tc>
          <w:tcPr>
            <w:tcW w:w="1381" w:type="dxa"/>
            <w:vMerge w:val="continue"/>
            <w:tcBorders>
              <w:left w:val="single" w:color="auto" w:sz="4" w:space="0"/>
              <w:bottom w:val="single" w:color="auto" w:sz="4" w:space="0"/>
              <w:right w:val="nil"/>
            </w:tcBorders>
            <w:vAlign w:val="center"/>
          </w:tcPr>
          <w:p>
            <w:pPr>
              <w:spacing w:beforeLines="0" w:afterLines="0" w:line="290" w:lineRule="exact"/>
              <w:jc w:val="center"/>
              <w:rPr>
                <w:rFonts w:hint="eastAsia" w:ascii="仿宋_GB2312" w:hAnsi="仿宋_GB2312" w:eastAsia="仿宋_GB2312" w:cs="仿宋_GB2312"/>
                <w:sz w:val="24"/>
                <w:szCs w:val="24"/>
              </w:rPr>
            </w:pPr>
          </w:p>
        </w:tc>
        <w:tc>
          <w:tcPr>
            <w:tcW w:w="1030" w:type="dxa"/>
            <w:tcBorders>
              <w:top w:val="nil"/>
              <w:left w:val="single" w:color="auto" w:sz="4" w:space="0"/>
              <w:bottom w:val="single" w:color="auto" w:sz="4" w:space="0"/>
              <w:right w:val="single" w:color="auto" w:sz="4" w:space="0"/>
            </w:tcBorders>
            <w:vAlign w:val="center"/>
          </w:tcPr>
          <w:p>
            <w:pPr>
              <w:spacing w:beforeLines="0" w:afterLines="0" w:line="2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见备注3</w:t>
            </w:r>
          </w:p>
        </w:tc>
      </w:tr>
      <w:tr>
        <w:tblPrEx>
          <w:tblCellMar>
            <w:top w:w="0" w:type="dxa"/>
            <w:left w:w="108" w:type="dxa"/>
            <w:bottom w:w="0" w:type="dxa"/>
            <w:right w:w="108" w:type="dxa"/>
          </w:tblCellMar>
        </w:tblPrEx>
        <w:trPr>
          <w:trHeight w:val="201" w:hRule="atLeast"/>
          <w:jc w:val="center"/>
        </w:trPr>
        <w:tc>
          <w:tcPr>
            <w:tcW w:w="729" w:type="dxa"/>
            <w:vMerge w:val="restart"/>
            <w:tcBorders>
              <w:top w:val="single" w:color="auto" w:sz="4" w:space="0"/>
              <w:left w:val="single" w:color="auto" w:sz="4" w:space="0"/>
              <w:right w:val="nil"/>
            </w:tcBorders>
            <w:vAlign w:val="center"/>
          </w:tcPr>
          <w:p>
            <w:pPr>
              <w:spacing w:beforeLines="0" w:afterLines="0" w:line="2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5894" w:type="dxa"/>
            <w:gridSpan w:val="2"/>
            <w:tcBorders>
              <w:top w:val="single" w:color="auto" w:sz="4" w:space="0"/>
              <w:left w:val="single" w:color="auto" w:sz="4" w:space="0"/>
              <w:bottom w:val="single" w:color="auto" w:sz="4" w:space="0"/>
              <w:right w:val="single" w:color="000000" w:sz="4" w:space="0"/>
            </w:tcBorders>
            <w:vAlign w:val="center"/>
          </w:tcPr>
          <w:p>
            <w:pPr>
              <w:spacing w:beforeLines="0" w:afterLines="0" w:line="29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住宅</w:t>
            </w:r>
          </w:p>
        </w:tc>
        <w:tc>
          <w:tcPr>
            <w:tcW w:w="1381" w:type="dxa"/>
            <w:vMerge w:val="restart"/>
            <w:tcBorders>
              <w:top w:val="single" w:color="auto" w:sz="4" w:space="0"/>
              <w:left w:val="nil"/>
              <w:right w:val="nil"/>
            </w:tcBorders>
            <w:vAlign w:val="center"/>
          </w:tcPr>
          <w:p>
            <w:pPr>
              <w:spacing w:beforeLines="0" w:afterLines="0" w:line="2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住宅</w:t>
            </w:r>
          </w:p>
        </w:tc>
        <w:tc>
          <w:tcPr>
            <w:tcW w:w="1030" w:type="dxa"/>
            <w:tcBorders>
              <w:top w:val="single" w:color="auto" w:sz="4" w:space="0"/>
              <w:left w:val="single" w:color="auto" w:sz="4" w:space="0"/>
              <w:bottom w:val="single" w:color="auto" w:sz="4" w:space="0"/>
              <w:right w:val="single" w:color="auto" w:sz="4" w:space="0"/>
            </w:tcBorders>
            <w:vAlign w:val="center"/>
          </w:tcPr>
          <w:p>
            <w:pPr>
              <w:spacing w:beforeLines="0" w:afterLines="0" w:line="2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CellMar>
            <w:top w:w="0" w:type="dxa"/>
            <w:left w:w="108" w:type="dxa"/>
            <w:bottom w:w="0" w:type="dxa"/>
            <w:right w:w="108" w:type="dxa"/>
          </w:tblCellMar>
        </w:tblPrEx>
        <w:trPr>
          <w:trHeight w:val="243" w:hRule="atLeast"/>
          <w:jc w:val="center"/>
        </w:trPr>
        <w:tc>
          <w:tcPr>
            <w:tcW w:w="729" w:type="dxa"/>
            <w:vMerge w:val="continue"/>
            <w:tcBorders>
              <w:left w:val="single" w:color="auto" w:sz="4" w:space="0"/>
              <w:right w:val="nil"/>
            </w:tcBorders>
            <w:vAlign w:val="center"/>
          </w:tcPr>
          <w:p>
            <w:pPr>
              <w:spacing w:beforeLines="0" w:afterLines="0" w:line="290" w:lineRule="exact"/>
              <w:jc w:val="center"/>
              <w:rPr>
                <w:rFonts w:hint="eastAsia" w:ascii="仿宋_GB2312" w:hAnsi="仿宋_GB2312" w:eastAsia="仿宋_GB2312" w:cs="仿宋_GB2312"/>
                <w:sz w:val="24"/>
                <w:szCs w:val="24"/>
              </w:rPr>
            </w:pPr>
          </w:p>
        </w:tc>
        <w:tc>
          <w:tcPr>
            <w:tcW w:w="708" w:type="dxa"/>
            <w:vMerge w:val="restart"/>
            <w:tcBorders>
              <w:top w:val="nil"/>
              <w:left w:val="single" w:color="auto" w:sz="4" w:space="0"/>
              <w:right w:val="nil"/>
            </w:tcBorders>
            <w:vAlign w:val="center"/>
          </w:tcPr>
          <w:p>
            <w:pPr>
              <w:spacing w:beforeLines="0" w:afterLines="0" w:line="290" w:lineRule="exact"/>
              <w:ind w:left="0" w:leftChars="0" w:right="0" w:right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c>
          <w:tcPr>
            <w:tcW w:w="5186" w:type="dxa"/>
            <w:tcBorders>
              <w:top w:val="single" w:color="auto" w:sz="4" w:space="0"/>
              <w:left w:val="single" w:color="auto" w:sz="4" w:space="0"/>
              <w:bottom w:val="single" w:color="auto" w:sz="4" w:space="0"/>
              <w:right w:val="single" w:color="auto" w:sz="4" w:space="0"/>
            </w:tcBorders>
            <w:vAlign w:val="center"/>
          </w:tcPr>
          <w:p>
            <w:pPr>
              <w:spacing w:beforeLines="0" w:afterLines="0" w:line="29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宿舍</w:t>
            </w:r>
          </w:p>
        </w:tc>
        <w:tc>
          <w:tcPr>
            <w:tcW w:w="1381" w:type="dxa"/>
            <w:vMerge w:val="continue"/>
            <w:tcBorders>
              <w:left w:val="nil"/>
              <w:right w:val="nil"/>
            </w:tcBorders>
            <w:vAlign w:val="center"/>
          </w:tcPr>
          <w:p>
            <w:pPr>
              <w:spacing w:beforeLines="0" w:afterLines="0" w:line="290" w:lineRule="exact"/>
              <w:jc w:val="center"/>
              <w:rPr>
                <w:rFonts w:hint="eastAsia" w:ascii="仿宋_GB2312" w:hAnsi="仿宋_GB2312" w:eastAsia="仿宋_GB2312" w:cs="仿宋_GB2312"/>
                <w:sz w:val="24"/>
                <w:szCs w:val="24"/>
              </w:rPr>
            </w:pPr>
          </w:p>
        </w:tc>
        <w:tc>
          <w:tcPr>
            <w:tcW w:w="1030" w:type="dxa"/>
            <w:tcBorders>
              <w:top w:val="single" w:color="auto" w:sz="4" w:space="0"/>
              <w:left w:val="single" w:color="auto" w:sz="4" w:space="0"/>
              <w:bottom w:val="single" w:color="auto" w:sz="4" w:space="0"/>
              <w:right w:val="single" w:color="auto" w:sz="4" w:space="0"/>
            </w:tcBorders>
            <w:vAlign w:val="center"/>
          </w:tcPr>
          <w:p>
            <w:pPr>
              <w:spacing w:beforeLines="0" w:afterLines="0" w:line="2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0.6</w:t>
            </w:r>
          </w:p>
        </w:tc>
      </w:tr>
      <w:tr>
        <w:tblPrEx>
          <w:tblCellMar>
            <w:top w:w="0" w:type="dxa"/>
            <w:left w:w="108" w:type="dxa"/>
            <w:bottom w:w="0" w:type="dxa"/>
            <w:right w:w="108" w:type="dxa"/>
          </w:tblCellMar>
        </w:tblPrEx>
        <w:trPr>
          <w:trHeight w:val="284" w:hRule="atLeast"/>
          <w:jc w:val="center"/>
        </w:trPr>
        <w:tc>
          <w:tcPr>
            <w:tcW w:w="729" w:type="dxa"/>
            <w:vMerge w:val="continue"/>
            <w:tcBorders>
              <w:left w:val="single" w:color="auto" w:sz="4" w:space="0"/>
              <w:right w:val="nil"/>
            </w:tcBorders>
            <w:vAlign w:val="center"/>
          </w:tcPr>
          <w:p>
            <w:pPr>
              <w:spacing w:beforeLines="0" w:afterLines="0" w:line="290" w:lineRule="exact"/>
              <w:jc w:val="center"/>
              <w:rPr>
                <w:rFonts w:hint="eastAsia" w:ascii="仿宋_GB2312" w:hAnsi="仿宋_GB2312" w:eastAsia="仿宋_GB2312" w:cs="仿宋_GB2312"/>
                <w:sz w:val="24"/>
                <w:szCs w:val="24"/>
              </w:rPr>
            </w:pPr>
          </w:p>
        </w:tc>
        <w:tc>
          <w:tcPr>
            <w:tcW w:w="708" w:type="dxa"/>
            <w:vMerge w:val="continue"/>
            <w:tcBorders>
              <w:left w:val="single" w:color="auto" w:sz="4" w:space="0"/>
              <w:right w:val="nil"/>
            </w:tcBorders>
            <w:vAlign w:val="center"/>
          </w:tcPr>
          <w:p>
            <w:pPr>
              <w:spacing w:beforeLines="0" w:afterLines="0" w:line="290" w:lineRule="exact"/>
              <w:jc w:val="center"/>
              <w:rPr>
                <w:rFonts w:hint="eastAsia" w:ascii="仿宋_GB2312" w:hAnsi="仿宋_GB2312" w:eastAsia="仿宋_GB2312" w:cs="仿宋_GB2312"/>
                <w:sz w:val="24"/>
                <w:szCs w:val="24"/>
              </w:rPr>
            </w:pPr>
          </w:p>
        </w:tc>
        <w:tc>
          <w:tcPr>
            <w:tcW w:w="5186" w:type="dxa"/>
            <w:tcBorders>
              <w:top w:val="nil"/>
              <w:left w:val="single" w:color="auto" w:sz="4" w:space="0"/>
              <w:bottom w:val="single" w:color="auto" w:sz="4" w:space="0"/>
              <w:right w:val="single" w:color="auto" w:sz="4" w:space="0"/>
            </w:tcBorders>
            <w:vAlign w:val="center"/>
          </w:tcPr>
          <w:p>
            <w:pPr>
              <w:spacing w:beforeLines="0" w:afterLines="0" w:line="29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人才住房</w:t>
            </w:r>
          </w:p>
        </w:tc>
        <w:tc>
          <w:tcPr>
            <w:tcW w:w="1381" w:type="dxa"/>
            <w:vMerge w:val="continue"/>
            <w:tcBorders>
              <w:left w:val="nil"/>
              <w:right w:val="nil"/>
            </w:tcBorders>
            <w:vAlign w:val="center"/>
          </w:tcPr>
          <w:p>
            <w:pPr>
              <w:spacing w:beforeLines="0" w:afterLines="0" w:line="290" w:lineRule="exact"/>
              <w:jc w:val="center"/>
              <w:rPr>
                <w:rFonts w:hint="eastAsia" w:ascii="仿宋_GB2312" w:hAnsi="仿宋_GB2312" w:eastAsia="仿宋_GB2312" w:cs="仿宋_GB2312"/>
                <w:sz w:val="24"/>
                <w:szCs w:val="24"/>
              </w:rPr>
            </w:pPr>
          </w:p>
        </w:tc>
        <w:tc>
          <w:tcPr>
            <w:tcW w:w="1030" w:type="dxa"/>
            <w:tcBorders>
              <w:top w:val="nil"/>
              <w:left w:val="single" w:color="auto" w:sz="4" w:space="0"/>
              <w:bottom w:val="single" w:color="auto" w:sz="4" w:space="0"/>
              <w:right w:val="single" w:color="auto" w:sz="4" w:space="0"/>
            </w:tcBorders>
            <w:vAlign w:val="center"/>
          </w:tcPr>
          <w:p>
            <w:pPr>
              <w:spacing w:beforeLines="0" w:afterLines="0" w:line="2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0.4</w:t>
            </w:r>
          </w:p>
        </w:tc>
      </w:tr>
      <w:tr>
        <w:tblPrEx>
          <w:tblCellMar>
            <w:top w:w="0" w:type="dxa"/>
            <w:left w:w="108" w:type="dxa"/>
            <w:bottom w:w="0" w:type="dxa"/>
            <w:right w:w="108" w:type="dxa"/>
          </w:tblCellMar>
        </w:tblPrEx>
        <w:trPr>
          <w:trHeight w:val="129" w:hRule="atLeast"/>
          <w:jc w:val="center"/>
        </w:trPr>
        <w:tc>
          <w:tcPr>
            <w:tcW w:w="729" w:type="dxa"/>
            <w:vMerge w:val="continue"/>
            <w:tcBorders>
              <w:left w:val="single" w:color="auto" w:sz="4" w:space="0"/>
              <w:right w:val="nil"/>
            </w:tcBorders>
            <w:vAlign w:val="center"/>
          </w:tcPr>
          <w:p>
            <w:pPr>
              <w:spacing w:beforeLines="0" w:afterLines="0" w:line="290" w:lineRule="exact"/>
              <w:jc w:val="center"/>
              <w:rPr>
                <w:rFonts w:hint="eastAsia" w:ascii="仿宋_GB2312" w:hAnsi="仿宋_GB2312" w:eastAsia="仿宋_GB2312" w:cs="仿宋_GB2312"/>
                <w:sz w:val="24"/>
                <w:szCs w:val="24"/>
              </w:rPr>
            </w:pPr>
          </w:p>
        </w:tc>
        <w:tc>
          <w:tcPr>
            <w:tcW w:w="708" w:type="dxa"/>
            <w:vMerge w:val="continue"/>
            <w:tcBorders>
              <w:left w:val="single" w:color="auto" w:sz="4" w:space="0"/>
              <w:right w:val="nil"/>
            </w:tcBorders>
            <w:vAlign w:val="center"/>
          </w:tcPr>
          <w:p>
            <w:pPr>
              <w:spacing w:beforeLines="0" w:afterLines="0" w:line="290" w:lineRule="exact"/>
              <w:jc w:val="center"/>
              <w:rPr>
                <w:rFonts w:hint="eastAsia" w:ascii="仿宋_GB2312" w:hAnsi="仿宋_GB2312" w:eastAsia="仿宋_GB2312" w:cs="仿宋_GB2312"/>
                <w:sz w:val="24"/>
                <w:szCs w:val="24"/>
              </w:rPr>
            </w:pPr>
          </w:p>
        </w:tc>
        <w:tc>
          <w:tcPr>
            <w:tcW w:w="5186" w:type="dxa"/>
            <w:tcBorders>
              <w:top w:val="nil"/>
              <w:left w:val="single" w:color="auto" w:sz="4" w:space="0"/>
              <w:bottom w:val="single" w:color="auto" w:sz="4" w:space="0"/>
              <w:right w:val="single" w:color="auto" w:sz="4" w:space="0"/>
            </w:tcBorders>
            <w:vAlign w:val="center"/>
          </w:tcPr>
          <w:p>
            <w:pPr>
              <w:spacing w:beforeLines="0" w:afterLines="0" w:line="29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公共租赁住房、安居型商品房</w:t>
            </w:r>
          </w:p>
        </w:tc>
        <w:tc>
          <w:tcPr>
            <w:tcW w:w="1381" w:type="dxa"/>
            <w:vMerge w:val="continue"/>
            <w:tcBorders>
              <w:left w:val="nil"/>
              <w:right w:val="nil"/>
            </w:tcBorders>
            <w:vAlign w:val="center"/>
          </w:tcPr>
          <w:p>
            <w:pPr>
              <w:spacing w:beforeLines="0" w:afterLines="0" w:line="290" w:lineRule="exact"/>
              <w:jc w:val="center"/>
              <w:rPr>
                <w:rFonts w:hint="eastAsia" w:ascii="仿宋_GB2312" w:hAnsi="仿宋_GB2312" w:eastAsia="仿宋_GB2312" w:cs="仿宋_GB2312"/>
                <w:sz w:val="24"/>
                <w:szCs w:val="24"/>
              </w:rPr>
            </w:pPr>
          </w:p>
        </w:tc>
        <w:tc>
          <w:tcPr>
            <w:tcW w:w="1030" w:type="dxa"/>
            <w:tcBorders>
              <w:top w:val="nil"/>
              <w:left w:val="single" w:color="auto" w:sz="4" w:space="0"/>
              <w:bottom w:val="single" w:color="auto" w:sz="4" w:space="0"/>
              <w:right w:val="single" w:color="auto" w:sz="4" w:space="0"/>
            </w:tcBorders>
            <w:vAlign w:val="center"/>
          </w:tcPr>
          <w:p>
            <w:pPr>
              <w:spacing w:beforeLines="0" w:afterLines="0" w:line="2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0.3</w:t>
            </w:r>
          </w:p>
        </w:tc>
      </w:tr>
      <w:tr>
        <w:tblPrEx>
          <w:tblCellMar>
            <w:top w:w="0" w:type="dxa"/>
            <w:left w:w="108" w:type="dxa"/>
            <w:bottom w:w="0" w:type="dxa"/>
            <w:right w:w="108" w:type="dxa"/>
          </w:tblCellMar>
        </w:tblPrEx>
        <w:trPr>
          <w:trHeight w:val="28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beforeLines="0" w:afterLines="0" w:line="2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5894" w:type="dxa"/>
            <w:gridSpan w:val="2"/>
            <w:tcBorders>
              <w:top w:val="single" w:color="auto" w:sz="4" w:space="0"/>
              <w:left w:val="nil"/>
              <w:bottom w:val="single" w:color="auto" w:sz="4" w:space="0"/>
              <w:right w:val="single" w:color="auto" w:sz="4" w:space="0"/>
            </w:tcBorders>
            <w:vAlign w:val="center"/>
          </w:tcPr>
          <w:p>
            <w:pPr>
              <w:spacing w:beforeLines="0" w:afterLines="0" w:line="29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办公、商务公寓</w:t>
            </w:r>
          </w:p>
        </w:tc>
        <w:tc>
          <w:tcPr>
            <w:tcW w:w="1381" w:type="dxa"/>
            <w:vMerge w:val="restart"/>
            <w:tcBorders>
              <w:top w:val="single" w:color="auto" w:sz="4" w:space="0"/>
              <w:left w:val="single" w:color="auto" w:sz="4" w:space="0"/>
              <w:right w:val="nil"/>
            </w:tcBorders>
            <w:vAlign w:val="center"/>
          </w:tcPr>
          <w:p>
            <w:pPr>
              <w:spacing w:beforeLines="0" w:afterLines="0" w:line="2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w:t>
            </w:r>
          </w:p>
        </w:tc>
        <w:tc>
          <w:tcPr>
            <w:tcW w:w="1030" w:type="dxa"/>
            <w:tcBorders>
              <w:top w:val="nil"/>
              <w:left w:val="single" w:color="auto" w:sz="4" w:space="0"/>
              <w:bottom w:val="single" w:color="auto" w:sz="4" w:space="0"/>
              <w:right w:val="single" w:color="auto" w:sz="4" w:space="0"/>
            </w:tcBorders>
            <w:vAlign w:val="center"/>
          </w:tcPr>
          <w:p>
            <w:pPr>
              <w:spacing w:beforeLines="0" w:afterLines="0" w:line="2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CellMar>
            <w:top w:w="0" w:type="dxa"/>
            <w:left w:w="108" w:type="dxa"/>
            <w:bottom w:w="0" w:type="dxa"/>
            <w:right w:w="108" w:type="dxa"/>
          </w:tblCellMar>
        </w:tblPrEx>
        <w:trPr>
          <w:trHeight w:val="284" w:hRule="atLeast"/>
          <w:jc w:val="center"/>
        </w:trPr>
        <w:tc>
          <w:tcPr>
            <w:tcW w:w="729" w:type="dxa"/>
            <w:tcBorders>
              <w:top w:val="nil"/>
              <w:left w:val="single" w:color="auto" w:sz="4" w:space="0"/>
              <w:bottom w:val="single" w:color="auto" w:sz="4" w:space="0"/>
              <w:right w:val="single" w:color="auto" w:sz="4" w:space="0"/>
            </w:tcBorders>
            <w:vAlign w:val="center"/>
          </w:tcPr>
          <w:p>
            <w:pPr>
              <w:spacing w:beforeLines="0" w:afterLines="0" w:line="2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5894" w:type="dxa"/>
            <w:gridSpan w:val="2"/>
            <w:tcBorders>
              <w:top w:val="single" w:color="auto" w:sz="4" w:space="0"/>
              <w:left w:val="nil"/>
              <w:bottom w:val="single" w:color="auto" w:sz="4" w:space="0"/>
              <w:right w:val="single" w:color="auto" w:sz="4" w:space="0"/>
            </w:tcBorders>
            <w:vAlign w:val="center"/>
          </w:tcPr>
          <w:p>
            <w:pPr>
              <w:spacing w:beforeLines="0" w:afterLines="0" w:line="29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旅馆业建筑、会议中心</w:t>
            </w:r>
          </w:p>
        </w:tc>
        <w:tc>
          <w:tcPr>
            <w:tcW w:w="1381" w:type="dxa"/>
            <w:vMerge w:val="continue"/>
            <w:tcBorders>
              <w:left w:val="single" w:color="auto" w:sz="4" w:space="0"/>
              <w:right w:val="nil"/>
            </w:tcBorders>
            <w:vAlign w:val="center"/>
          </w:tcPr>
          <w:p>
            <w:pPr>
              <w:spacing w:beforeLines="0" w:afterLines="0" w:line="290" w:lineRule="exact"/>
              <w:jc w:val="center"/>
              <w:rPr>
                <w:rFonts w:hint="eastAsia" w:ascii="仿宋_GB2312" w:hAnsi="仿宋_GB2312" w:eastAsia="仿宋_GB2312" w:cs="仿宋_GB2312"/>
                <w:sz w:val="24"/>
                <w:szCs w:val="24"/>
              </w:rPr>
            </w:pPr>
          </w:p>
        </w:tc>
        <w:tc>
          <w:tcPr>
            <w:tcW w:w="1030" w:type="dxa"/>
            <w:tcBorders>
              <w:top w:val="nil"/>
              <w:left w:val="single" w:color="auto" w:sz="4" w:space="0"/>
              <w:bottom w:val="single" w:color="auto" w:sz="4" w:space="0"/>
              <w:right w:val="single" w:color="auto" w:sz="4" w:space="0"/>
            </w:tcBorders>
            <w:vAlign w:val="center"/>
          </w:tcPr>
          <w:p>
            <w:pPr>
              <w:spacing w:beforeLines="0" w:afterLines="0" w:line="2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w:t>
            </w:r>
          </w:p>
        </w:tc>
      </w:tr>
      <w:tr>
        <w:tblPrEx>
          <w:tblCellMar>
            <w:top w:w="0" w:type="dxa"/>
            <w:left w:w="108" w:type="dxa"/>
            <w:bottom w:w="0" w:type="dxa"/>
            <w:right w:w="108" w:type="dxa"/>
          </w:tblCellMar>
        </w:tblPrEx>
        <w:trPr>
          <w:trHeight w:val="284" w:hRule="atLeast"/>
          <w:jc w:val="center"/>
        </w:trPr>
        <w:tc>
          <w:tcPr>
            <w:tcW w:w="729" w:type="dxa"/>
            <w:tcBorders>
              <w:top w:val="nil"/>
              <w:left w:val="single" w:color="auto" w:sz="4" w:space="0"/>
              <w:bottom w:val="single" w:color="auto" w:sz="4" w:space="0"/>
              <w:right w:val="single" w:color="auto" w:sz="4" w:space="0"/>
            </w:tcBorders>
            <w:vAlign w:val="center"/>
          </w:tcPr>
          <w:p>
            <w:pPr>
              <w:spacing w:beforeLines="0" w:afterLines="0" w:line="2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5894" w:type="dxa"/>
            <w:gridSpan w:val="2"/>
            <w:tcBorders>
              <w:top w:val="single" w:color="auto" w:sz="4" w:space="0"/>
              <w:left w:val="nil"/>
              <w:bottom w:val="single" w:color="auto" w:sz="4" w:space="0"/>
              <w:right w:val="single" w:color="auto" w:sz="4" w:space="0"/>
            </w:tcBorders>
            <w:vAlign w:val="center"/>
          </w:tcPr>
          <w:p>
            <w:pPr>
              <w:spacing w:beforeLines="0" w:afterLines="0" w:line="29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文化设施、医疗卫生设施、教育设施、科研用房</w:t>
            </w:r>
          </w:p>
        </w:tc>
        <w:tc>
          <w:tcPr>
            <w:tcW w:w="1381" w:type="dxa"/>
            <w:vMerge w:val="continue"/>
            <w:tcBorders>
              <w:left w:val="single" w:color="auto" w:sz="4" w:space="0"/>
              <w:right w:val="nil"/>
            </w:tcBorders>
            <w:vAlign w:val="center"/>
          </w:tcPr>
          <w:p>
            <w:pPr>
              <w:spacing w:beforeLines="0" w:afterLines="0" w:line="290" w:lineRule="exact"/>
              <w:jc w:val="center"/>
              <w:rPr>
                <w:rFonts w:hint="eastAsia" w:ascii="仿宋_GB2312" w:hAnsi="仿宋_GB2312" w:eastAsia="仿宋_GB2312" w:cs="仿宋_GB2312"/>
                <w:sz w:val="24"/>
                <w:szCs w:val="24"/>
              </w:rPr>
            </w:pPr>
          </w:p>
        </w:tc>
        <w:tc>
          <w:tcPr>
            <w:tcW w:w="1030" w:type="dxa"/>
            <w:tcBorders>
              <w:top w:val="nil"/>
              <w:left w:val="single" w:color="auto" w:sz="4" w:space="0"/>
              <w:bottom w:val="single" w:color="auto" w:sz="4" w:space="0"/>
              <w:right w:val="single" w:color="auto" w:sz="4" w:space="0"/>
            </w:tcBorders>
            <w:vAlign w:val="center"/>
          </w:tcPr>
          <w:p>
            <w:pPr>
              <w:spacing w:beforeLines="0" w:afterLines="0" w:line="2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0.3</w:t>
            </w:r>
          </w:p>
        </w:tc>
      </w:tr>
      <w:tr>
        <w:tblPrEx>
          <w:tblCellMar>
            <w:top w:w="0" w:type="dxa"/>
            <w:left w:w="108" w:type="dxa"/>
            <w:bottom w:w="0" w:type="dxa"/>
            <w:right w:w="108" w:type="dxa"/>
          </w:tblCellMar>
        </w:tblPrEx>
        <w:trPr>
          <w:trHeight w:val="284" w:hRule="atLeast"/>
          <w:jc w:val="center"/>
        </w:trPr>
        <w:tc>
          <w:tcPr>
            <w:tcW w:w="729" w:type="dxa"/>
            <w:tcBorders>
              <w:top w:val="nil"/>
              <w:left w:val="single" w:color="auto" w:sz="4" w:space="0"/>
              <w:bottom w:val="single" w:color="auto" w:sz="4" w:space="0"/>
              <w:right w:val="single" w:color="auto" w:sz="4" w:space="0"/>
            </w:tcBorders>
            <w:vAlign w:val="center"/>
          </w:tcPr>
          <w:p>
            <w:pPr>
              <w:spacing w:beforeLines="0" w:afterLines="0" w:line="2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5894" w:type="dxa"/>
            <w:gridSpan w:val="2"/>
            <w:tcBorders>
              <w:top w:val="single" w:color="auto" w:sz="4" w:space="0"/>
              <w:left w:val="nil"/>
              <w:bottom w:val="single" w:color="auto" w:sz="4" w:space="0"/>
              <w:right w:val="single" w:color="auto" w:sz="4" w:space="0"/>
            </w:tcBorders>
            <w:vAlign w:val="center"/>
          </w:tcPr>
          <w:p>
            <w:pPr>
              <w:spacing w:beforeLines="0" w:afterLines="0" w:line="290" w:lineRule="exac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文化遗产、体育设施、幼儿园（托儿所）、宗教建筑、社会福利设施、特殊建筑、社会停车场（库）、邮政网点（所）</w:t>
            </w:r>
          </w:p>
        </w:tc>
        <w:tc>
          <w:tcPr>
            <w:tcW w:w="1381" w:type="dxa"/>
            <w:vMerge w:val="continue"/>
            <w:tcBorders>
              <w:left w:val="single" w:color="auto" w:sz="4" w:space="0"/>
              <w:bottom w:val="single" w:color="auto" w:sz="4" w:space="0"/>
              <w:right w:val="nil"/>
            </w:tcBorders>
            <w:vAlign w:val="center"/>
          </w:tcPr>
          <w:p>
            <w:pPr>
              <w:spacing w:beforeLines="0" w:afterLines="0" w:line="290" w:lineRule="exact"/>
              <w:jc w:val="center"/>
              <w:rPr>
                <w:rFonts w:hint="eastAsia" w:ascii="仿宋_GB2312" w:hAnsi="仿宋_GB2312" w:eastAsia="仿宋_GB2312" w:cs="仿宋_GB2312"/>
                <w:sz w:val="24"/>
                <w:szCs w:val="24"/>
              </w:rPr>
            </w:pPr>
          </w:p>
        </w:tc>
        <w:tc>
          <w:tcPr>
            <w:tcW w:w="1030" w:type="dxa"/>
            <w:tcBorders>
              <w:top w:val="nil"/>
              <w:left w:val="single" w:color="auto" w:sz="4" w:space="0"/>
              <w:bottom w:val="single" w:color="auto" w:sz="4" w:space="0"/>
              <w:right w:val="single" w:color="auto" w:sz="4" w:space="0"/>
            </w:tcBorders>
            <w:vAlign w:val="center"/>
          </w:tcPr>
          <w:p>
            <w:pPr>
              <w:spacing w:beforeLines="0" w:afterLines="0" w:line="2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0.1</w:t>
            </w:r>
          </w:p>
        </w:tc>
      </w:tr>
      <w:tr>
        <w:tblPrEx>
          <w:tblCellMar>
            <w:top w:w="0" w:type="dxa"/>
            <w:left w:w="108" w:type="dxa"/>
            <w:bottom w:w="0" w:type="dxa"/>
            <w:right w:w="108" w:type="dxa"/>
          </w:tblCellMar>
        </w:tblPrEx>
        <w:trPr>
          <w:trHeight w:val="28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beforeLines="0" w:afterLines="0" w:line="2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5894" w:type="dxa"/>
            <w:gridSpan w:val="2"/>
            <w:tcBorders>
              <w:top w:val="nil"/>
              <w:left w:val="nil"/>
              <w:bottom w:val="single" w:color="auto" w:sz="4" w:space="0"/>
              <w:right w:val="single" w:color="auto" w:sz="4" w:space="0"/>
            </w:tcBorders>
            <w:vAlign w:val="center"/>
          </w:tcPr>
          <w:p>
            <w:pPr>
              <w:spacing w:beforeLines="0" w:afterLines="0" w:line="29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商业（不包括旅馆业建筑、肉菜市场、游乐设施、会议中心）、加油站</w:t>
            </w:r>
          </w:p>
        </w:tc>
        <w:tc>
          <w:tcPr>
            <w:tcW w:w="1381" w:type="dxa"/>
            <w:vMerge w:val="restart"/>
            <w:tcBorders>
              <w:top w:val="single" w:color="auto" w:sz="4" w:space="0"/>
              <w:left w:val="nil"/>
              <w:right w:val="single" w:color="auto" w:sz="4" w:space="0"/>
            </w:tcBorders>
            <w:vAlign w:val="center"/>
          </w:tcPr>
          <w:p>
            <w:pPr>
              <w:spacing w:beforeLines="0" w:afterLines="0" w:line="2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商业</w:t>
            </w:r>
          </w:p>
        </w:tc>
        <w:tc>
          <w:tcPr>
            <w:tcW w:w="1030" w:type="dxa"/>
            <w:tcBorders>
              <w:top w:val="nil"/>
              <w:left w:val="nil"/>
              <w:bottom w:val="single" w:color="auto" w:sz="4" w:space="0"/>
              <w:right w:val="single" w:color="auto" w:sz="4" w:space="0"/>
            </w:tcBorders>
            <w:vAlign w:val="center"/>
          </w:tcPr>
          <w:p>
            <w:pPr>
              <w:spacing w:beforeLines="0" w:afterLines="0" w:line="2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CellMar>
            <w:top w:w="0" w:type="dxa"/>
            <w:left w:w="108" w:type="dxa"/>
            <w:bottom w:w="0" w:type="dxa"/>
            <w:right w:w="108" w:type="dxa"/>
          </w:tblCellMar>
        </w:tblPrEx>
        <w:trPr>
          <w:trHeight w:val="28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beforeLines="0" w:afterLines="0" w:line="2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5894" w:type="dxa"/>
            <w:gridSpan w:val="2"/>
            <w:tcBorders>
              <w:top w:val="nil"/>
              <w:left w:val="nil"/>
              <w:bottom w:val="single" w:color="auto" w:sz="4" w:space="0"/>
              <w:right w:val="single" w:color="auto" w:sz="4" w:space="0"/>
            </w:tcBorders>
            <w:vAlign w:val="center"/>
          </w:tcPr>
          <w:p>
            <w:pPr>
              <w:spacing w:beforeLines="0" w:afterLines="0" w:line="29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游乐设施</w:t>
            </w:r>
          </w:p>
        </w:tc>
        <w:tc>
          <w:tcPr>
            <w:tcW w:w="1381" w:type="dxa"/>
            <w:vMerge w:val="continue"/>
            <w:tcBorders>
              <w:left w:val="nil"/>
              <w:right w:val="single" w:color="auto" w:sz="4" w:space="0"/>
            </w:tcBorders>
            <w:vAlign w:val="center"/>
          </w:tcPr>
          <w:p>
            <w:pPr>
              <w:spacing w:beforeLines="0" w:afterLines="0" w:line="290" w:lineRule="exact"/>
              <w:jc w:val="center"/>
              <w:rPr>
                <w:rFonts w:hint="eastAsia" w:ascii="仿宋_GB2312" w:hAnsi="仿宋_GB2312" w:eastAsia="仿宋_GB2312" w:cs="仿宋_GB2312"/>
                <w:sz w:val="24"/>
                <w:szCs w:val="24"/>
              </w:rPr>
            </w:pPr>
          </w:p>
        </w:tc>
        <w:tc>
          <w:tcPr>
            <w:tcW w:w="1030" w:type="dxa"/>
            <w:tcBorders>
              <w:top w:val="nil"/>
              <w:left w:val="nil"/>
              <w:bottom w:val="single" w:color="auto" w:sz="4" w:space="0"/>
              <w:right w:val="single" w:color="auto" w:sz="4" w:space="0"/>
            </w:tcBorders>
            <w:vAlign w:val="top"/>
          </w:tcPr>
          <w:p>
            <w:pPr>
              <w:spacing w:beforeLines="0" w:afterLines="0" w:line="2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0.4</w:t>
            </w:r>
          </w:p>
        </w:tc>
      </w:tr>
      <w:tr>
        <w:tblPrEx>
          <w:tblCellMar>
            <w:top w:w="0" w:type="dxa"/>
            <w:left w:w="108" w:type="dxa"/>
            <w:bottom w:w="0" w:type="dxa"/>
            <w:right w:w="108" w:type="dxa"/>
          </w:tblCellMar>
        </w:tblPrEx>
        <w:trPr>
          <w:trHeight w:val="28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beforeLines="0" w:afterLines="0" w:line="2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5894" w:type="dxa"/>
            <w:gridSpan w:val="2"/>
            <w:tcBorders>
              <w:top w:val="nil"/>
              <w:left w:val="nil"/>
              <w:bottom w:val="single" w:color="auto" w:sz="4" w:space="0"/>
              <w:right w:val="single" w:color="auto" w:sz="4" w:space="0"/>
            </w:tcBorders>
            <w:vAlign w:val="center"/>
          </w:tcPr>
          <w:p>
            <w:pPr>
              <w:spacing w:beforeLines="0" w:afterLines="0" w:line="29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加气站、肉菜市场</w:t>
            </w:r>
          </w:p>
        </w:tc>
        <w:tc>
          <w:tcPr>
            <w:tcW w:w="1381" w:type="dxa"/>
            <w:vMerge w:val="continue"/>
            <w:tcBorders>
              <w:left w:val="nil"/>
              <w:bottom w:val="single" w:color="auto" w:sz="4" w:space="0"/>
              <w:right w:val="single" w:color="auto" w:sz="4" w:space="0"/>
            </w:tcBorders>
            <w:vAlign w:val="center"/>
          </w:tcPr>
          <w:p>
            <w:pPr>
              <w:spacing w:beforeLines="0" w:afterLines="0" w:line="290" w:lineRule="exact"/>
              <w:jc w:val="center"/>
              <w:rPr>
                <w:rFonts w:hint="eastAsia" w:ascii="仿宋_GB2312" w:hAnsi="仿宋_GB2312" w:eastAsia="仿宋_GB2312" w:cs="仿宋_GB2312"/>
                <w:sz w:val="24"/>
                <w:szCs w:val="24"/>
              </w:rPr>
            </w:pPr>
          </w:p>
        </w:tc>
        <w:tc>
          <w:tcPr>
            <w:tcW w:w="1030" w:type="dxa"/>
            <w:tcBorders>
              <w:top w:val="nil"/>
              <w:left w:val="nil"/>
              <w:bottom w:val="single" w:color="auto" w:sz="4" w:space="0"/>
              <w:right w:val="single" w:color="auto" w:sz="4" w:space="0"/>
            </w:tcBorders>
            <w:vAlign w:val="center"/>
          </w:tcPr>
          <w:p>
            <w:pPr>
              <w:spacing w:beforeLines="0" w:afterLines="0" w:line="29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0.3</w:t>
            </w:r>
          </w:p>
        </w:tc>
      </w:tr>
      <w:tr>
        <w:tblPrEx>
          <w:tblCellMar>
            <w:top w:w="0" w:type="dxa"/>
            <w:left w:w="108" w:type="dxa"/>
            <w:bottom w:w="0" w:type="dxa"/>
            <w:right w:w="108" w:type="dxa"/>
          </w:tblCellMar>
        </w:tblPrEx>
        <w:trPr>
          <w:trHeight w:val="397" w:hRule="atLeast"/>
          <w:jc w:val="center"/>
        </w:trPr>
        <w:tc>
          <w:tcPr>
            <w:tcW w:w="9034" w:type="dxa"/>
            <w:gridSpan w:val="5"/>
            <w:tcBorders>
              <w:top w:val="nil"/>
              <w:left w:val="single" w:color="auto" w:sz="4" w:space="0"/>
              <w:bottom w:val="single" w:color="auto" w:sz="4" w:space="0"/>
              <w:right w:val="single" w:color="auto" w:sz="4" w:space="0"/>
            </w:tcBorders>
            <w:vAlign w:val="center"/>
          </w:tcPr>
          <w:p>
            <w:pPr>
              <w:widowControl/>
              <w:spacing w:beforeLines="0" w:afterLines="0" w:line="290" w:lineRule="exact"/>
              <w:ind w:right="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p>
            <w:pPr>
              <w:widowControl/>
              <w:spacing w:beforeLines="0" w:afterLines="0" w:line="290" w:lineRule="exact"/>
              <w:ind w:right="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建筑类型（除</w:t>
            </w:r>
            <w:r>
              <w:rPr>
                <w:rFonts w:hint="eastAsia" w:ascii="仿宋_GB2312" w:hAnsi="仿宋_GB2312" w:eastAsia="仿宋_GB2312" w:cs="仿宋_GB2312"/>
                <w:sz w:val="24"/>
                <w:szCs w:val="24"/>
              </w:rPr>
              <w:t>公共租赁住房、安居型商品房、人才住房外</w:t>
            </w:r>
            <w:r>
              <w:rPr>
                <w:rFonts w:hint="eastAsia" w:ascii="仿宋_GB2312" w:hAnsi="仿宋_GB2312" w:eastAsia="仿宋_GB2312" w:cs="仿宋_GB2312"/>
                <w:kern w:val="0"/>
                <w:sz w:val="24"/>
                <w:szCs w:val="24"/>
              </w:rPr>
              <w:t>）对应《深圳市城市规划标准与准则》。</w:t>
            </w:r>
          </w:p>
          <w:p>
            <w:pPr>
              <w:widowControl/>
              <w:spacing w:beforeLines="0" w:afterLines="0" w:line="290" w:lineRule="exact"/>
              <w:ind w:right="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上表中未涵盖的其他配建建筑类型按主体建筑类型地价标准测算地价。主体建筑类型是规划许可文件中面积占比最大的建筑类型；无法确定的按规划许可文件中的土地用途确定。</w:t>
            </w:r>
          </w:p>
          <w:p>
            <w:pPr>
              <w:widowControl/>
              <w:spacing w:beforeLines="0" w:afterLines="0" w:line="290" w:lineRule="exact"/>
              <w:ind w:right="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研发用房、物流建筑”的</w:t>
            </w:r>
            <w:r>
              <w:rPr>
                <w:rFonts w:hint="eastAsia" w:ascii="仿宋_GB2312" w:hAnsi="仿宋_GB2312" w:eastAsia="仿宋_GB2312" w:cs="仿宋_GB2312"/>
                <w:kern w:val="0"/>
                <w:sz w:val="24"/>
                <w:szCs w:val="24"/>
              </w:rPr>
              <w:t>地价按工业50%+办公50%测算。</w:t>
            </w:r>
          </w:p>
          <w:p>
            <w:pPr>
              <w:widowControl/>
              <w:spacing w:beforeLines="0" w:afterLines="0" w:line="290" w:lineRule="exact"/>
              <w:ind w:right="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协议出让给市政府确定的投资主体建设只租不售的创新型产业用房</w:t>
            </w:r>
            <w:r>
              <w:rPr>
                <w:rFonts w:hint="eastAsia" w:ascii="仿宋_GB2312" w:hAnsi="仿宋_GB2312" w:eastAsia="仿宋_GB2312" w:cs="仿宋_GB2312"/>
                <w:kern w:val="0"/>
                <w:sz w:val="24"/>
                <w:szCs w:val="24"/>
                <w:lang w:eastAsia="zh-CN"/>
              </w:rPr>
              <w:t>部分</w:t>
            </w:r>
            <w:r>
              <w:rPr>
                <w:rFonts w:hint="eastAsia" w:ascii="仿宋_GB2312" w:hAnsi="仿宋_GB2312" w:eastAsia="仿宋_GB2312" w:cs="仿宋_GB2312"/>
                <w:kern w:val="0"/>
                <w:sz w:val="24"/>
                <w:szCs w:val="24"/>
              </w:rPr>
              <w:t>，地价按照相应用途标准的50%测算。</w:t>
            </w:r>
          </w:p>
          <w:p>
            <w:pPr>
              <w:widowControl/>
              <w:spacing w:beforeLines="0" w:afterLines="0" w:line="290" w:lineRule="exact"/>
              <w:ind w:right="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新供应加油、加气混合用地，已明确加油、加气功能占地面积的，按占地面积分别计算地价后合计；未明确加油、加气功能占地面积的，以宗地为单位，按照加油站和加气站</w:t>
            </w:r>
            <w:r>
              <w:rPr>
                <w:rFonts w:hint="eastAsia" w:ascii="仿宋_GB2312" w:hAnsi="仿宋_GB2312" w:eastAsia="仿宋_GB2312" w:cs="仿宋_GB2312"/>
                <w:kern w:val="0"/>
                <w:sz w:val="24"/>
                <w:szCs w:val="24"/>
                <w:lang w:eastAsia="zh-CN"/>
              </w:rPr>
              <w:t>土地的</w:t>
            </w:r>
            <w:r>
              <w:rPr>
                <w:rFonts w:hint="eastAsia" w:ascii="仿宋_GB2312" w:hAnsi="仿宋_GB2312" w:eastAsia="仿宋_GB2312" w:cs="仿宋_GB2312"/>
                <w:kern w:val="0"/>
                <w:sz w:val="24"/>
                <w:szCs w:val="24"/>
              </w:rPr>
              <w:t>市场价格的均值确定地价。</w:t>
            </w:r>
          </w:p>
          <w:p>
            <w:pPr>
              <w:widowControl/>
              <w:spacing w:beforeLines="0" w:afterLines="0" w:line="290" w:lineRule="exact"/>
              <w:ind w:right="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高尔夫球场、高尔夫练习场、地上规定建筑面积小于土地面积的住宅用地不适用本表。</w:t>
            </w:r>
          </w:p>
          <w:p>
            <w:pPr>
              <w:widowControl/>
              <w:spacing w:beforeLines="0" w:afterLines="0" w:line="290" w:lineRule="exact"/>
              <w:ind w:right="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本表中第7、11、12类建筑类型及幼儿园、</w:t>
            </w:r>
            <w:r>
              <w:rPr>
                <w:rFonts w:hint="eastAsia" w:ascii="仿宋_GB2312" w:hAnsi="仿宋_GB2312" w:eastAsia="仿宋_GB2312" w:cs="仿宋_GB2312"/>
                <w:sz w:val="24"/>
                <w:szCs w:val="24"/>
              </w:rPr>
              <w:t>邮政网点（所）、</w:t>
            </w:r>
            <w:r>
              <w:rPr>
                <w:rFonts w:hint="eastAsia" w:ascii="仿宋_GB2312" w:hAnsi="仿宋_GB2312" w:eastAsia="仿宋_GB2312" w:cs="仿宋_GB2312"/>
                <w:kern w:val="0"/>
                <w:sz w:val="24"/>
                <w:szCs w:val="24"/>
              </w:rPr>
              <w:t>社会停车场、加油站原则上应在出让方案或供应合同中明确该类建筑类型限整体转让</w:t>
            </w:r>
            <w:r>
              <w:rPr>
                <w:rFonts w:hint="eastAsia" w:ascii="仿宋_GB2312" w:hAnsi="仿宋_GB2312" w:eastAsia="仿宋_GB2312" w:cs="仿宋_GB2312"/>
                <w:color w:val="000000"/>
                <w:sz w:val="24"/>
                <w:szCs w:val="24"/>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949FC"/>
    <w:rsid w:val="57994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2019-10-21T02:14:00Z</dcterms:created>
  <dc:creator>123456</dc:creator>
  <cp:lastModifiedBy>123456</cp:lastModifiedBy>
  <dcterms:modified xsi:type="dcterms:W3CDTF">2019-10-21T02:15:03Z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