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firstLine="0" w:firstLineChars="0"/>
        <w:jc w:val="center"/>
        <w:rPr>
          <w:rFonts w:ascii="Times New Roman" w:hAnsi="Times New Roman" w:eastAsia="宋体" w:cs="Times New Roman"/>
          <w:b/>
          <w:bCs/>
          <w:kern w:val="0"/>
          <w:sz w:val="32"/>
          <w:szCs w:val="32"/>
        </w:rPr>
      </w:pPr>
      <w:bookmarkStart w:id="0" w:name="_GoBack"/>
      <w:r>
        <w:rPr>
          <w:rFonts w:hint="eastAsia" w:ascii="仿宋_GB2312" w:hAnsi="仿宋_GB2312" w:eastAsia="仿宋_GB2312" w:cs="仿宋_GB2312"/>
          <w:b/>
          <w:bCs/>
          <w:kern w:val="0"/>
          <w:sz w:val="32"/>
          <w:szCs w:val="32"/>
        </w:rPr>
        <w:t xml:space="preserve">附表6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地上商业楼层修正系数表</w:t>
      </w:r>
      <w:bookmarkEnd w:id="0"/>
    </w:p>
    <w:tbl>
      <w:tblPr>
        <w:tblStyle w:val="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2"/>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商业楼层</w:t>
            </w:r>
          </w:p>
        </w:tc>
        <w:tc>
          <w:tcPr>
            <w:tcW w:w="37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首层商业</w:t>
            </w:r>
          </w:p>
        </w:tc>
        <w:tc>
          <w:tcPr>
            <w:tcW w:w="37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第二层商业</w:t>
            </w:r>
          </w:p>
        </w:tc>
        <w:tc>
          <w:tcPr>
            <w:tcW w:w="37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第三层商业</w:t>
            </w:r>
          </w:p>
        </w:tc>
        <w:tc>
          <w:tcPr>
            <w:tcW w:w="37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74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第四层及以上商业</w:t>
            </w:r>
          </w:p>
        </w:tc>
        <w:tc>
          <w:tcPr>
            <w:tcW w:w="378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531" w:type="dxa"/>
            <w:gridSpan w:val="2"/>
            <w:shd w:val="clear" w:color="auto" w:fill="FFFFFF"/>
            <w:vAlign w:val="center"/>
          </w:tcPr>
          <w:p>
            <w:pPr>
              <w:spacing w:beforeLines="0" w:afterLines="0"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spacing w:beforeLines="0" w:afterLines="0"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对于已建成的适用商业地价建筑类型面积补地价，按照规划验收的实际商业楼层和相应建筑面积测算。</w:t>
            </w:r>
          </w:p>
          <w:p>
            <w:pPr>
              <w:spacing w:beforeLines="0" w:afterLines="0"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对于新</w:t>
            </w:r>
            <w:r>
              <w:rPr>
                <w:rFonts w:hint="eastAsia" w:ascii="仿宋_GB2312" w:hAnsi="仿宋_GB2312" w:eastAsia="仿宋_GB2312" w:cs="仿宋_GB2312"/>
                <w:sz w:val="24"/>
                <w:szCs w:val="24"/>
                <w:lang w:eastAsia="zh-CN"/>
              </w:rPr>
              <w:t>供应</w:t>
            </w:r>
            <w:r>
              <w:rPr>
                <w:rFonts w:hint="eastAsia" w:ascii="仿宋_GB2312" w:hAnsi="仿宋_GB2312" w:eastAsia="仿宋_GB2312" w:cs="仿宋_GB2312"/>
                <w:sz w:val="24"/>
                <w:szCs w:val="24"/>
              </w:rPr>
              <w:t>土地，根据地上适用商业地价建筑类型面积、宗地土地面积和宗地建筑覆盖率测算商业总层数（向上取整）；各分层商业面积按地上适用商业地价建筑类型面积除以商业总层数确定。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C442B"/>
    <w:rsid w:val="73DC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2019-10-21T02:17:00Z</dcterms:created>
  <dc:creator>123456</dc:creator>
  <cp:lastModifiedBy>123456</cp:lastModifiedBy>
  <dcterms:modified xsi:type="dcterms:W3CDTF">2019-10-21T02:18:08Z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