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spacing w:before="0" w:after="0" w:line="560" w:lineRule="exact"/>
        <w:textAlignment w:val="auto"/>
        <w:rPr>
          <w:sz w:val="44"/>
          <w:szCs w:val="44"/>
          <w:highlight w:val="none"/>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项目采购需求文件</w:t>
      </w:r>
    </w:p>
    <w:p>
      <w:pPr>
        <w:pageBreakBefore w:val="0"/>
        <w:kinsoku/>
        <w:wordWrap/>
        <w:overflowPunct/>
        <w:topLinePunct w:val="0"/>
        <w:autoSpaceDE/>
        <w:autoSpaceDN/>
        <w:bidi w:val="0"/>
        <w:spacing w:line="560" w:lineRule="exact"/>
        <w:jc w:val="center"/>
        <w:textAlignment w:val="auto"/>
        <w:rPr>
          <w:rFonts w:ascii="黑体" w:eastAsia="黑体"/>
          <w:sz w:val="44"/>
          <w:szCs w:val="44"/>
          <w:highlight w:val="none"/>
        </w:rPr>
      </w:pPr>
    </w:p>
    <w:p>
      <w:pPr>
        <w:pageBreakBefore w:val="0"/>
        <w:kinsoku/>
        <w:wordWrap/>
        <w:overflowPunct/>
        <w:topLinePunct w:val="0"/>
        <w:autoSpaceDE/>
        <w:autoSpaceDN/>
        <w:bidi w:val="0"/>
        <w:spacing w:line="560" w:lineRule="exact"/>
        <w:jc w:val="center"/>
        <w:textAlignment w:val="auto"/>
        <w:rPr>
          <w:rFonts w:ascii="黑体" w:eastAsia="黑体"/>
          <w:sz w:val="36"/>
          <w:szCs w:val="36"/>
          <w:highlight w:val="none"/>
        </w:rPr>
      </w:pPr>
      <w:r>
        <w:rPr>
          <w:rFonts w:hint="eastAsia" w:ascii="黑体" w:eastAsia="黑体"/>
          <w:sz w:val="36"/>
          <w:szCs w:val="36"/>
          <w:highlight w:val="none"/>
        </w:rPr>
        <w:t>目  录</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第一章：竞选邀请</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第二章：采购项目要求</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第一部分   项目说明</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第二部分   项目评分</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第三部分   供应商资格要求</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第四部分   采购需求文件的构成及递交</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第三章：附件</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1.响应一览表</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2.政府采购履约情况评价表</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both"/>
        <w:textAlignment w:val="auto"/>
        <w:rPr>
          <w:rFonts w:ascii="黑体" w:hAnsi="黑体" w:eastAsia="黑体" w:cs="黑体"/>
          <w:sz w:val="36"/>
          <w:szCs w:val="36"/>
          <w:highlight w:val="none"/>
        </w:rPr>
      </w:pPr>
    </w:p>
    <w:p>
      <w:pPr>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第一章  竞选邀请</w:t>
      </w:r>
    </w:p>
    <w:p>
      <w:pPr>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一、采购项目名称：</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b w:val="0"/>
          <w:sz w:val="32"/>
          <w:szCs w:val="32"/>
        </w:rPr>
        <w:t>购买旅游景区景点安全生产专项检查服务</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二、警示条款：</w:t>
      </w:r>
      <w:r>
        <w:rPr>
          <w:rFonts w:hint="eastAsia" w:ascii="仿宋_GB2312" w:hAnsi="仿宋_GB2312" w:eastAsia="仿宋_GB2312" w:cs="仿宋_GB2312"/>
          <w:sz w:val="32"/>
          <w:szCs w:val="32"/>
        </w:rPr>
        <w:t>光明区文化广电旅游体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三、答疑事项：</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日18时前凡有任何疑问的，请径向我单位咨询，逾期不予受理。</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、采购时间：</w:t>
      </w:r>
      <w:r>
        <w:rPr>
          <w:rFonts w:hint="eastAsia" w:ascii="仿宋_GB2312" w:hAnsi="仿宋_GB2312" w:eastAsia="仿宋_GB2312" w:cs="仿宋_GB2312"/>
          <w:sz w:val="32"/>
          <w:szCs w:val="32"/>
        </w:rPr>
        <w:t>所有投标文件纸质版应于2021年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日18时00分(北京时间)之前提交6份到我单位，同时提供电子版或扫描版材料发送到（wgltcyk@szgm.gov.cn）。</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五、组织评审：</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如需参加评审，时间、地点另行</w:t>
      </w:r>
      <w:r>
        <w:rPr>
          <w:rFonts w:ascii="仿宋_GB2312" w:hAnsi="仿宋_GB2312" w:eastAsia="仿宋_GB2312" w:cs="仿宋_GB2312"/>
          <w:sz w:val="32"/>
          <w:szCs w:val="32"/>
          <w:highlight w:val="none"/>
        </w:rPr>
        <w:t>通知</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六、采购结果公示：</w:t>
      </w:r>
      <w:r>
        <w:rPr>
          <w:rFonts w:hint="eastAsia" w:ascii="仿宋_GB2312" w:hAnsi="仿宋_GB2312" w:eastAsia="仿宋_GB2312" w:cs="仿宋_GB2312"/>
          <w:sz w:val="32"/>
          <w:szCs w:val="32"/>
          <w:highlight w:val="none"/>
        </w:rPr>
        <w:t>确定后将在光明区政府在线网站公示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highlight w:val="none"/>
        </w:rPr>
        <w:t>七、免责声明：</w:t>
      </w:r>
      <w:r>
        <w:rPr>
          <w:rFonts w:hint="eastAsia" w:ascii="仿宋_GB2312" w:hAnsi="仿宋_GB2312" w:eastAsia="仿宋_GB2312" w:cs="仿宋_GB2312"/>
          <w:sz w:val="32"/>
          <w:szCs w:val="32"/>
        </w:rPr>
        <w:t>在采购过程或合同执行过程中，若因新型冠状病毒</w:t>
      </w:r>
      <w:r>
        <w:rPr>
          <w:rFonts w:hint="eastAsia" w:ascii="仿宋_GB2312" w:hAnsi="仿宋_GB2312" w:eastAsia="仿宋_GB2312" w:cs="仿宋_GB2312"/>
          <w:sz w:val="32"/>
          <w:szCs w:val="32"/>
          <w:lang w:val="en-US" w:eastAsia="zh-CN"/>
        </w:rPr>
        <w:t>肺炎</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自然灾害、社会异常事件</w:t>
      </w:r>
      <w:r>
        <w:rPr>
          <w:rFonts w:hint="eastAsia" w:ascii="仿宋_GB2312" w:hAnsi="仿宋_GB2312" w:eastAsia="仿宋_GB2312" w:cs="仿宋_GB2312"/>
          <w:sz w:val="32"/>
          <w:szCs w:val="32"/>
        </w:rPr>
        <w:t>等不可抗力因素，导致</w:t>
      </w:r>
      <w:r>
        <w:rPr>
          <w:rFonts w:hint="eastAsia" w:ascii="仿宋_GB2312" w:hAnsi="仿宋_GB2312" w:eastAsia="仿宋_GB2312" w:cs="仿宋_GB2312"/>
          <w:sz w:val="32"/>
          <w:szCs w:val="32"/>
          <w:lang w:val="en-US" w:eastAsia="zh-CN"/>
        </w:rPr>
        <w:t>应急演练活动</w:t>
      </w:r>
      <w:r>
        <w:rPr>
          <w:rFonts w:hint="eastAsia" w:ascii="仿宋_GB2312" w:hAnsi="仿宋_GB2312" w:eastAsia="仿宋_GB2312" w:cs="仿宋_GB2312"/>
          <w:sz w:val="32"/>
          <w:szCs w:val="32"/>
        </w:rPr>
        <w:t>延期举办或取消，经甲、乙双方共同协商，可延迟或终止本次采购或合同。</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八、如有疑问请与我们联系，联系方式：</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详细地址：</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光明街道</w:t>
      </w:r>
      <w:r>
        <w:rPr>
          <w:rFonts w:hint="eastAsia" w:ascii="仿宋_GB2312" w:hAnsi="仿宋_GB2312" w:eastAsia="仿宋_GB2312" w:cs="仿宋_GB2312"/>
          <w:sz w:val="32"/>
          <w:szCs w:val="32"/>
          <w:highlight w:val="none"/>
        </w:rPr>
        <w:t>公共服务平台631室 </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咨询电话：</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z w:val="32"/>
          <w:szCs w:val="32"/>
          <w:highlight w:val="none"/>
        </w:rPr>
        <w:t>88213429</w:t>
      </w: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right"/>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光明区文化广电旅游体育局</w:t>
      </w:r>
    </w:p>
    <w:p>
      <w:pPr>
        <w:pageBreakBefore w:val="0"/>
        <w:widowControl/>
        <w:kinsoku/>
        <w:wordWrap/>
        <w:overflowPunct/>
        <w:topLinePunct w:val="0"/>
        <w:autoSpaceDE/>
        <w:autoSpaceDN/>
        <w:bidi w:val="0"/>
        <w:adjustRightInd/>
        <w:snapToGrid/>
        <w:spacing w:line="560" w:lineRule="exact"/>
        <w:ind w:firstLine="5440" w:firstLineChars="1700"/>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202</w:t>
      </w: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kern w:val="0"/>
          <w:sz w:val="32"/>
          <w:szCs w:val="32"/>
          <w:highlight w:val="none"/>
          <w:lang w:bidi="ar"/>
        </w:rPr>
        <w:t>年</w:t>
      </w:r>
      <w:r>
        <w:rPr>
          <w:rFonts w:hint="eastAsia" w:ascii="仿宋_GB2312" w:hAnsi="仿宋_GB2312" w:eastAsia="仿宋_GB2312" w:cs="仿宋_GB2312"/>
          <w:kern w:val="0"/>
          <w:sz w:val="32"/>
          <w:szCs w:val="32"/>
          <w:highlight w:val="none"/>
          <w:lang w:val="en-US" w:eastAsia="zh-CN" w:bidi="ar"/>
        </w:rPr>
        <w:t>12</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val="en-US" w:eastAsia="zh-CN" w:bidi="ar"/>
        </w:rPr>
        <w:t>2</w:t>
      </w:r>
      <w:r>
        <w:rPr>
          <w:rFonts w:hint="eastAsia" w:ascii="仿宋_GB2312" w:hAnsi="仿宋_GB2312" w:eastAsia="仿宋_GB2312" w:cs="仿宋_GB2312"/>
          <w:kern w:val="0"/>
          <w:sz w:val="32"/>
          <w:szCs w:val="32"/>
          <w:highlight w:val="none"/>
          <w:lang w:bidi="ar"/>
        </w:rPr>
        <w:t>日</w:t>
      </w:r>
    </w:p>
    <w:p>
      <w:pPr>
        <w:pStyle w:val="2"/>
        <w:pageBreakBefore w:val="0"/>
        <w:kinsoku/>
        <w:wordWrap/>
        <w:overflowPunct/>
        <w:topLinePunct w:val="0"/>
        <w:autoSpaceDE/>
        <w:autoSpaceDN/>
        <w:bidi w:val="0"/>
        <w:adjustRightInd/>
        <w:snapToGrid/>
        <w:spacing w:before="0" w:after="0" w:line="560" w:lineRule="exact"/>
        <w:textAlignment w:val="auto"/>
        <w:rPr>
          <w:highlight w:val="none"/>
        </w:rPr>
      </w:pPr>
    </w:p>
    <w:p>
      <w:pPr>
        <w:pageBreakBefore w:val="0"/>
        <w:kinsoku/>
        <w:wordWrap/>
        <w:overflowPunct/>
        <w:topLinePunct w:val="0"/>
        <w:autoSpaceDE/>
        <w:autoSpaceDN/>
        <w:bidi w:val="0"/>
        <w:spacing w:line="560" w:lineRule="exact"/>
        <w:textAlignment w:val="auto"/>
        <w:rPr>
          <w:highlight w:val="none"/>
        </w:rPr>
      </w:pPr>
    </w:p>
    <w:p>
      <w:pPr>
        <w:pageBreakBefore w:val="0"/>
        <w:kinsoku/>
        <w:wordWrap/>
        <w:overflowPunct/>
        <w:topLinePunct w:val="0"/>
        <w:autoSpaceDE/>
        <w:autoSpaceDN/>
        <w:bidi w:val="0"/>
        <w:spacing w:line="560" w:lineRule="exact"/>
        <w:textAlignment w:val="auto"/>
        <w:rPr>
          <w:highlight w:val="none"/>
        </w:rPr>
        <w:sectPr>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both"/>
        <w:textAlignment w:val="auto"/>
        <w:rPr>
          <w:rFonts w:ascii="黑体" w:hAnsi="黑体" w:eastAsia="黑体" w:cs="黑体"/>
          <w:sz w:val="36"/>
          <w:szCs w:val="36"/>
          <w:highlight w:val="none"/>
        </w:r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第二章  采购项目要求</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kinsoku/>
        <w:wordWrap/>
        <w:overflowPunct/>
        <w:topLinePunct w:val="0"/>
        <w:autoSpaceDE/>
        <w:autoSpaceDN/>
        <w:bidi w:val="0"/>
        <w:spacing w:line="560" w:lineRule="exact"/>
        <w:ind w:firstLine="720" w:firstLineChars="200"/>
        <w:textAlignment w:val="auto"/>
        <w:rPr>
          <w:rFonts w:ascii="仿宋_GB2312" w:eastAsia="仿宋_GB2312"/>
          <w:sz w:val="36"/>
          <w:szCs w:val="36"/>
          <w:highlight w:val="none"/>
        </w:rPr>
      </w:pPr>
      <w:r>
        <w:rPr>
          <w:rFonts w:hint="eastAsia" w:ascii="黑体" w:hAnsi="黑体" w:eastAsia="黑体" w:cs="黑体"/>
          <w:sz w:val="36"/>
          <w:szCs w:val="36"/>
          <w:highlight w:val="none"/>
        </w:rPr>
        <w:t>第一部分  项目说明</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黑体"/>
          <w:bCs/>
          <w:sz w:val="32"/>
          <w:szCs w:val="32"/>
          <w:highlight w:val="none"/>
        </w:rPr>
        <w:t>一、</w:t>
      </w:r>
      <w:r>
        <w:rPr>
          <w:rFonts w:hint="eastAsia" w:ascii="黑体" w:hAnsi="黑体" w:eastAsia="黑体" w:cs="仿宋"/>
          <w:color w:val="000000"/>
          <w:sz w:val="32"/>
          <w:szCs w:val="32"/>
          <w:highlight w:val="none"/>
        </w:rPr>
        <w:t>采购项目概况</w:t>
      </w:r>
    </w:p>
    <w:tbl>
      <w:tblPr>
        <w:tblStyle w:val="11"/>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项目名称</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2022年购买旅游景区景点安全生产专项检查服务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服务范围</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深圳市光明区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服务时间</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年1月1日-202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采购单位</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深圳市光明区文化广电旅游体育局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rPr>
              <w:t>服务内容</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rPr>
              <w:t>对包括光明农场大观园、欢乐田园、滑草游乐园、红木小镇场所在内，以及其他区文化广电旅游体育局认为有必要的场所，进行建筑物结构安全、消防设施安全、用电设备安全、特种设备安全、风险点排查，警示标语、防护设施设置等项目的综合检查（具体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控制金额</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25万元（报价高于预算价格以上无效）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完 工 期</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年12月</w:t>
            </w:r>
          </w:p>
        </w:tc>
      </w:tr>
    </w:tbl>
    <w:p>
      <w:pPr>
        <w:pStyle w:val="15"/>
        <w:pageBreakBefore w:val="0"/>
        <w:kinsoku/>
        <w:wordWrap/>
        <w:overflowPunct/>
        <w:topLinePunct w:val="0"/>
        <w:autoSpaceDE/>
        <w:autoSpaceDN/>
        <w:bidi w:val="0"/>
        <w:spacing w:before="0" w:beforeLines="0" w:after="0" w:afterLines="0" w:line="560" w:lineRule="exact"/>
        <w:ind w:firstLine="640" w:firstLineChars="200"/>
        <w:textAlignment w:val="auto"/>
        <w:rPr>
          <w:rFonts w:ascii="黑体" w:hAnsi="黑体" w:cs="黑体"/>
          <w:bCs/>
          <w:sz w:val="32"/>
          <w:szCs w:val="32"/>
          <w:highlight w:val="none"/>
        </w:rPr>
      </w:pPr>
      <w:r>
        <w:rPr>
          <w:rFonts w:hint="eastAsia" w:ascii="黑体" w:hAnsi="黑体" w:cs="黑体"/>
          <w:bCs/>
          <w:sz w:val="32"/>
          <w:szCs w:val="32"/>
          <w:highlight w:val="none"/>
        </w:rPr>
        <w:t>二、</w:t>
      </w:r>
      <w:r>
        <w:rPr>
          <w:rFonts w:hint="eastAsia" w:ascii="黑体" w:hAnsi="黑体" w:cs="仿宋"/>
          <w:color w:val="000000"/>
          <w:sz w:val="32"/>
          <w:szCs w:val="32"/>
          <w:highlight w:val="none"/>
        </w:rPr>
        <w:t>项目管理和服务要求</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（一）检查对象：</w:t>
      </w:r>
      <w:r>
        <w:rPr>
          <w:rFonts w:hint="eastAsia" w:ascii="仿宋_GB2312" w:hAnsi="仿宋_GB2312" w:eastAsia="仿宋_GB2312" w:cs="仿宋_GB2312"/>
          <w:sz w:val="32"/>
          <w:szCs w:val="32"/>
        </w:rPr>
        <w:t>对包括光明农场大观园、欢乐田园、滑草游乐园、红木小镇场所在内，以及其他区文化广电旅游体育局认为有必要的场所，进行综合检查。</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（二）检查内容：</w:t>
      </w:r>
      <w:r>
        <w:rPr>
          <w:rFonts w:hint="eastAsia" w:ascii="仿宋_GB2312" w:hAnsi="仿宋_GB2312" w:eastAsia="仿宋_GB2312" w:cs="仿宋_GB2312"/>
          <w:sz w:val="32"/>
          <w:szCs w:val="32"/>
        </w:rPr>
        <w:t>包括但不限于建筑物结构安全、消防设施安全、用电设备安全、特种设备安全、风险点排查，警示标语、防护设施设置等。</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（三）检查要求：</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1.日常检查：</w:t>
      </w:r>
      <w:r>
        <w:rPr>
          <w:rFonts w:hint="eastAsia" w:ascii="仿宋_GB2312" w:hAnsi="仿宋_GB2312" w:eastAsia="仿宋_GB2312" w:cs="仿宋_GB2312"/>
          <w:sz w:val="32"/>
          <w:szCs w:val="32"/>
        </w:rPr>
        <w:t>对上述场所，每次检查需派出不少于2名注册安全工程师 (或不低于上述资质的安全类资格证)，具有3年以上安全检查工作经历的安全专家，出具相应检查报告，指出问题，并跟进整改情况，出具整改报告。</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初定每年对上述景区景点检查，进行定期检查，出具单次检查报告，以及上半年度、全年安全生产检查工作报告。（具体以合同约定为准）</w:t>
      </w:r>
    </w:p>
    <w:p>
      <w:pPr>
        <w:pStyle w:val="15"/>
        <w:spacing w:beforeLines="0" w:afterLines="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2.专项检查：</w:t>
      </w:r>
      <w:r>
        <w:rPr>
          <w:rFonts w:hint="eastAsia" w:ascii="仿宋_GB2312" w:hAnsi="仿宋_GB2312" w:eastAsia="仿宋_GB2312" w:cs="仿宋_GB2312"/>
          <w:sz w:val="32"/>
          <w:szCs w:val="32"/>
        </w:rPr>
        <w:t>重点节假日及安全生产重要防范期，应我局要求，派出上述专业技术人员，配合我局进行专项安全生产检查，并出具专项检查报告。初定专项检查次数不少于10次。（具体以合同约定为准）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三、商务需求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报价要求：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（二）付款方式：双方合同中协商。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（三）履约担保金：双方合同中协商。</w:t>
      </w:r>
    </w:p>
    <w:p>
      <w:pPr>
        <w:pStyle w:val="15"/>
        <w:pageBreakBefore w:val="0"/>
        <w:kinsoku/>
        <w:wordWrap/>
        <w:overflowPunct/>
        <w:topLinePunct w:val="0"/>
        <w:autoSpaceDE/>
        <w:autoSpaceDN/>
        <w:bidi w:val="0"/>
        <w:spacing w:before="0" w:beforeLines="0" w:after="0" w:afterLines="0"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（四）违约责任：双方合同中协商。</w:t>
      </w:r>
    </w:p>
    <w:p>
      <w:pPr>
        <w:pStyle w:val="15"/>
        <w:pageBreakBefore w:val="0"/>
        <w:kinsoku/>
        <w:wordWrap/>
        <w:overflowPunct/>
        <w:topLinePunct w:val="0"/>
        <w:autoSpaceDE/>
        <w:autoSpaceDN/>
        <w:bidi w:val="0"/>
        <w:spacing w:before="0" w:beforeLines="0" w:after="0" w:afterLines="0" w:line="560" w:lineRule="exact"/>
        <w:ind w:firstLine="640" w:firstLineChars="200"/>
        <w:textAlignment w:val="auto"/>
        <w:rPr>
          <w:rFonts w:ascii="黑体" w:hAnsi="黑体" w:cs="黑体"/>
          <w:bCs/>
          <w:sz w:val="32"/>
          <w:szCs w:val="32"/>
          <w:highlight w:val="none"/>
        </w:rPr>
      </w:pPr>
      <w:r>
        <w:rPr>
          <w:rFonts w:hint="eastAsia" w:ascii="黑体" w:hAnsi="黑体" w:cs="黑体"/>
          <w:bCs/>
          <w:sz w:val="32"/>
          <w:szCs w:val="32"/>
          <w:highlight w:val="none"/>
        </w:rPr>
        <w:t>四、其他要求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（一）因中标单位原因，未能按规定时间完成有关工作的，每延误一天，采购方可在支付合同余款中扣除合同价款千分之一。中标单位延误超过30天，采购方有权单方解除合同并要求中标单位赔偿损失。</w:t>
      </w:r>
    </w:p>
    <w:p>
      <w:pPr>
        <w:spacing w:line="560" w:lineRule="exact"/>
        <w:ind w:firstLine="640" w:firstLineChars="200"/>
        <w:rPr>
          <w:rFonts w:ascii="黑体" w:hAnsi="黑体" w:eastAsia="黑体" w:cs="黑体"/>
          <w:sz w:val="36"/>
          <w:szCs w:val="36"/>
          <w:highlight w:val="none"/>
        </w:rPr>
      </w:pPr>
      <w:r>
        <w:rPr>
          <w:rFonts w:hint="eastAsia" w:ascii="仿宋_GB2312" w:hAnsi="仿宋_GB2312" w:eastAsia="仿宋_GB2312" w:cs="仿宋_GB2312"/>
          <w:sz w:val="32"/>
          <w:szCs w:val="32"/>
        </w:rPr>
        <w:t>（二）如中标单位提供的咨询服务文件不符合质量要求，必须在采购方提出要求后7天内无条件修改，其费用由中标单位承担。若质量仍不符合项目要求或经修改后仍不符合项目要求的，采购方有权单方解除合同并要求中标单位赔偿损失。</w:t>
      </w: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第二部分  项目评分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一、评审方法</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综合评分法：是指响应文件满足采购需求文件全部实质性要求，且按照评审因素的量化指标评审得分最高的供应商为中选候选供应商的评审方法。</w:t>
      </w:r>
    </w:p>
    <w:p>
      <w:pPr>
        <w:pageBreakBefore w:val="0"/>
        <w:widowControl/>
        <w:kinsoku/>
        <w:wordWrap/>
        <w:overflowPunct/>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本项目按响应报价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20分、诚信情况5分、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资质经验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15分、业绩情况20分、项目团队10分、方案质量30分六大</w:t>
      </w:r>
      <w:r>
        <w:rPr>
          <w:rFonts w:hint="eastAsia" w:ascii="仿宋_GB2312" w:hAnsi="仿宋_GB2312" w:eastAsia="仿宋_GB2312" w:cs="仿宋_GB2312"/>
          <w:color w:val="000000" w:themeColor="text1"/>
          <w:sz w:val="32"/>
          <w:szCs w:val="32"/>
          <w:highlight w:val="none"/>
          <w14:textFill>
            <w14:solidFill>
              <w14:schemeClr w14:val="tx1"/>
            </w14:solidFill>
          </w14:textFill>
        </w:rPr>
        <w:t>要素，总分100分采取综合评分。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二、价格分计算方法说明</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采用低价优先法计算，即满足采购需求文件要求且响应价格最低的响应报价为评审基准价，其价格分为满分。</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评审过程中，不得去掉报价中的最高报价和最低报价。</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不得以低于成本的报价竞选，供应商报价低于本项目财政预算15%时，评审委员会有权要求其对成本构成进行说明；如供应商没有附上合理的理由或不按要求提供低价说明，可视为不被接受有风险的报价。</w:t>
      </w:r>
    </w:p>
    <w:p>
      <w:pPr>
        <w:rPr>
          <w:rFonts w:hint="eastAsia" w:ascii="仿宋_GB2312" w:hAnsi="仿宋_GB2312" w:eastAsia="仿宋_GB2312" w:cs="仿宋_GB2312"/>
          <w:sz w:val="32"/>
          <w:szCs w:val="32"/>
          <w:highlight w:val="none"/>
        </w:rPr>
      </w:pP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rPr>
      </w:pPr>
      <w:r>
        <w:rPr>
          <w:rFonts w:hint="eastAsia" w:ascii="黑体" w:hAnsi="黑体" w:eastAsia="黑体" w:cs="黑体"/>
          <w:bCs/>
          <w:sz w:val="32"/>
          <w:szCs w:val="32"/>
          <w:highlight w:val="none"/>
          <w:lang w:val="en-US" w:eastAsia="zh-CN"/>
        </w:rPr>
        <w:t>三、</w:t>
      </w:r>
      <w:r>
        <w:rPr>
          <w:rFonts w:hint="eastAsia" w:ascii="黑体" w:hAnsi="黑体" w:eastAsia="黑体" w:cs="黑体"/>
          <w:bCs/>
          <w:sz w:val="32"/>
          <w:szCs w:val="32"/>
          <w:highlight w:val="none"/>
        </w:rPr>
        <w:t>项目评分表</w:t>
      </w:r>
    </w:p>
    <w:tbl>
      <w:tblPr>
        <w:tblStyle w:val="11"/>
        <w:tblW w:w="5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232"/>
        <w:gridCol w:w="731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607"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评审内容</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评审细则</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响应报价</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价格分计算方法：（评标基准价/响应报价）×100×20%</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c>
          <w:tcPr>
            <w:tcW w:w="607" w:type="pct"/>
            <w:tcBorders>
              <w:top w:val="single" w:color="000000" w:sz="4" w:space="0"/>
              <w:left w:val="nil"/>
              <w:right w:val="single" w:color="000000" w:sz="4" w:space="0"/>
            </w:tcBorders>
            <w:noWrap w:val="0"/>
            <w:vAlign w:val="center"/>
          </w:tcPr>
          <w:p>
            <w:pPr>
              <w:pStyle w:val="8"/>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诚信情况</w:t>
            </w:r>
          </w:p>
        </w:tc>
        <w:tc>
          <w:tcPr>
            <w:tcW w:w="3603" w:type="pct"/>
            <w:tcBorders>
              <w:top w:val="single" w:color="000000" w:sz="4" w:space="0"/>
              <w:left w:val="nil"/>
              <w:bottom w:val="single" w:color="000000" w:sz="4" w:space="0"/>
              <w:right w:val="single" w:color="000000" w:sz="4" w:space="0"/>
            </w:tcBorders>
            <w:noWrap w:val="0"/>
            <w:vAlign w:val="center"/>
          </w:tcPr>
          <w:p>
            <w:pPr>
              <w:pStyle w:val="8"/>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需提供信用中国查询情况材料，响应文件中未体现导致评分小组无法判断的不得分。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highlight w:val="none"/>
                <w:shd w:val="clear"/>
                <w:lang w:val="en-US" w:eastAsia="zh-CN" w:bidi="ar"/>
              </w:rPr>
              <w:t>资质经验</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color w:val="000000"/>
                <w:kern w:val="0"/>
                <w:sz w:val="24"/>
                <w:szCs w:val="32"/>
                <w:lang w:val="en-US" w:eastAsia="zh-CN" w:bidi="ar"/>
              </w:rPr>
              <w:t>1.服务保证：</w:t>
            </w:r>
            <w:r>
              <w:rPr>
                <w:rFonts w:hint="eastAsia" w:ascii="仿宋_GB2312" w:hAnsi="仿宋_GB2312" w:eastAsia="仿宋_GB2312" w:cs="仿宋_GB2312"/>
                <w:color w:val="000000"/>
                <w:kern w:val="0"/>
                <w:sz w:val="24"/>
                <w:szCs w:val="32"/>
                <w:lang w:val="en-US" w:eastAsia="zh-CN" w:bidi="ar"/>
              </w:rPr>
              <w:t>投标人在深圳市有固定服务网点（即投标人在深圳市注册或设有分公司）,得5分，无不得分；</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sz w:val="24"/>
                <w:szCs w:val="24"/>
                <w:highlight w:val="none"/>
                <w:lang w:val="en-US" w:eastAsia="zh-CN"/>
              </w:rPr>
              <w:t>2.所获荣誉：</w:t>
            </w:r>
            <w:r>
              <w:rPr>
                <w:rFonts w:hint="eastAsia" w:ascii="仿宋_GB2312" w:hAnsi="仿宋_GB2312" w:eastAsia="仿宋_GB2312" w:cs="仿宋_GB2312"/>
                <w:sz w:val="24"/>
                <w:szCs w:val="24"/>
                <w:highlight w:val="none"/>
                <w:lang w:val="en-US" w:eastAsia="zh-CN"/>
              </w:rPr>
              <w:t>获得过市级及以上政府部门关于安全生产工作的表彰及证书</w:t>
            </w:r>
            <w:r>
              <w:rPr>
                <w:rFonts w:hint="eastAsia" w:ascii="仿宋_GB2312" w:hAnsi="仿宋_GB2312" w:eastAsia="仿宋_GB2312" w:cs="仿宋_GB2312"/>
                <w:sz w:val="24"/>
                <w:szCs w:val="24"/>
                <w:highlight w:val="none"/>
                <w:lang w:eastAsia="zh-CN"/>
              </w:rPr>
              <w:t>，每</w:t>
            </w:r>
            <w:r>
              <w:rPr>
                <w:rFonts w:hint="eastAsia" w:ascii="仿宋_GB2312" w:hAnsi="仿宋_GB2312" w:eastAsia="仿宋_GB2312" w:cs="仿宋_GB2312"/>
                <w:sz w:val="24"/>
                <w:szCs w:val="24"/>
                <w:highlight w:val="none"/>
                <w:lang w:val="en-US" w:eastAsia="zh-CN"/>
              </w:rPr>
              <w:t>个</w:t>
            </w:r>
            <w:r>
              <w:rPr>
                <w:rFonts w:hint="eastAsia" w:ascii="仿宋_GB2312" w:hAnsi="仿宋_GB2312" w:eastAsia="仿宋_GB2312" w:cs="仿宋_GB2312"/>
                <w:sz w:val="24"/>
                <w:szCs w:val="24"/>
                <w:highlight w:val="none"/>
                <w:lang w:eastAsia="zh-CN"/>
              </w:rPr>
              <w:t>得</w:t>
            </w:r>
            <w:r>
              <w:rPr>
                <w:rFonts w:hint="eastAsia" w:ascii="仿宋_GB2312" w:hAnsi="仿宋_GB2312" w:eastAsia="仿宋_GB2312" w:cs="仿宋_GB2312"/>
                <w:sz w:val="24"/>
                <w:szCs w:val="24"/>
                <w:highlight w:val="none"/>
                <w:lang w:val="en-US" w:eastAsia="zh-CN"/>
              </w:rPr>
              <w:t>2分，满分10分。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highlight w:val="none"/>
                <w:shd w:val="clear"/>
                <w:lang w:val="en-US" w:eastAsia="zh-CN" w:bidi="ar"/>
              </w:rPr>
            </w:pPr>
            <w:r>
              <w:rPr>
                <w:rFonts w:hint="eastAsia" w:ascii="仿宋_GB2312" w:hAnsi="仿宋_GB2312" w:eastAsia="仿宋_GB2312" w:cs="仿宋_GB2312"/>
                <w:color w:val="000000"/>
                <w:kern w:val="0"/>
                <w:sz w:val="24"/>
                <w:highlight w:val="none"/>
                <w:shd w:val="clear"/>
                <w:lang w:val="en-US" w:eastAsia="zh-CN" w:bidi="ar"/>
              </w:rPr>
              <w:t>业绩情况</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rPr>
              <w:t>201</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年1月1日至今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合作过</w:t>
            </w:r>
            <w:r>
              <w:rPr>
                <w:rFonts w:hint="eastAsia" w:ascii="仿宋_GB2312" w:hAnsi="仿宋_GB2312" w:eastAsia="仿宋_GB2312" w:cs="仿宋_GB2312"/>
                <w:sz w:val="24"/>
                <w:szCs w:val="24"/>
                <w:highlight w:val="none"/>
                <w:lang w:eastAsia="zh-CN"/>
              </w:rPr>
              <w:t>区级</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lang w:eastAsia="zh-CN"/>
              </w:rPr>
              <w:t>以上政府部门主办的项目（</w:t>
            </w:r>
            <w:r>
              <w:rPr>
                <w:rFonts w:hint="eastAsia" w:ascii="仿宋_GB2312" w:hAnsi="仿宋_GB2312" w:eastAsia="仿宋_GB2312" w:cs="仿宋_GB2312"/>
                <w:sz w:val="24"/>
                <w:szCs w:val="24"/>
                <w:highlight w:val="none"/>
                <w:lang w:val="en-US" w:eastAsia="zh-CN"/>
              </w:rPr>
              <w:t>主要指安全生产检查、应急演练、安全生产培训等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并能提供相关佐证材料。（佐证材料包括：签约合同、付款凭证或中标公告其一即可，</w:t>
            </w:r>
            <w:r>
              <w:rPr>
                <w:rFonts w:hint="eastAsia" w:ascii="仿宋_GB2312" w:hAnsi="仿宋_GB2312" w:eastAsia="仿宋_GB2312" w:cs="仿宋_GB2312"/>
                <w:sz w:val="24"/>
                <w:szCs w:val="24"/>
                <w:highlight w:val="none"/>
              </w:rPr>
              <w:t>每个得</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分，满分</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5</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项目团队</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1.项目团队获奖情况：</w:t>
            </w:r>
            <w:r>
              <w:rPr>
                <w:rFonts w:hint="eastAsia" w:ascii="仿宋_GB2312" w:hAnsi="仿宋_GB2312" w:eastAsia="仿宋_GB2312" w:cs="仿宋_GB2312"/>
                <w:b w:val="0"/>
                <w:bCs w:val="0"/>
                <w:sz w:val="24"/>
                <w:szCs w:val="24"/>
                <w:lang w:val="en-US" w:eastAsia="zh-CN"/>
              </w:rPr>
              <w:t>为本项目配备的团队中有获得注册安全工程师，注册消防工程师，安全评价师等证书的工作人员（每个得1分，最高得5分）</w:t>
            </w:r>
          </w:p>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2.项目团队人数：</w:t>
            </w:r>
            <w:r>
              <w:rPr>
                <w:rFonts w:hint="eastAsia" w:ascii="仿宋_GB2312" w:hAnsi="仿宋_GB2312" w:eastAsia="仿宋_GB2312" w:cs="仿宋_GB2312"/>
                <w:b w:val="0"/>
                <w:bCs w:val="0"/>
                <w:sz w:val="24"/>
                <w:szCs w:val="24"/>
                <w:lang w:val="en-US" w:eastAsia="zh-CN"/>
              </w:rPr>
              <w:t>能为本项目配备专门的团队并提供不少于6个月的社保缴纳证明</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val="0"/>
                <w:bCs w:val="0"/>
                <w:sz w:val="24"/>
                <w:szCs w:val="24"/>
                <w:lang w:val="en-US" w:eastAsia="zh-CN"/>
              </w:rPr>
              <w:t>人数少于5人的，得3分；5-8人的，得4分；8人以上的，得5分（最高得5分）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15" w:type="pct"/>
            <w:vMerge w:val="restar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p>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6</w:t>
            </w:r>
          </w:p>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607" w:type="pct"/>
            <w:vMerge w:val="restart"/>
            <w:tcBorders>
              <w:top w:val="single" w:color="000000" w:sz="4" w:space="0"/>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1.可行性：</w:t>
            </w:r>
            <w:r>
              <w:rPr>
                <w:rFonts w:hint="eastAsia" w:ascii="仿宋_GB2312" w:hAnsi="仿宋_GB2312" w:eastAsia="仿宋_GB2312" w:cs="仿宋_GB2312"/>
                <w:sz w:val="24"/>
                <w:szCs w:val="24"/>
                <w:lang w:val="en-US" w:eastAsia="zh-CN"/>
              </w:rPr>
              <w:t>横向对比各投标人提供的方案，是否切合区内旅游实际情况，对我区安全生产现状风险是否有完整性、合理性、可操作性分析。优得10-15分，良得5-10分，一般得1-5分。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vMerge w:val="continue"/>
            <w:tcBorders>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607" w:type="pct"/>
            <w:vMerge w:val="continue"/>
            <w:tcBorders>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2.全面性：</w:t>
            </w:r>
            <w:r>
              <w:rPr>
                <w:rFonts w:hint="eastAsia" w:ascii="仿宋_GB2312" w:hAnsi="仿宋_GB2312" w:eastAsia="仿宋_GB2312" w:cs="仿宋_GB2312"/>
                <w:sz w:val="24"/>
                <w:szCs w:val="24"/>
                <w:lang w:val="en-US" w:eastAsia="zh-CN"/>
              </w:rPr>
              <w:t>横向对比各投标人提供的方案，</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是否能全面覆盖景区存在的风险点（如恶劣天气、现场突发情况），对各类风险、突发情况有相应的预防措施、应急方案等。</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横向对比优得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分，良得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分，一般得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625"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    计</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100</w:t>
            </w:r>
          </w:p>
        </w:tc>
      </w:tr>
    </w:tbl>
    <w:p>
      <w:pPr>
        <w:pageBreakBefore w:val="0"/>
        <w:kinsoku/>
        <w:wordWrap/>
        <w:overflowPunct/>
        <w:topLinePunct w:val="0"/>
        <w:autoSpaceDE/>
        <w:autoSpaceDN/>
        <w:bidi w:val="0"/>
        <w:spacing w:line="560" w:lineRule="exact"/>
        <w:textAlignment w:val="auto"/>
        <w:rPr>
          <w:rFonts w:hint="eastAsia" w:ascii="黑体" w:hAnsi="黑体" w:eastAsia="黑体" w:cs="黑体"/>
          <w:sz w:val="36"/>
          <w:szCs w:val="36"/>
          <w:highlight w:val="none"/>
        </w:rPr>
      </w:pP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第三部分   供应商资质要求</w:t>
      </w:r>
    </w:p>
    <w:p>
      <w:pPr>
        <w:pStyle w:val="15"/>
        <w:spacing w:before="156" w:after="156"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（一）符合《中华人民共和国政府采购法》第二十二条要求。</w:t>
      </w:r>
    </w:p>
    <w:p>
      <w:pPr>
        <w:pStyle w:val="15"/>
        <w:spacing w:before="156" w:after="156"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15"/>
        <w:spacing w:before="156" w:after="156"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（三）单位负责人为同一人或者存在控股、管理关系的不同单位，不得同时参加本项目的招标。为本项目提供整体设计、规范编制或者项目管理、监理、检测等服务的供应商，不得再参加本项目招标。</w:t>
      </w:r>
    </w:p>
    <w:p>
      <w:pPr>
        <w:pStyle w:val="15"/>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w:t>
      </w: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第四部分   响应文件的构成及递交</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一、响应文件的构成</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（一）单位营业执照原件扫描件（加盖公章，原件备查；如深圳企业营业执照未反映经营范围，须提供深圳市市场监督管理局网站关于供应商经营范围查询结果的截图）；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（二）详细清单报价；</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lang w:val="en-US" w:eastAsia="zh-CN"/>
        </w:rPr>
        <w:t>安全评价、消防评估</w:t>
      </w:r>
      <w:r>
        <w:rPr>
          <w:rFonts w:hint="eastAsia" w:ascii="仿宋_GB2312" w:hAnsi="仿宋_GB2312" w:eastAsia="仿宋_GB2312" w:cs="仿宋_GB2312"/>
          <w:sz w:val="32"/>
          <w:szCs w:val="32"/>
          <w:highlight w:val="none"/>
        </w:rPr>
        <w:t>等相关资质证书原件扫描件（加盖公章，原件备查）；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2019年至今</w:t>
      </w:r>
      <w:r>
        <w:rPr>
          <w:rFonts w:hint="eastAsia" w:ascii="仿宋_GB2312" w:hAnsi="仿宋_GB2312" w:eastAsia="仿宋_GB2312" w:cs="仿宋_GB2312"/>
          <w:sz w:val="32"/>
          <w:szCs w:val="32"/>
          <w:highlight w:val="none"/>
        </w:rPr>
        <w:t>同规模项目案例业绩资料；</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（五）项目负责人社保证明</w:t>
      </w:r>
      <w:r>
        <w:rPr>
          <w:rFonts w:hint="eastAsia" w:ascii="仿宋_GB2312" w:hAnsi="仿宋_GB2312" w:eastAsia="仿宋_GB2312" w:cs="仿宋_GB2312"/>
          <w:sz w:val="32"/>
          <w:szCs w:val="32"/>
          <w:highlight w:val="none"/>
          <w:lang w:eastAsia="zh-CN"/>
        </w:rPr>
        <w:t>、学历、</w:t>
      </w:r>
      <w:r>
        <w:rPr>
          <w:rFonts w:hint="eastAsia" w:ascii="仿宋_GB2312" w:hAnsi="仿宋_GB2312" w:eastAsia="仿宋_GB2312" w:cs="仿宋_GB2312"/>
          <w:sz w:val="32"/>
          <w:szCs w:val="32"/>
          <w:highlight w:val="none"/>
        </w:rPr>
        <w:t>职称证书原件扫描件（加盖公章，原件备查）；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（六）项目团队人员学历证书、职称证书原件扫描件（加盖公章，原件备查）；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（七）项目服务方案</w:t>
      </w:r>
      <w:r>
        <w:rPr>
          <w:rFonts w:hint="eastAsia" w:ascii="仿宋_GB2312" w:hAnsi="仿宋_GB2312" w:eastAsia="仿宋_GB2312" w:cs="仿宋_GB2312"/>
          <w:sz w:val="32"/>
          <w:szCs w:val="32"/>
          <w:highlight w:val="none"/>
          <w:lang w:eastAsia="zh-CN"/>
        </w:rPr>
        <w:t>；</w:t>
      </w:r>
    </w:p>
    <w:p>
      <w:pPr>
        <w:pStyle w:val="6"/>
        <w:pageBreakBefore w:val="0"/>
        <w:kinsoku/>
        <w:wordWrap/>
        <w:overflowPunct/>
        <w:topLinePunct w:val="0"/>
        <w:autoSpaceDE/>
        <w:autoSpaceDN/>
        <w:bidi w:val="0"/>
        <w:spacing w:line="560" w:lineRule="exact"/>
        <w:textAlignment w:val="auto"/>
        <w:rPr>
          <w:rFonts w:hint="eastAsia"/>
          <w:highlight w:val="none"/>
          <w:lang w:eastAsia="zh-CN"/>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八</w:t>
      </w:r>
      <w:r>
        <w:rPr>
          <w:rFonts w:hint="eastAsia" w:ascii="仿宋_GB2312" w:hAnsi="宋体" w:eastAsia="仿宋_GB2312"/>
          <w:color w:val="000000"/>
          <w:sz w:val="32"/>
          <w:szCs w:val="32"/>
          <w:highlight w:val="none"/>
        </w:rPr>
        <w:t>）招标文件要求的其它内容或投标人认为需要补充的资料</w:t>
      </w:r>
      <w:r>
        <w:rPr>
          <w:rFonts w:hint="eastAsia" w:ascii="仿宋_GB2312" w:hAnsi="宋体" w:eastAsia="仿宋_GB2312"/>
          <w:color w:val="000000"/>
          <w:sz w:val="32"/>
          <w:szCs w:val="32"/>
          <w:highlight w:val="none"/>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bCs/>
          <w:sz w:val="32"/>
          <w:szCs w:val="32"/>
          <w:highlight w:val="none"/>
        </w:rPr>
        <w:t>二、响应文件的递交</w:t>
      </w:r>
      <w:r>
        <w:rPr>
          <w:rFonts w:hint="eastAsia" w:ascii="仿宋_GB2312" w:hAnsi="仿宋_GB2312" w:eastAsia="仿宋_GB2312" w:cs="仿宋_GB2312"/>
          <w:sz w:val="32"/>
          <w:szCs w:val="32"/>
          <w:highlight w:val="none"/>
        </w:rPr>
        <w:t>（邮递拒绝到付）</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（一）供应商应准备“响应文件”一式六份，与《响应一览表》（附件1）一同密封</w:t>
      </w:r>
      <w:r>
        <w:rPr>
          <w:rFonts w:hint="eastAsia" w:ascii="仿宋_GB2312" w:hAnsi="仿宋_GB2312" w:eastAsia="仿宋_GB2312" w:cs="仿宋_GB2312"/>
          <w:sz w:val="32"/>
          <w:szCs w:val="32"/>
          <w:highlight w:val="none"/>
          <w:lang w:val="en-US" w:eastAsia="zh-CN"/>
        </w:rPr>
        <w:t>装好</w:t>
      </w:r>
      <w:r>
        <w:rPr>
          <w:rFonts w:hint="eastAsia" w:ascii="仿宋_GB2312" w:hAnsi="仿宋_GB2312" w:eastAsia="仿宋_GB2312" w:cs="仿宋_GB2312"/>
          <w:sz w:val="32"/>
          <w:szCs w:val="32"/>
          <w:highlight w:val="none"/>
        </w:rPr>
        <w:t>，封口处需加盖单位公章，并在封面注明：</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1.响应项目；</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2.供应商名称；</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3.联系人姓名、电话。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电子版或扫描版材料发送到</w:t>
      </w:r>
      <w:r>
        <w:rPr>
          <w:rFonts w:hint="eastAsia" w:ascii="仿宋_GB2312" w:hAnsi="仿宋_GB2312" w:eastAsia="仿宋_GB2312" w:cs="仿宋_GB2312"/>
          <w:sz w:val="32"/>
          <w:szCs w:val="32"/>
          <w:highlight w:val="none"/>
          <w:lang w:val="en-US" w:eastAsia="zh-CN"/>
        </w:rPr>
        <w:t>wgltcyk@szgm.gov.cn。</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（二）响应文件递交截止时间：</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供应商响应文件时间不得迟于响应文件递交截止时间202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日18时00分(北京时间)。</w:t>
      </w:r>
    </w:p>
    <w:p>
      <w:pPr>
        <w:pageBreakBefore w:val="0"/>
        <w:kinsoku/>
        <w:wordWrap/>
        <w:overflowPunct/>
        <w:topLinePunct w:val="0"/>
        <w:autoSpaceDE/>
        <w:autoSpaceDN/>
        <w:bidi w:val="0"/>
        <w:spacing w:line="560" w:lineRule="exact"/>
        <w:textAlignment w:val="auto"/>
        <w:rPr>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第三章  附件</w:t>
      </w:r>
    </w:p>
    <w:p>
      <w:pPr>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黑体"/>
          <w:sz w:val="20"/>
          <w:szCs w:val="20"/>
          <w:highlight w:val="none"/>
        </w:rPr>
      </w:pPr>
    </w:p>
    <w:p>
      <w:pPr>
        <w:pageBreakBefore w:val="0"/>
        <w:kinsoku/>
        <w:wordWrap/>
        <w:overflowPunct/>
        <w:topLinePunct w:val="0"/>
        <w:autoSpaceDE/>
        <w:autoSpaceDN/>
        <w:bidi w:val="0"/>
        <w:spacing w:line="560" w:lineRule="exact"/>
        <w:textAlignment w:val="auto"/>
        <w:rPr>
          <w:rFonts w:ascii="黑体" w:hAnsi="黑体" w:eastAsia="黑体" w:cs="黑体"/>
          <w:sz w:val="36"/>
          <w:szCs w:val="36"/>
          <w:highlight w:val="none"/>
        </w:rPr>
      </w:pPr>
      <w:r>
        <w:rPr>
          <w:rFonts w:hint="eastAsia" w:ascii="黑体" w:hAnsi="黑体" w:eastAsia="黑体" w:cs="黑体"/>
          <w:sz w:val="36"/>
          <w:szCs w:val="36"/>
          <w:highlight w:val="none"/>
        </w:rPr>
        <w:t>附件1</w:t>
      </w:r>
    </w:p>
    <w:p>
      <w:pPr>
        <w:pageBreakBefore w:val="0"/>
        <w:kinsoku/>
        <w:wordWrap/>
        <w:overflowPunct/>
        <w:topLinePunct w:val="0"/>
        <w:autoSpaceDE/>
        <w:autoSpaceDN/>
        <w:bidi w:val="0"/>
        <w:spacing w:line="560" w:lineRule="exact"/>
        <w:ind w:firstLine="3360" w:firstLineChars="105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3360" w:firstLineChars="1050"/>
        <w:textAlignment w:val="auto"/>
        <w:rPr>
          <w:rFonts w:ascii="仿宋_GB2312" w:eastAsia="仿宋_GB2312"/>
          <w:sz w:val="32"/>
          <w:szCs w:val="32"/>
          <w:highlight w:val="none"/>
        </w:rPr>
      </w:pPr>
      <w:r>
        <w:rPr>
          <w:rFonts w:hint="eastAsia" w:ascii="仿宋_GB2312" w:eastAsia="仿宋_GB2312"/>
          <w:sz w:val="32"/>
          <w:szCs w:val="32"/>
          <w:highlight w:val="none"/>
        </w:rPr>
        <w:t>响应一览表</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项目编号：</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项目名称：</w:t>
      </w:r>
    </w:p>
    <w:p>
      <w:pPr>
        <w:pageBreakBefore w:val="0"/>
        <w:kinsoku/>
        <w:wordWrap/>
        <w:overflowPunct/>
        <w:topLinePunct w:val="0"/>
        <w:autoSpaceDE/>
        <w:autoSpaceDN/>
        <w:bidi w:val="0"/>
        <w:spacing w:after="312" w:afterLines="100"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供应商名称：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vAlign w:val="center"/>
          </w:tcPr>
          <w:p>
            <w:pPr>
              <w:pageBreakBefore w:val="0"/>
              <w:kinsoku/>
              <w:wordWrap/>
              <w:overflowPunct/>
              <w:topLinePunct w:val="0"/>
              <w:autoSpaceDE/>
              <w:autoSpaceDN/>
              <w:bidi w:val="0"/>
              <w:spacing w:line="56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序号</w:t>
            </w:r>
          </w:p>
        </w:tc>
        <w:tc>
          <w:tcPr>
            <w:tcW w:w="3953"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r>
              <w:rPr>
                <w:rFonts w:hint="eastAsia" w:ascii="仿宋_GB2312" w:eastAsia="仿宋_GB2312"/>
                <w:sz w:val="32"/>
                <w:szCs w:val="32"/>
                <w:highlight w:val="none"/>
              </w:rPr>
              <w:t>响应报价</w:t>
            </w:r>
          </w:p>
        </w:tc>
        <w:tc>
          <w:tcPr>
            <w:tcW w:w="2841"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r>
              <w:rPr>
                <w:rFonts w:hint="eastAsia" w:ascii="仿宋_GB2312" w:eastAsia="仿宋_GB2312"/>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c>
          <w:tcPr>
            <w:tcW w:w="3953"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c>
          <w:tcPr>
            <w:tcW w:w="2841"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r>
    </w:tbl>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供应商代表签字：</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r>
        <w:rPr>
          <w:rFonts w:hint="eastAsia" w:ascii="仿宋_GB2312" w:eastAsia="仿宋_GB2312"/>
          <w:sz w:val="32"/>
          <w:szCs w:val="32"/>
          <w:highlight w:val="none"/>
        </w:rPr>
        <w:t>单位盖章：</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供应商联系电话（必填）：</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日  期：</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Style w:val="2"/>
        <w:pageBreakBefore w:val="0"/>
        <w:kinsoku/>
        <w:wordWrap/>
        <w:overflowPunct/>
        <w:topLinePunct w:val="0"/>
        <w:autoSpaceDE/>
        <w:autoSpaceDN/>
        <w:bidi w:val="0"/>
        <w:adjustRightInd w:val="0"/>
        <w:snapToGrid w:val="0"/>
        <w:spacing w:before="0" w:after="0" w:line="560" w:lineRule="exact"/>
        <w:textAlignment w:val="auto"/>
        <w:rPr>
          <w:sz w:val="13"/>
          <w:szCs w:val="13"/>
          <w:highlight w:val="none"/>
        </w:rPr>
      </w:pPr>
    </w:p>
    <w:p>
      <w:pPr>
        <w:pageBreakBefore w:val="0"/>
        <w:kinsoku/>
        <w:wordWrap/>
        <w:overflowPunct/>
        <w:topLinePunct w:val="0"/>
        <w:autoSpaceDE/>
        <w:autoSpaceDN/>
        <w:bidi w:val="0"/>
        <w:spacing w:line="560" w:lineRule="exact"/>
        <w:textAlignment w:val="auto"/>
        <w:rPr>
          <w:rFonts w:ascii="黑体" w:hAnsi="黑体" w:eastAsia="黑体" w:cs="黑体"/>
          <w:sz w:val="36"/>
          <w:szCs w:val="36"/>
          <w:highlight w:val="none"/>
        </w:rPr>
      </w:pPr>
      <w:r>
        <w:rPr>
          <w:rFonts w:hint="eastAsia" w:ascii="黑体" w:hAnsi="黑体" w:eastAsia="黑体" w:cs="黑体"/>
          <w:sz w:val="36"/>
          <w:szCs w:val="36"/>
          <w:highlight w:val="none"/>
        </w:rPr>
        <w:t>附件2</w:t>
      </w:r>
    </w:p>
    <w:p>
      <w:pPr>
        <w:pStyle w:val="2"/>
        <w:pageBreakBefore w:val="0"/>
        <w:kinsoku/>
        <w:wordWrap/>
        <w:overflowPunct/>
        <w:topLinePunct w:val="0"/>
        <w:autoSpaceDE/>
        <w:autoSpaceDN/>
        <w:bidi w:val="0"/>
        <w:adjustRightInd w:val="0"/>
        <w:snapToGrid w:val="0"/>
        <w:spacing w:before="0" w:after="0" w:line="560" w:lineRule="exact"/>
        <w:textAlignment w:val="auto"/>
        <w:rPr>
          <w:sz w:val="13"/>
          <w:szCs w:val="13"/>
          <w:highlight w:val="none"/>
        </w:rPr>
      </w:pPr>
    </w:p>
    <w:p>
      <w:pPr>
        <w:pStyle w:val="5"/>
        <w:pageBreakBefore w:val="0"/>
        <w:kinsoku/>
        <w:wordWrap/>
        <w:overflowPunct/>
        <w:topLinePunct w:val="0"/>
        <w:autoSpaceDE/>
        <w:autoSpaceDN/>
        <w:bidi w:val="0"/>
        <w:spacing w:line="560" w:lineRule="exact"/>
        <w:jc w:val="center"/>
        <w:textAlignment w:val="auto"/>
        <w:rPr>
          <w:kern w:val="0"/>
          <w:sz w:val="36"/>
          <w:szCs w:val="36"/>
          <w:highlight w:val="none"/>
        </w:rPr>
      </w:pPr>
      <w:r>
        <w:rPr>
          <w:rFonts w:hint="eastAsia"/>
          <w:kern w:val="0"/>
          <w:sz w:val="36"/>
          <w:szCs w:val="36"/>
          <w:highlight w:val="none"/>
        </w:rPr>
        <w:t>政府采购履约情况评价表</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采购单位名称：光明区文化广电旅游体育局      联系人及电话： </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b/>
          <w:szCs w:val="21"/>
          <w:highlight w:val="none"/>
        </w:rPr>
      </w:pPr>
    </w:p>
    <w:tbl>
      <w:tblPr>
        <w:tblStyle w:val="11"/>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122"/>
        <w:gridCol w:w="2118"/>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项目编号</w:t>
            </w:r>
          </w:p>
        </w:tc>
        <w:tc>
          <w:tcPr>
            <w:tcW w:w="2135"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中标供应商名称</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w:t>
            </w:r>
          </w:p>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联系人及电话</w:t>
            </w:r>
          </w:p>
        </w:tc>
        <w:tc>
          <w:tcPr>
            <w:tcW w:w="2135"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中标金额</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合同履约时间</w:t>
            </w:r>
          </w:p>
        </w:tc>
        <w:tc>
          <w:tcPr>
            <w:tcW w:w="2135"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履约情况评价</w:t>
            </w:r>
          </w:p>
        </w:tc>
        <w:tc>
          <w:tcPr>
            <w:tcW w:w="1842" w:type="dxa"/>
            <w:gridSpan w:val="2"/>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总体评价</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ind w:firstLine="105" w:firstLineChars="5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restart"/>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分项评价</w:t>
            </w: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价格方面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before="156" w:beforeLines="50" w:after="156" w:afterLines="50" w:line="560" w:lineRule="exact"/>
              <w:textAlignment w:val="auto"/>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评价内容为：</w:t>
            </w:r>
            <w:r>
              <w:rPr>
                <w:rFonts w:hint="eastAsia" w:ascii="仿宋_GB2312" w:hAnsi="仿宋_GB2312" w:eastAsia="仿宋_GB2312" w:cs="仿宋_GB2312"/>
                <w:szCs w:val="21"/>
                <w:highlight w:val="none"/>
                <w:u w:val="single"/>
              </w:rPr>
              <w:t xml:space="preserve">                    </w:t>
            </w:r>
          </w:p>
          <w:p>
            <w:pPr>
              <w:pageBreakBefore w:val="0"/>
              <w:kinsoku/>
              <w:wordWrap/>
              <w:overflowPunct/>
              <w:topLinePunct w:val="0"/>
              <w:autoSpaceDE/>
              <w:autoSpaceDN/>
              <w:bidi w:val="0"/>
              <w:spacing w:before="156" w:beforeLines="50" w:after="156" w:afterLines="50"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1562" w:type="dxa"/>
            <w:gridSpan w:val="2"/>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具体情况说明</w:t>
            </w:r>
          </w:p>
        </w:tc>
        <w:tc>
          <w:tcPr>
            <w:tcW w:w="7355" w:type="dxa"/>
            <w:gridSpan w:val="4"/>
          </w:tcPr>
          <w:p>
            <w:pPr>
              <w:pageBreakBefore w:val="0"/>
              <w:kinsoku/>
              <w:wordWrap/>
              <w:overflowPunct/>
              <w:topLinePunct w:val="0"/>
              <w:autoSpaceDE/>
              <w:autoSpaceDN/>
              <w:bidi w:val="0"/>
              <w:spacing w:line="560" w:lineRule="exact"/>
              <w:ind w:firstLine="420" w:firstLineChars="200"/>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1562" w:type="dxa"/>
            <w:gridSpan w:val="2"/>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采购单位意见</w:t>
            </w:r>
          </w:p>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（公章）</w:t>
            </w:r>
          </w:p>
        </w:tc>
        <w:tc>
          <w:tcPr>
            <w:tcW w:w="7355" w:type="dxa"/>
            <w:gridSpan w:val="4"/>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pPr>
              <w:pageBreakBefore w:val="0"/>
              <w:kinsoku/>
              <w:wordWrap/>
              <w:overflowPunct/>
              <w:topLinePunct w:val="0"/>
              <w:autoSpaceDE/>
              <w:autoSpaceDN/>
              <w:bidi w:val="0"/>
              <w:spacing w:line="560" w:lineRule="exact"/>
              <w:ind w:firstLine="3780" w:firstLineChars="1800"/>
              <w:textAlignment w:val="auto"/>
              <w:rPr>
                <w:rFonts w:ascii="仿宋_GB2312" w:hAnsi="仿宋_GB2312" w:eastAsia="仿宋_GB2312" w:cs="仿宋_GB2312"/>
                <w:szCs w:val="21"/>
                <w:highlight w:val="none"/>
              </w:rPr>
            </w:pPr>
          </w:p>
          <w:p>
            <w:pPr>
              <w:pageBreakBefore w:val="0"/>
              <w:kinsoku/>
              <w:wordWrap/>
              <w:overflowPunct/>
              <w:topLinePunct w:val="0"/>
              <w:autoSpaceDE/>
              <w:autoSpaceDN/>
              <w:bidi w:val="0"/>
              <w:spacing w:line="560" w:lineRule="exact"/>
              <w:ind w:firstLine="3780" w:firstLineChars="1800"/>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tc>
      </w:tr>
    </w:tbl>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1.本表为采购单位反馈政府采购项目履约情况时所用；</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2.履约情况评价分为优、良、中、差四个等级，请在对应的框前打“√”，然后在“具体情况说明”一栏详细说明有关情况；</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在政府采购项目合同履约过程或履约结束后，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ageBreakBefore w:val="0"/>
        <w:kinsoku/>
        <w:wordWrap/>
        <w:overflowPunct/>
        <w:topLinePunct w:val="0"/>
        <w:autoSpaceDE/>
        <w:autoSpaceDN/>
        <w:bidi w:val="0"/>
        <w:spacing w:line="560" w:lineRule="exact"/>
        <w:textAlignment w:val="auto"/>
        <w:rPr>
          <w:highlight w:val="none"/>
        </w:rPr>
      </w:pPr>
      <w:r>
        <w:rPr>
          <w:rFonts w:hint="eastAsia" w:ascii="仿宋_GB2312" w:hAnsi="仿宋_GB2312" w:eastAsia="仿宋_GB2312" w:cs="仿宋_GB2312"/>
          <w:szCs w:val="21"/>
          <w:highlight w:val="none"/>
        </w:rPr>
        <w:t>4.本表一式三份，采购单位存两份，中标供应商存一份。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7353"/>
    <w:rsid w:val="0044360A"/>
    <w:rsid w:val="009C330D"/>
    <w:rsid w:val="009E3EFA"/>
    <w:rsid w:val="02367E63"/>
    <w:rsid w:val="042563C1"/>
    <w:rsid w:val="06A52B9B"/>
    <w:rsid w:val="06B04D39"/>
    <w:rsid w:val="07A11CC7"/>
    <w:rsid w:val="08940015"/>
    <w:rsid w:val="09065BB9"/>
    <w:rsid w:val="0A152435"/>
    <w:rsid w:val="0B073208"/>
    <w:rsid w:val="0DAF4921"/>
    <w:rsid w:val="0E30320C"/>
    <w:rsid w:val="10934F1D"/>
    <w:rsid w:val="11CD2E99"/>
    <w:rsid w:val="120F3399"/>
    <w:rsid w:val="13A652E4"/>
    <w:rsid w:val="142B21E3"/>
    <w:rsid w:val="1986324C"/>
    <w:rsid w:val="1ACF7D82"/>
    <w:rsid w:val="1CDD1F31"/>
    <w:rsid w:val="1D2C7C39"/>
    <w:rsid w:val="1F3C2DEB"/>
    <w:rsid w:val="20224E85"/>
    <w:rsid w:val="20B83DEA"/>
    <w:rsid w:val="229541C4"/>
    <w:rsid w:val="230A0D93"/>
    <w:rsid w:val="25E84741"/>
    <w:rsid w:val="26FA51D8"/>
    <w:rsid w:val="27700DB7"/>
    <w:rsid w:val="27B16410"/>
    <w:rsid w:val="28BF4F40"/>
    <w:rsid w:val="299262F9"/>
    <w:rsid w:val="2A3B241E"/>
    <w:rsid w:val="2A9B5AF8"/>
    <w:rsid w:val="2AA777BD"/>
    <w:rsid w:val="2ACE49C3"/>
    <w:rsid w:val="2B755FF1"/>
    <w:rsid w:val="2F5A6885"/>
    <w:rsid w:val="309F4D84"/>
    <w:rsid w:val="325B7713"/>
    <w:rsid w:val="34874479"/>
    <w:rsid w:val="364516BB"/>
    <w:rsid w:val="3783115E"/>
    <w:rsid w:val="37B759A5"/>
    <w:rsid w:val="388D5501"/>
    <w:rsid w:val="39AC14D4"/>
    <w:rsid w:val="3AA47CBF"/>
    <w:rsid w:val="3CBF46B1"/>
    <w:rsid w:val="3E3C7638"/>
    <w:rsid w:val="3FF85392"/>
    <w:rsid w:val="402C2B0B"/>
    <w:rsid w:val="40DD1495"/>
    <w:rsid w:val="42EE4FF8"/>
    <w:rsid w:val="44C11BBF"/>
    <w:rsid w:val="46DA7C8C"/>
    <w:rsid w:val="47421DED"/>
    <w:rsid w:val="47DA2DB6"/>
    <w:rsid w:val="4CB156A1"/>
    <w:rsid w:val="4D7D7235"/>
    <w:rsid w:val="4F89474C"/>
    <w:rsid w:val="51C66178"/>
    <w:rsid w:val="54022599"/>
    <w:rsid w:val="54133801"/>
    <w:rsid w:val="55086505"/>
    <w:rsid w:val="56055C11"/>
    <w:rsid w:val="58B01875"/>
    <w:rsid w:val="5942157C"/>
    <w:rsid w:val="59920894"/>
    <w:rsid w:val="5AEC7080"/>
    <w:rsid w:val="5AFA61CD"/>
    <w:rsid w:val="5B3C1FF5"/>
    <w:rsid w:val="5BD13A49"/>
    <w:rsid w:val="5DD86AE6"/>
    <w:rsid w:val="5E0F6CAD"/>
    <w:rsid w:val="5E3C0A00"/>
    <w:rsid w:val="5FBD6441"/>
    <w:rsid w:val="62B547A3"/>
    <w:rsid w:val="639B319E"/>
    <w:rsid w:val="65DA7353"/>
    <w:rsid w:val="66206BAA"/>
    <w:rsid w:val="66986906"/>
    <w:rsid w:val="669E08D8"/>
    <w:rsid w:val="68BD3909"/>
    <w:rsid w:val="6AF10E58"/>
    <w:rsid w:val="6C5F52A1"/>
    <w:rsid w:val="6D2038EC"/>
    <w:rsid w:val="6DE00DD7"/>
    <w:rsid w:val="6EB53ED4"/>
    <w:rsid w:val="70EA01F2"/>
    <w:rsid w:val="712428E9"/>
    <w:rsid w:val="73104EDB"/>
    <w:rsid w:val="732269E6"/>
    <w:rsid w:val="75D80F6C"/>
    <w:rsid w:val="769B5AD6"/>
    <w:rsid w:val="76CA56C9"/>
    <w:rsid w:val="76EC77C1"/>
    <w:rsid w:val="77FF625F"/>
    <w:rsid w:val="78271BBC"/>
    <w:rsid w:val="7A4A438C"/>
    <w:rsid w:val="7BD7BEF8"/>
    <w:rsid w:val="7D6D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3"/>
    <w:next w:val="1"/>
    <w:qFormat/>
    <w:uiPriority w:val="0"/>
    <w:pPr>
      <w:spacing w:before="260" w:after="260" w:line="360" w:lineRule="auto"/>
      <w:jc w:val="center"/>
      <w:outlineLvl w:val="1"/>
    </w:pPr>
    <w:rPr>
      <w:rFonts w:ascii="黑体" w:hAnsi="宋体" w:eastAsia="黑体" w:cs="Arial"/>
      <w:b w:val="0"/>
      <w:bCs w:val="0"/>
      <w:sz w:val="28"/>
      <w:szCs w:val="21"/>
    </w:rPr>
  </w:style>
  <w:style w:type="paragraph" w:styleId="5">
    <w:name w:val="heading 3"/>
    <w:basedOn w:val="2"/>
    <w:next w:val="1"/>
    <w:qFormat/>
    <w:uiPriority w:val="0"/>
    <w:pPr>
      <w:spacing w:before="260" w:after="260" w:line="413" w:lineRule="auto"/>
      <w:outlineLvl w:val="2"/>
    </w:pPr>
    <w:rPr>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Body Text"/>
    <w:basedOn w:val="1"/>
    <w:qFormat/>
    <w:uiPriority w:val="0"/>
    <w:rPr>
      <w:sz w:val="28"/>
    </w:rPr>
  </w:style>
  <w:style w:type="paragraph" w:styleId="8">
    <w:name w:val="Body Text Indent"/>
    <w:basedOn w:val="1"/>
    <w:qFormat/>
    <w:uiPriority w:val="0"/>
    <w:pPr>
      <w:spacing w:line="380" w:lineRule="atLeast"/>
      <w:ind w:firstLine="420" w:firstLineChars="200"/>
      <w:jc w:val="left"/>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Text"/>
    <w:basedOn w:val="1"/>
    <w:qFormat/>
    <w:uiPriority w:val="0"/>
    <w:pPr>
      <w:spacing w:before="15"/>
      <w:ind w:left="120"/>
      <w:textAlignment w:val="baseline"/>
    </w:pPr>
    <w:rPr>
      <w:rFonts w:ascii="Arial Unicode MS" w:hAnsi="Arial Unicode MS" w:eastAsia="Arial Unicode MS" w:cs="Times New Roman"/>
      <w:sz w:val="32"/>
      <w:szCs w:val="32"/>
    </w:rPr>
  </w:style>
  <w:style w:type="paragraph" w:customStyle="1" w:styleId="15">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character" w:customStyle="1" w:styleId="16">
    <w:name w:val="font71"/>
    <w:basedOn w:val="13"/>
    <w:qFormat/>
    <w:uiPriority w:val="0"/>
    <w:rPr>
      <w:rFonts w:hint="eastAsia" w:ascii="宋体" w:hAnsi="宋体" w:eastAsia="宋体" w:cs="宋体"/>
      <w:color w:val="000000"/>
      <w:sz w:val="22"/>
      <w:szCs w:val="22"/>
      <w:u w:val="none"/>
    </w:rPr>
  </w:style>
  <w:style w:type="character" w:customStyle="1" w:styleId="17">
    <w:name w:val="font01"/>
    <w:basedOn w:val="13"/>
    <w:qFormat/>
    <w:uiPriority w:val="0"/>
    <w:rPr>
      <w:rFonts w:hint="eastAsia" w:ascii="宋体" w:hAnsi="宋体" w:eastAsia="宋体" w:cs="宋体"/>
      <w:color w:val="000000"/>
      <w:sz w:val="22"/>
      <w:szCs w:val="22"/>
      <w:u w:val="none"/>
    </w:rPr>
  </w:style>
  <w:style w:type="character" w:customStyle="1" w:styleId="18">
    <w:name w:val="font61"/>
    <w:basedOn w:val="13"/>
    <w:qFormat/>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1036</Words>
  <Characters>5907</Characters>
  <Lines>49</Lines>
  <Paragraphs>13</Paragraphs>
  <TotalTime>14</TotalTime>
  <ScaleCrop>false</ScaleCrop>
  <LinksUpToDate>false</LinksUpToDate>
  <CharactersWithSpaces>6930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2018-09-20T09:24:00Z</dcterms:created>
  <dc:creator>____T杰</dc:creator>
  <cp:lastModifiedBy>WPS_1530451826</cp:lastModifiedBy>
  <cp:lastPrinted>2021-11-02T10:13:00Z</cp:lastPrinted>
  <dcterms:modified xsi:type="dcterms:W3CDTF">2022-08-05T13:14:35Z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44B466A3B47A428CA0AE493659031336</vt:lpwstr>
  </property>
</Properties>
</file>