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rPr>
          <w:sz w:val="44"/>
          <w:szCs w:val="44"/>
        </w:rPr>
      </w:pPr>
    </w:p>
    <w:p>
      <w:pPr>
        <w:spacing w:line="560" w:lineRule="exact"/>
        <w:jc w:val="center"/>
        <w:rPr>
          <w:rFonts w:ascii="黑体" w:eastAsia="黑体"/>
          <w:sz w:val="44"/>
          <w:szCs w:val="44"/>
        </w:rPr>
      </w:pPr>
      <w:r>
        <w:rPr>
          <w:rFonts w:hint="eastAsia" w:ascii="黑体" w:eastAsia="黑体"/>
          <w:sz w:val="44"/>
          <w:szCs w:val="44"/>
        </w:rPr>
        <w:t>项目采购需求文件</w:t>
      </w:r>
    </w:p>
    <w:p>
      <w:pPr>
        <w:spacing w:line="560" w:lineRule="exact"/>
        <w:jc w:val="center"/>
        <w:rPr>
          <w:rFonts w:ascii="黑体" w:eastAsia="黑体"/>
          <w:sz w:val="44"/>
          <w:szCs w:val="44"/>
        </w:rPr>
      </w:pPr>
    </w:p>
    <w:p>
      <w:pPr>
        <w:spacing w:line="560" w:lineRule="exact"/>
        <w:jc w:val="center"/>
        <w:rPr>
          <w:rFonts w:ascii="黑体" w:eastAsia="黑体"/>
          <w:sz w:val="36"/>
          <w:szCs w:val="36"/>
        </w:rPr>
      </w:pPr>
      <w:r>
        <w:rPr>
          <w:rFonts w:hint="eastAsia" w:ascii="黑体" w:eastAsia="黑体"/>
          <w:sz w:val="36"/>
          <w:szCs w:val="36"/>
        </w:rPr>
        <w:t>目  录</w:t>
      </w:r>
    </w:p>
    <w:p>
      <w:pPr>
        <w:spacing w:line="560" w:lineRule="exact"/>
        <w:rPr>
          <w:rFonts w:ascii="仿宋_GB2312" w:eastAsia="仿宋_GB2312"/>
          <w:sz w:val="32"/>
          <w:szCs w:val="32"/>
        </w:rPr>
      </w:pPr>
      <w:r>
        <w:rPr>
          <w:rFonts w:hint="eastAsia" w:ascii="仿宋_GB2312" w:eastAsia="仿宋_GB2312"/>
          <w:sz w:val="32"/>
          <w:szCs w:val="32"/>
        </w:rPr>
        <w:t>第一章：竞选邀请</w:t>
      </w:r>
    </w:p>
    <w:p>
      <w:pPr>
        <w:spacing w:line="560" w:lineRule="exact"/>
        <w:rPr>
          <w:rFonts w:ascii="仿宋_GB2312" w:eastAsia="仿宋_GB2312"/>
          <w:sz w:val="32"/>
          <w:szCs w:val="32"/>
        </w:rPr>
      </w:pPr>
      <w:r>
        <w:rPr>
          <w:rFonts w:hint="eastAsia" w:ascii="仿宋_GB2312" w:eastAsia="仿宋_GB2312"/>
          <w:sz w:val="32"/>
          <w:szCs w:val="32"/>
        </w:rPr>
        <w:t>第二章：采购项目要求</w:t>
      </w:r>
    </w:p>
    <w:p>
      <w:pPr>
        <w:spacing w:line="560" w:lineRule="exact"/>
        <w:rPr>
          <w:rFonts w:ascii="仿宋_GB2312" w:eastAsia="仿宋_GB2312"/>
          <w:sz w:val="32"/>
          <w:szCs w:val="32"/>
        </w:rPr>
      </w:pPr>
      <w:r>
        <w:rPr>
          <w:rFonts w:hint="eastAsia" w:ascii="仿宋_GB2312" w:eastAsia="仿宋_GB2312"/>
          <w:sz w:val="32"/>
          <w:szCs w:val="32"/>
        </w:rPr>
        <w:t xml:space="preserve">        第一部分   项目说明</w:t>
      </w:r>
    </w:p>
    <w:p>
      <w:pPr>
        <w:spacing w:line="560" w:lineRule="exact"/>
        <w:rPr>
          <w:rFonts w:ascii="仿宋_GB2312" w:eastAsia="仿宋_GB2312"/>
          <w:sz w:val="32"/>
          <w:szCs w:val="32"/>
        </w:rPr>
      </w:pPr>
      <w:r>
        <w:rPr>
          <w:rFonts w:hint="eastAsia" w:ascii="仿宋_GB2312" w:eastAsia="仿宋_GB2312"/>
          <w:sz w:val="32"/>
          <w:szCs w:val="32"/>
        </w:rPr>
        <w:t xml:space="preserve">        第二部分   项目评分</w:t>
      </w:r>
    </w:p>
    <w:p>
      <w:pPr>
        <w:spacing w:line="560" w:lineRule="exact"/>
        <w:ind w:firstLine="1280" w:firstLineChars="400"/>
        <w:rPr>
          <w:rFonts w:ascii="仿宋_GB2312" w:eastAsia="仿宋_GB2312"/>
          <w:sz w:val="32"/>
          <w:szCs w:val="32"/>
        </w:rPr>
      </w:pPr>
      <w:r>
        <w:rPr>
          <w:rFonts w:hint="eastAsia" w:ascii="仿宋_GB2312" w:eastAsia="仿宋_GB2312"/>
          <w:sz w:val="32"/>
          <w:szCs w:val="32"/>
        </w:rPr>
        <w:t>第三部分   供应商资质要求</w:t>
      </w:r>
    </w:p>
    <w:p>
      <w:pPr>
        <w:spacing w:line="560" w:lineRule="exact"/>
        <w:ind w:firstLine="1280" w:firstLineChars="400"/>
        <w:rPr>
          <w:rFonts w:ascii="仿宋_GB2312" w:eastAsia="仿宋_GB2312"/>
          <w:sz w:val="32"/>
          <w:szCs w:val="32"/>
        </w:rPr>
      </w:pPr>
      <w:r>
        <w:rPr>
          <w:rFonts w:hint="eastAsia" w:ascii="仿宋_GB2312" w:eastAsia="仿宋_GB2312"/>
          <w:sz w:val="32"/>
          <w:szCs w:val="32"/>
        </w:rPr>
        <w:t>第四部分   响应文件的构成及递交</w:t>
      </w:r>
    </w:p>
    <w:p>
      <w:pPr>
        <w:spacing w:line="560" w:lineRule="exact"/>
        <w:rPr>
          <w:rFonts w:ascii="仿宋_GB2312" w:eastAsia="仿宋_GB2312"/>
          <w:sz w:val="32"/>
          <w:szCs w:val="32"/>
        </w:rPr>
      </w:pPr>
      <w:r>
        <w:rPr>
          <w:rFonts w:hint="eastAsia" w:ascii="仿宋_GB2312" w:eastAsia="仿宋_GB2312"/>
          <w:sz w:val="32"/>
          <w:szCs w:val="32"/>
        </w:rPr>
        <w:t>第三章：附件</w:t>
      </w:r>
    </w:p>
    <w:p>
      <w:pPr>
        <w:spacing w:line="560" w:lineRule="exact"/>
        <w:rPr>
          <w:rFonts w:ascii="仿宋_GB2312" w:eastAsia="仿宋_GB2312"/>
          <w:sz w:val="32"/>
          <w:szCs w:val="32"/>
        </w:rPr>
      </w:pPr>
      <w:r>
        <w:rPr>
          <w:rFonts w:hint="eastAsia" w:ascii="仿宋_GB2312" w:eastAsia="仿宋_GB2312"/>
          <w:sz w:val="32"/>
          <w:szCs w:val="32"/>
        </w:rPr>
        <w:t xml:space="preserve">        1.响应一览表</w:t>
      </w:r>
    </w:p>
    <w:p>
      <w:pPr>
        <w:spacing w:line="560" w:lineRule="exact"/>
        <w:rPr>
          <w:rFonts w:ascii="仿宋_GB2312" w:eastAsia="仿宋_GB2312"/>
          <w:sz w:val="32"/>
          <w:szCs w:val="32"/>
        </w:rPr>
      </w:pP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黑体" w:hAnsi="黑体" w:eastAsia="黑体" w:cs="黑体"/>
          <w:sz w:val="36"/>
          <w:szCs w:val="36"/>
        </w:rPr>
      </w:pPr>
      <w:r>
        <w:rPr>
          <w:rFonts w:hint="eastAsia" w:ascii="黑体" w:hAnsi="黑体" w:eastAsia="黑体" w:cs="黑体"/>
          <w:sz w:val="36"/>
          <w:szCs w:val="36"/>
        </w:rPr>
        <w:t>第一章  竞选邀请</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eastAsia="仿宋_GB2312"/>
          <w:sz w:val="32"/>
          <w:szCs w:val="32"/>
          <w:u w:val="single"/>
        </w:rPr>
      </w:pP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一、采购项目名称：</w:t>
      </w:r>
      <w:r>
        <w:rPr>
          <w:rFonts w:hint="eastAsia" w:ascii="仿宋_GB2312" w:hAnsi="仿宋_GB2312" w:eastAsia="仿宋_GB2312" w:cs="仿宋_GB2312"/>
          <w:sz w:val="32"/>
          <w:szCs w:val="32"/>
          <w:lang w:eastAsia="zh-CN"/>
        </w:rPr>
        <w:t>网吧安全隐患排查整治</w:t>
      </w:r>
      <w:r>
        <w:rPr>
          <w:rFonts w:hint="eastAsia" w:ascii="仿宋_GB2312" w:hAnsi="仿宋_GB2312" w:eastAsia="仿宋_GB2312" w:cs="仿宋_GB2312"/>
          <w:sz w:val="32"/>
          <w:szCs w:val="32"/>
        </w:rPr>
        <w:t>服务</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二、警示条款：</w:t>
      </w:r>
      <w:r>
        <w:rPr>
          <w:rFonts w:hint="eastAsia" w:ascii="仿宋_GB2312" w:hAnsi="仿宋_GB2312" w:eastAsia="仿宋_GB2312" w:cs="仿宋_GB2312"/>
          <w:sz w:val="32"/>
          <w:szCs w:val="32"/>
        </w:rPr>
        <w:t>光明区文化广电旅游体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三、答疑事项：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时前凡有任何疑问的，请径向我单位咨询，逾期不予受理。</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四、采购时间：</w:t>
      </w:r>
      <w:r>
        <w:rPr>
          <w:rFonts w:hint="eastAsia" w:ascii="仿宋_GB2312" w:hAnsi="仿宋_GB2312" w:eastAsia="仿宋_GB2312" w:cs="仿宋_GB2312"/>
          <w:sz w:val="32"/>
          <w:szCs w:val="32"/>
        </w:rPr>
        <w:t>所有响应文件纸质版应于202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时00分(北京时间)之前提交6份到我单位，同时提供电子版或扫描版材料发送到（wgltzfk@szgm.gov.cn）。</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五、组织评审：</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如需参加评审，时间、地点另行</w:t>
      </w:r>
      <w:r>
        <w:rPr>
          <w:rFonts w:ascii="仿宋_GB2312" w:hAnsi="仿宋_GB2312" w:eastAsia="仿宋_GB2312" w:cs="仿宋_GB2312"/>
          <w:sz w:val="32"/>
          <w:szCs w:val="32"/>
        </w:rPr>
        <w:t>通知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六、采购结果公示：</w:t>
      </w:r>
      <w:r>
        <w:rPr>
          <w:rFonts w:hint="eastAsia" w:ascii="仿宋_GB2312" w:hAnsi="仿宋_GB2312" w:eastAsia="仿宋_GB2312" w:cs="仿宋_GB2312"/>
          <w:sz w:val="32"/>
          <w:szCs w:val="32"/>
        </w:rPr>
        <w:t>确定后将在光明区政府在线网站公示3日。</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七、免责声明：</w:t>
      </w:r>
      <w:r>
        <w:rPr>
          <w:rFonts w:hint="eastAsia" w:ascii="仿宋_GB2312" w:hAnsi="仿宋_GB2312" w:eastAsia="仿宋_GB2312" w:cs="仿宋_GB2312"/>
          <w:sz w:val="32"/>
          <w:szCs w:val="32"/>
        </w:rPr>
        <w:t>在采购过程或合同执行过程中，若新型冠状病毒</w:t>
      </w:r>
      <w:r>
        <w:rPr>
          <w:rFonts w:hint="eastAsia" w:ascii="仿宋_GB2312" w:hAnsi="仿宋_GB2312" w:eastAsia="仿宋_GB2312" w:cs="仿宋_GB2312"/>
          <w:sz w:val="32"/>
          <w:szCs w:val="32"/>
          <w:lang w:val="en-US" w:eastAsia="zh-CN"/>
        </w:rPr>
        <w:t>肺炎</w:t>
      </w:r>
      <w:r>
        <w:rPr>
          <w:rFonts w:hint="eastAsia" w:ascii="仿宋_GB2312" w:hAnsi="仿宋_GB2312" w:eastAsia="仿宋_GB2312" w:cs="仿宋_GB2312"/>
          <w:sz w:val="32"/>
          <w:szCs w:val="32"/>
        </w:rPr>
        <w:t>等不可抗力因素，导致旅游景区景点安全生产专项检查延期或取消，经甲、乙双方共同协商，可延迟或终止本次采购或合同。</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八、如有疑问请与我们联系，联系方式：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详细地址：光明区公共服务平台6</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室</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咨询电话：88</w:t>
      </w:r>
      <w:r>
        <w:rPr>
          <w:rFonts w:hint="eastAsia" w:ascii="仿宋_GB2312" w:hAnsi="仿宋_GB2312" w:eastAsia="仿宋_GB2312" w:cs="仿宋_GB2312"/>
          <w:sz w:val="32"/>
          <w:szCs w:val="32"/>
          <w:lang w:val="en-US" w:eastAsia="zh-CN"/>
        </w:rPr>
        <w:t>212144</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firstLine="640"/>
        <w:jc w:val="right"/>
        <w:textAlignment w:val="auto"/>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光明区文化广电旅游体育局</w:t>
      </w:r>
    </w:p>
    <w:p>
      <w:pPr>
        <w:keepNext w:val="0"/>
        <w:keepLines w:val="0"/>
        <w:pageBreakBefore w:val="0"/>
        <w:widowControl/>
        <w:kinsoku/>
        <w:wordWrap/>
        <w:overflowPunct/>
        <w:topLinePunct w:val="0"/>
        <w:autoSpaceDE/>
        <w:autoSpaceDN/>
        <w:bidi w:val="0"/>
        <w:adjustRightInd/>
        <w:snapToGrid/>
        <w:spacing w:line="480" w:lineRule="exact"/>
        <w:ind w:firstLine="5440" w:firstLineChars="1700"/>
        <w:textAlignment w:val="auto"/>
        <w:outlineLvl w:val="0"/>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日</w:t>
      </w:r>
    </w:p>
    <w:p/>
    <w:p>
      <w:pPr>
        <w:sectPr>
          <w:pgSz w:w="11906" w:h="16838"/>
          <w:pgMar w:top="1440" w:right="1800" w:bottom="1440" w:left="1800" w:header="851" w:footer="992" w:gutter="0"/>
          <w:pgNumType w:fmt="numberInDash"/>
          <w:cols w:space="720" w:num="1"/>
          <w:docGrid w:type="lines" w:linePitch="312" w:charSpace="0"/>
        </w:sectPr>
      </w:pPr>
    </w:p>
    <w:p>
      <w:pPr>
        <w:widowControl/>
        <w:spacing w:line="560" w:lineRule="exact"/>
        <w:jc w:val="center"/>
        <w:rPr>
          <w:rFonts w:ascii="黑体" w:hAnsi="黑体" w:eastAsia="黑体" w:cs="黑体"/>
          <w:sz w:val="36"/>
          <w:szCs w:val="36"/>
        </w:rPr>
      </w:pPr>
      <w:r>
        <w:rPr>
          <w:rFonts w:hint="eastAsia" w:ascii="黑体" w:hAnsi="黑体" w:eastAsia="黑体" w:cs="黑体"/>
          <w:sz w:val="36"/>
          <w:szCs w:val="36"/>
        </w:rPr>
        <w:t>第二章  采购项目要求</w:t>
      </w:r>
    </w:p>
    <w:p>
      <w:pPr>
        <w:widowControl/>
        <w:spacing w:line="560" w:lineRule="exact"/>
        <w:ind w:firstLine="640" w:firstLineChars="200"/>
        <w:rPr>
          <w:rFonts w:ascii="仿宋_GB2312" w:hAnsi="仿宋_GB2312" w:eastAsia="仿宋_GB2312" w:cs="仿宋_GB2312"/>
          <w:sz w:val="32"/>
          <w:szCs w:val="32"/>
        </w:rPr>
      </w:pPr>
    </w:p>
    <w:p>
      <w:pPr>
        <w:spacing w:line="560" w:lineRule="exact"/>
        <w:ind w:firstLine="720" w:firstLineChars="200"/>
        <w:rPr>
          <w:rFonts w:ascii="仿宋_GB2312" w:eastAsia="仿宋_GB2312"/>
          <w:sz w:val="36"/>
          <w:szCs w:val="36"/>
        </w:rPr>
      </w:pPr>
      <w:r>
        <w:rPr>
          <w:rFonts w:hint="eastAsia" w:ascii="黑体" w:hAnsi="黑体" w:eastAsia="黑体" w:cs="黑体"/>
          <w:sz w:val="36"/>
          <w:szCs w:val="36"/>
        </w:rPr>
        <w:t>第一部分  项目说明</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黑体"/>
          <w:bCs/>
          <w:sz w:val="32"/>
          <w:szCs w:val="32"/>
        </w:rPr>
        <w:t>一、</w:t>
      </w:r>
      <w:r>
        <w:rPr>
          <w:rFonts w:hint="eastAsia" w:ascii="黑体" w:hAnsi="黑体" w:eastAsia="黑体" w:cs="仿宋"/>
          <w:color w:val="000000"/>
          <w:sz w:val="32"/>
          <w:szCs w:val="32"/>
        </w:rPr>
        <w:t>采购项目概况</w:t>
      </w:r>
    </w:p>
    <w:tbl>
      <w:tblPr>
        <w:tblStyle w:val="10"/>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项目名称</w:t>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网吧安全隐患排查整治服务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位    置</w:t>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深圳市光明区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服务</w:t>
            </w:r>
            <w:r>
              <w:rPr>
                <w:rFonts w:hint="eastAsia" w:ascii="仿宋_GB2312" w:hAnsi="仿宋_GB2312" w:eastAsia="仿宋_GB2312" w:cs="仿宋_GB2312"/>
                <w:bCs/>
                <w:sz w:val="28"/>
                <w:szCs w:val="28"/>
                <w:lang w:eastAsia="zh-CN"/>
              </w:rPr>
              <w:t>期限</w:t>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8月</w:t>
            </w:r>
            <w:r>
              <w:rPr>
                <w:rFonts w:hint="eastAsia" w:ascii="仿宋_GB2312" w:hAnsi="仿宋_GB2312" w:eastAsia="仿宋_GB2312" w:cs="仿宋_GB2312"/>
                <w:sz w:val="28"/>
                <w:szCs w:val="28"/>
              </w:rPr>
              <w:t xml:space="preserve">-2021年 </w:t>
            </w:r>
            <w:r>
              <w:rPr>
                <w:rFonts w:hint="eastAsia" w:ascii="仿宋_GB2312" w:hAnsi="仿宋_GB2312" w:eastAsia="仿宋_GB2312" w:cs="仿宋_GB2312"/>
                <w:sz w:val="28"/>
                <w:szCs w:val="2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3"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服务内容</w:t>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对光明区201家网吧（含纳管网吧）开展安全隐患排查整治，</w:t>
            </w:r>
          </w:p>
          <w:p>
            <w:pPr>
              <w:pStyle w:val="2"/>
              <w:keepNext w:val="0"/>
              <w:keepLines w:val="0"/>
              <w:pageBreakBefore w:val="0"/>
              <w:kinsoku/>
              <w:wordWrap/>
              <w:overflowPunct/>
              <w:topLinePunct w:val="0"/>
              <w:autoSpaceDE/>
              <w:autoSpaceDN/>
              <w:bidi w:val="0"/>
              <w:adjustRightInd/>
              <w:snapToGrid/>
              <w:spacing w:line="5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2"/>
                <w:sz w:val="28"/>
                <w:szCs w:val="28"/>
                <w:lang w:val="en-US" w:eastAsia="zh-CN" w:bidi="ar-SA"/>
              </w:rPr>
              <w:t>检查内容包含电气线路，有无使用三无产品、劣质电器产品；电气线路有无乱拉乱接，有无超负荷用电，线路有无按标准敷设并套装保护，有无安装漏电保护开关；是否存在配电箱（柜）、弱电井、强电井内强电与弱电线路交织一起或者堆放易燃可燃杂物的情况；是否存在电气线路老化、绝缘层破损，线路受潮、水浸；是否存在电气线路过热、锈蚀、烧损、熔焊、电腐蚀等痕迹，造成漏电、短路、超负荷等问题。消防设施，是否按要求配备相应的消防设施，如干粉灭火器、应急照明灯、独立烟感等消防设施，数量是否充足；有无安装自动报警装置。消防布局，是否存在改变防火分区或破坏原有防火分隔，防火间距是否符合规范要求，占用防火间距；是否存在违规采用易燃可燃材料夹芯彩钢板进行隔断的情况。</w:t>
            </w:r>
            <w:r>
              <w:rPr>
                <w:rFonts w:hint="eastAsia" w:ascii="仿宋_GB2312" w:hAnsi="仿宋_GB2312" w:eastAsia="仿宋_GB2312" w:cs="仿宋_GB2312"/>
                <w:color w:val="000000"/>
                <w:sz w:val="28"/>
                <w:szCs w:val="28"/>
                <w:lang w:val="en-US" w:eastAsia="zh-CN"/>
              </w:rPr>
              <w:t>（具体以合同约定为准）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工作成效</w:t>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4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一是隐患排查整治与安全生产培训相结合，强化网吧经营者的安全意识，提升安全常识及安全操作技能；</w:t>
            </w:r>
          </w:p>
          <w:p>
            <w:pPr>
              <w:keepNext w:val="0"/>
              <w:keepLines w:val="0"/>
              <w:pageBreakBefore w:val="0"/>
              <w:kinsoku/>
              <w:wordWrap/>
              <w:overflowPunct/>
              <w:topLinePunct w:val="0"/>
              <w:autoSpaceDE/>
              <w:autoSpaceDN/>
              <w:bidi w:val="0"/>
              <w:adjustRightInd/>
              <w:snapToGrid/>
              <w:spacing w:line="54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二是指导网吧经营者进一步规范各类安全生产制度，完善安全生产管理台帐；</w:t>
            </w:r>
          </w:p>
          <w:p>
            <w:pPr>
              <w:keepNext w:val="0"/>
              <w:keepLines w:val="0"/>
              <w:pageBreakBefore w:val="0"/>
              <w:kinsoku/>
              <w:wordWrap/>
              <w:overflowPunct/>
              <w:topLinePunct w:val="0"/>
              <w:autoSpaceDE/>
              <w:autoSpaceDN/>
              <w:bidi w:val="0"/>
              <w:adjustRightInd/>
              <w:snapToGrid/>
              <w:spacing w:line="54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2"/>
                <w:sz w:val="28"/>
                <w:szCs w:val="28"/>
                <w:lang w:val="en-US" w:eastAsia="zh-CN" w:bidi="ar-SA"/>
              </w:rPr>
              <w:t>三是指导网吧经营者抓好安全隐患的后续整治工作，确保一般安全问题得到彻底解决，对于较为严重的安全隐患，要进行汇总分类整理，及时通报相关职能部门进行处置，同步做好跟踪掌握。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采购单位</w:t>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深圳市光明区文化广电旅游体育局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sz w:val="28"/>
                <w:szCs w:val="36"/>
              </w:rPr>
            </w:pPr>
            <w:r>
              <w:rPr>
                <w:rFonts w:hint="eastAsia" w:ascii="仿宋_GB2312" w:hAnsi="仿宋_GB2312" w:eastAsia="仿宋_GB2312" w:cs="仿宋_GB2312"/>
                <w:sz w:val="28"/>
                <w:szCs w:val="36"/>
              </w:rPr>
              <w:t>控制金额</w:t>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万（报价高于预算价格无效）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完 工 期</w:t>
            </w:r>
          </w:p>
        </w:tc>
        <w:tc>
          <w:tcPr>
            <w:tcW w:w="7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000000"/>
                <w:sz w:val="28"/>
                <w:szCs w:val="28"/>
              </w:rPr>
            </w:pPr>
            <w:r>
              <w:rPr>
                <w:rFonts w:hint="eastAsia" w:ascii="仿宋_GB2312" w:hAnsi="仿宋_GB2312" w:eastAsia="仿宋_GB2312" w:cs="仿宋_GB2312"/>
                <w:sz w:val="28"/>
                <w:szCs w:val="28"/>
              </w:rPr>
              <w:t>2021年12月</w:t>
            </w:r>
          </w:p>
        </w:tc>
      </w:tr>
    </w:tbl>
    <w:p>
      <w:pPr>
        <w:pStyle w:val="12"/>
        <w:spacing w:beforeLines="0" w:afterLines="0" w:line="560" w:lineRule="exact"/>
        <w:ind w:firstLine="640" w:firstLineChars="200"/>
        <w:rPr>
          <w:rFonts w:hint="eastAsia" w:ascii="黑体" w:hAnsi="黑体" w:eastAsia="黑体" w:cs="黑体"/>
          <w:bCs/>
          <w:sz w:val="32"/>
          <w:szCs w:val="32"/>
          <w:lang w:eastAsia="zh-CN"/>
        </w:rPr>
      </w:pPr>
      <w:r>
        <w:rPr>
          <w:rFonts w:hint="eastAsia" w:ascii="黑体" w:hAnsi="黑体" w:cs="黑体"/>
          <w:bCs/>
          <w:sz w:val="32"/>
          <w:szCs w:val="32"/>
        </w:rPr>
        <w:t>二、</w:t>
      </w:r>
      <w:r>
        <w:rPr>
          <w:rFonts w:hint="eastAsia" w:ascii="黑体" w:hAnsi="黑体" w:cs="仿宋"/>
          <w:color w:val="000000"/>
          <w:sz w:val="32"/>
          <w:szCs w:val="32"/>
        </w:rPr>
        <w:t>项目管理</w:t>
      </w:r>
      <w:r>
        <w:rPr>
          <w:rFonts w:hint="eastAsia" w:ascii="黑体" w:hAnsi="黑体" w:cs="仿宋"/>
          <w:color w:val="000000"/>
          <w:sz w:val="32"/>
          <w:szCs w:val="32"/>
          <w:lang w:eastAsia="zh-CN"/>
        </w:rPr>
        <w:t>安排</w:t>
      </w:r>
    </w:p>
    <w:p>
      <w:pPr>
        <w:pStyle w:val="2"/>
        <w:keepNext w:val="0"/>
        <w:keepLines w:val="0"/>
        <w:pageBreakBefore w:val="0"/>
        <w:kinsoku/>
        <w:wordWrap/>
        <w:overflowPunct/>
        <w:topLinePunct w:val="0"/>
        <w:bidi w:val="0"/>
        <w:adjustRightInd/>
        <w:snapToGrid/>
        <w:spacing w:line="440" w:lineRule="exact"/>
        <w:ind w:firstLine="64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（一）工作安排：</w:t>
      </w:r>
    </w:p>
    <w:p>
      <w:pPr>
        <w:pStyle w:val="2"/>
        <w:keepNext w:val="0"/>
        <w:keepLines w:val="0"/>
        <w:pageBreakBefore w:val="0"/>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1.初查阶段（8月初至9月初）。在全区内对所有网吧开展第一轮隐患排查整治工作。</w:t>
      </w:r>
    </w:p>
    <w:p>
      <w:pPr>
        <w:pStyle w:val="2"/>
        <w:keepNext w:val="0"/>
        <w:keepLines w:val="0"/>
        <w:pageBreakBefore w:val="0"/>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2.整改阶段（9月初至9月中旬）。督促立即整改，需要限期整改的隐患，给予整改期限10至15天内消除所有安全隐患。</w:t>
      </w:r>
    </w:p>
    <w:p>
      <w:pPr>
        <w:pStyle w:val="2"/>
        <w:keepNext w:val="0"/>
        <w:keepLines w:val="0"/>
        <w:pageBreakBefore w:val="0"/>
        <w:kinsoku/>
        <w:wordWrap/>
        <w:overflowPunct/>
        <w:topLinePunct w:val="0"/>
        <w:autoSpaceDE/>
        <w:autoSpaceDN/>
        <w:bidi w:val="0"/>
        <w:adjustRightInd/>
        <w:snapToGrid/>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3.复查总结</w:t>
      </w:r>
      <w:r>
        <w:rPr>
          <w:rFonts w:hint="eastAsia" w:ascii="仿宋_GB2312" w:hAnsi="仿宋_GB2312" w:eastAsia="仿宋_GB2312" w:cs="仿宋_GB2312"/>
          <w:sz w:val="32"/>
          <w:szCs w:val="32"/>
        </w:rPr>
        <w:t>（9月中旬至9月底）。根据此次隐患排查出的各类问题，切实消除排查出场所的各类安全隐患，列出整改时限表，进行认真整改，进一步巩固，汇总制定排查整治报告。</w:t>
      </w:r>
    </w:p>
    <w:p>
      <w:pPr>
        <w:keepNext w:val="0"/>
        <w:keepLines w:val="0"/>
        <w:pageBreakBefore w:val="0"/>
        <w:kinsoku/>
        <w:wordWrap/>
        <w:overflowPunct/>
        <w:topLinePunct w:val="0"/>
        <w:bidi w:val="0"/>
        <w:adjustRightInd/>
        <w:snapToGrid/>
        <w:spacing w:line="440" w:lineRule="exact"/>
        <w:ind w:firstLine="642"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（二）工作</w:t>
      </w:r>
      <w:r>
        <w:rPr>
          <w:rFonts w:hint="eastAsia" w:ascii="仿宋_GB2312" w:hAnsi="仿宋_GB2312" w:eastAsia="仿宋_GB2312" w:cs="仿宋_GB2312"/>
          <w:b/>
          <w:sz w:val="32"/>
          <w:szCs w:val="32"/>
        </w:rPr>
        <w:t>要求：</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1.配置足够的检查人员：每次检查人员不得少于两名。</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2.工程师要具备一定的资质：</w:t>
      </w:r>
      <w:r>
        <w:rPr>
          <w:rFonts w:hint="eastAsia" w:ascii="仿宋_GB2312" w:hAnsi="仿宋" w:eastAsia="仿宋_GB2312" w:cs="仿宋"/>
          <w:sz w:val="32"/>
          <w:szCs w:val="32"/>
        </w:rPr>
        <w:t>对上述场所，每次检查需派出不少于2名注册安全工程师 (或不低于上述资质的安全类资格证)，具有3年以上安全检查工作经历的安全专家</w:t>
      </w:r>
      <w:r>
        <w:rPr>
          <w:rFonts w:hint="eastAsia" w:ascii="仿宋_GB2312" w:hAnsi="仿宋" w:eastAsia="仿宋_GB2312" w:cs="仿宋"/>
          <w:sz w:val="32"/>
          <w:szCs w:val="32"/>
          <w:lang w:eastAsia="zh-CN"/>
        </w:rPr>
        <w:t>。</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3.检查次数要求：</w:t>
      </w:r>
      <w:r>
        <w:rPr>
          <w:rFonts w:hint="eastAsia" w:ascii="仿宋_GB2312" w:hAnsi="仿宋" w:eastAsia="仿宋_GB2312" w:cs="仿宋"/>
          <w:sz w:val="32"/>
          <w:szCs w:val="32"/>
          <w:lang w:eastAsia="zh-CN"/>
        </w:rPr>
        <w:t>主要包含一轮排查和一轮整改复查、编制隐患排查整治报告等，</w:t>
      </w:r>
      <w:r>
        <w:rPr>
          <w:rFonts w:hint="eastAsia" w:ascii="仿宋_GB2312" w:hAnsi="仿宋" w:eastAsia="仿宋_GB2312" w:cs="仿宋"/>
          <w:sz w:val="32"/>
          <w:szCs w:val="32"/>
        </w:rPr>
        <w:t>每</w:t>
      </w:r>
      <w:r>
        <w:rPr>
          <w:rFonts w:hint="eastAsia" w:ascii="仿宋_GB2312" w:hAnsi="仿宋" w:eastAsia="仿宋_GB2312" w:cs="仿宋"/>
          <w:sz w:val="32"/>
          <w:szCs w:val="32"/>
          <w:lang w:eastAsia="zh-CN"/>
        </w:rPr>
        <w:t>家</w:t>
      </w:r>
      <w:r>
        <w:rPr>
          <w:rFonts w:hint="eastAsia" w:ascii="仿宋_GB2312" w:hAnsi="仿宋" w:eastAsia="仿宋_GB2312" w:cs="仿宋"/>
          <w:sz w:val="32"/>
          <w:szCs w:val="32"/>
        </w:rPr>
        <w:t>场所检查次数不少于</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次，</w:t>
      </w:r>
      <w:r>
        <w:rPr>
          <w:rFonts w:hint="eastAsia" w:ascii="仿宋_GB2312" w:hAnsi="仿宋" w:eastAsia="仿宋_GB2312" w:cs="仿宋"/>
          <w:sz w:val="32"/>
          <w:szCs w:val="32"/>
          <w:lang w:eastAsia="zh-CN"/>
        </w:rPr>
        <w:t>全程参与检查工作，</w:t>
      </w:r>
      <w:r>
        <w:rPr>
          <w:rFonts w:hint="eastAsia" w:ascii="仿宋_GB2312" w:hAnsi="仿宋" w:eastAsia="仿宋_GB2312" w:cs="仿宋"/>
          <w:sz w:val="32"/>
          <w:szCs w:val="32"/>
        </w:rPr>
        <w:t>出具相应检查报告，指出问题，并跟进整改情况，出具整改报告。（具体以合同约定为准）</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三、商务需求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报价要求：本项目服务费采用包干制，应包括服务成本、法定税费和企业的利润。由投标供应商根据采购文件所提供的资料自行测算响应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（二）付款方式：双方合同中协商。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（三）履约担保金：双方合同中协商。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（四）违约责任：双方合同中协商。</w:t>
      </w:r>
    </w:p>
    <w:p>
      <w:pPr>
        <w:pStyle w:val="12"/>
        <w:spacing w:beforeLines="0" w:afterLines="0" w:line="560" w:lineRule="exact"/>
        <w:ind w:firstLine="640" w:firstLineChars="200"/>
        <w:rPr>
          <w:rFonts w:ascii="黑体" w:hAnsi="黑体" w:cs="黑体"/>
          <w:bCs/>
          <w:sz w:val="32"/>
          <w:szCs w:val="32"/>
        </w:rPr>
      </w:pPr>
      <w:r>
        <w:rPr>
          <w:rFonts w:hint="eastAsia" w:ascii="黑体" w:hAnsi="黑体" w:cs="黑体"/>
          <w:bCs/>
          <w:sz w:val="32"/>
          <w:szCs w:val="32"/>
        </w:rPr>
        <w:t>四、其他要求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（一）因中标单位原因，未能按规定时间完成有关工作的，每延误一天，采购方可在支付合同余款中扣除合同价款千分之一。中标单位延误超过30天，采购方有权单方解除合同并要求中标单位赔偿损失。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如中标单位提供的咨询服务文件不符合质量要求，必须在采购方提出要求后7天内无条件修改，其费用由中标单位承担。若质量仍不符合项目要求或经修改后仍不符合项目要求的，采购方有权单方解除合同并要求中标单位赔偿损失。</w:t>
      </w:r>
    </w:p>
    <w:p>
      <w:pPr>
        <w:widowControl/>
        <w:spacing w:line="560" w:lineRule="exact"/>
        <w:rPr>
          <w:rFonts w:ascii="黑体" w:hAnsi="黑体" w:eastAsia="黑体" w:cs="黑体"/>
          <w:sz w:val="36"/>
          <w:szCs w:val="36"/>
        </w:rPr>
      </w:pPr>
    </w:p>
    <w:p>
      <w:pPr>
        <w:spacing w:line="560" w:lineRule="exact"/>
        <w:ind w:firstLine="720" w:firstLineChars="200"/>
        <w:rPr>
          <w:rFonts w:ascii="黑体" w:hAnsi="黑体" w:eastAsia="黑体" w:cs="黑体"/>
          <w:sz w:val="36"/>
          <w:szCs w:val="36"/>
        </w:rPr>
      </w:pPr>
      <w:r>
        <w:rPr>
          <w:rFonts w:hint="eastAsia" w:ascii="黑体" w:hAnsi="黑体" w:eastAsia="黑体" w:cs="黑体"/>
          <w:sz w:val="36"/>
          <w:szCs w:val="36"/>
        </w:rPr>
        <w:t>第二部分  项目评分</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一、评审方法</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综合评分法：是指响应文件满足采购需求文件全部实质性要求，且按照评审因素的量化指标评审得分最高的供应商为中选候选供应商的评审方法。</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二、价格分计算方法说明</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采用低价优先法计算，即满足采购需求文件要求且响应价格最低的响应报价为评审基准价，其价格分为满分。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评审过程中，不得去掉报价中的最高报价和最低报价。</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供应商不得以低于成本的报价竞选，供应商报价低于本项目财政预算15%时，评审委员会有权要求其对成本构成进行说明；如供应商没有附上合理的理由或不按要求提供低价说明，可视为不被接受有风险的报价。</w:t>
      </w:r>
    </w:p>
    <w:p>
      <w:pPr>
        <w:spacing w:line="560" w:lineRule="exact"/>
        <w:ind w:firstLine="640" w:firstLineChars="200"/>
        <w:rPr>
          <w:rFonts w:hint="eastAsia" w:ascii="黑体" w:hAnsi="黑体" w:eastAsia="黑体" w:cs="仿宋"/>
          <w:color w:val="000000"/>
          <w:sz w:val="32"/>
          <w:szCs w:val="32"/>
        </w:rPr>
      </w:pPr>
    </w:p>
    <w:p>
      <w:pPr>
        <w:pStyle w:val="2"/>
        <w:rPr>
          <w:rFonts w:hint="eastAsia" w:ascii="黑体" w:hAnsi="黑体" w:eastAsia="黑体" w:cs="仿宋"/>
          <w:color w:val="000000"/>
          <w:sz w:val="32"/>
          <w:szCs w:val="32"/>
        </w:rPr>
      </w:pPr>
    </w:p>
    <w:p>
      <w:pPr>
        <w:spacing w:line="560" w:lineRule="exact"/>
        <w:ind w:firstLine="640" w:firstLineChars="200"/>
        <w:rPr>
          <w:rFonts w:hint="eastAsia" w:ascii="黑体" w:hAnsi="黑体" w:eastAsia="黑体" w:cs="仿宋"/>
          <w:color w:val="000000"/>
          <w:sz w:val="32"/>
          <w:szCs w:val="32"/>
        </w:rPr>
      </w:pPr>
    </w:p>
    <w:p>
      <w:pPr>
        <w:spacing w:line="560" w:lineRule="exact"/>
        <w:ind w:firstLine="640" w:firstLineChars="200"/>
        <w:rPr>
          <w:rFonts w:hint="eastAsia" w:ascii="黑体" w:hAnsi="黑体" w:eastAsia="黑体" w:cs="仿宋"/>
          <w:color w:val="000000"/>
          <w:sz w:val="32"/>
          <w:szCs w:val="32"/>
        </w:rPr>
      </w:pPr>
    </w:p>
    <w:p>
      <w:pPr>
        <w:spacing w:line="560" w:lineRule="exact"/>
        <w:ind w:firstLine="640" w:firstLineChars="200"/>
        <w:rPr>
          <w:rFonts w:hint="eastAsia" w:ascii="黑体" w:hAnsi="黑体" w:eastAsia="黑体" w:cs="仿宋"/>
          <w:color w:val="000000"/>
          <w:sz w:val="32"/>
          <w:szCs w:val="32"/>
        </w:rPr>
      </w:pPr>
    </w:p>
    <w:p>
      <w:pPr>
        <w:spacing w:line="560" w:lineRule="exact"/>
        <w:ind w:firstLine="640" w:firstLineChars="200"/>
        <w:rPr>
          <w:rFonts w:hint="eastAsia" w:ascii="黑体" w:hAnsi="黑体" w:eastAsia="黑体" w:cs="仿宋"/>
          <w:color w:val="000000"/>
          <w:sz w:val="32"/>
          <w:szCs w:val="32"/>
        </w:rPr>
      </w:pPr>
    </w:p>
    <w:p>
      <w:pPr>
        <w:spacing w:line="560" w:lineRule="exact"/>
        <w:ind w:firstLine="640" w:firstLineChars="200"/>
        <w:rPr>
          <w:rFonts w:hint="eastAsia" w:ascii="黑体" w:hAnsi="黑体" w:eastAsia="黑体" w:cs="仿宋"/>
          <w:color w:val="000000"/>
          <w:sz w:val="32"/>
          <w:szCs w:val="32"/>
        </w:rPr>
      </w:pPr>
    </w:p>
    <w:p>
      <w:pPr>
        <w:spacing w:line="560" w:lineRule="exact"/>
        <w:ind w:firstLine="640" w:firstLineChars="200"/>
        <w:rPr>
          <w:rFonts w:hint="eastAsia" w:ascii="黑体" w:hAnsi="黑体" w:eastAsia="黑体" w:cs="仿宋"/>
          <w:color w:val="000000"/>
          <w:sz w:val="32"/>
          <w:szCs w:val="32"/>
        </w:rPr>
      </w:pPr>
    </w:p>
    <w:p>
      <w:pPr>
        <w:spacing w:line="560" w:lineRule="exact"/>
        <w:ind w:firstLine="640" w:firstLineChars="200"/>
        <w:rPr>
          <w:rFonts w:hint="eastAsia" w:ascii="黑体" w:hAnsi="黑体" w:eastAsia="黑体" w:cs="仿宋"/>
          <w:color w:val="000000"/>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三、项目评分表</w:t>
      </w:r>
    </w:p>
    <w:p>
      <w:pPr>
        <w:pStyle w:val="9"/>
        <w:ind w:firstLine="560"/>
      </w:pPr>
    </w:p>
    <w:tbl>
      <w:tblPr>
        <w:tblStyle w:val="10"/>
        <w:tblW w:w="8472"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33"/>
        <w:gridCol w:w="1471"/>
        <w:gridCol w:w="5067"/>
        <w:gridCol w:w="90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0" w:hRule="atLeast"/>
          <w:tblHeader/>
        </w:trPr>
        <w:tc>
          <w:tcPr>
            <w:tcW w:w="1033" w:type="dxa"/>
            <w:vAlign w:val="center"/>
          </w:tcPr>
          <w:p>
            <w:pPr>
              <w:rPr>
                <w:rFonts w:ascii="仿宋_GB2312" w:eastAsia="仿宋_GB2312" w:cs="宋体" w:hAnsiTheme="minorEastAsia"/>
                <w:b/>
                <w:sz w:val="24"/>
              </w:rPr>
            </w:pPr>
            <w:r>
              <w:rPr>
                <w:rFonts w:hint="eastAsia" w:ascii="仿宋_GB2312" w:eastAsia="仿宋_GB2312" w:cs="宋体" w:hAnsiTheme="minorEastAsia"/>
                <w:b/>
                <w:sz w:val="24"/>
              </w:rPr>
              <w:t>类  别</w:t>
            </w:r>
          </w:p>
        </w:tc>
        <w:tc>
          <w:tcPr>
            <w:tcW w:w="1471" w:type="dxa"/>
            <w:vAlign w:val="center"/>
          </w:tcPr>
          <w:p>
            <w:pPr>
              <w:jc w:val="center"/>
              <w:rPr>
                <w:rFonts w:ascii="仿宋_GB2312" w:eastAsia="仿宋_GB2312" w:cs="宋体" w:hAnsiTheme="minorEastAsia"/>
                <w:b/>
                <w:sz w:val="24"/>
              </w:rPr>
            </w:pPr>
            <w:r>
              <w:rPr>
                <w:rFonts w:hint="eastAsia" w:ascii="仿宋_GB2312" w:eastAsia="仿宋_GB2312" w:cs="宋体" w:hAnsiTheme="minorEastAsia"/>
                <w:b/>
                <w:sz w:val="24"/>
              </w:rPr>
              <w:t>评分项目</w:t>
            </w:r>
          </w:p>
        </w:tc>
        <w:tc>
          <w:tcPr>
            <w:tcW w:w="5067" w:type="dxa"/>
            <w:vAlign w:val="center"/>
          </w:tcPr>
          <w:p>
            <w:pPr>
              <w:jc w:val="center"/>
              <w:rPr>
                <w:rFonts w:ascii="仿宋_GB2312" w:eastAsia="仿宋_GB2312" w:cs="宋体" w:hAnsiTheme="minorEastAsia"/>
                <w:b/>
                <w:sz w:val="24"/>
              </w:rPr>
            </w:pPr>
            <w:r>
              <w:rPr>
                <w:rFonts w:hint="eastAsia" w:ascii="仿宋_GB2312" w:eastAsia="仿宋_GB2312" w:cs="宋体" w:hAnsiTheme="minorEastAsia"/>
                <w:b/>
                <w:sz w:val="24"/>
              </w:rPr>
              <w:t>备   注</w:t>
            </w:r>
          </w:p>
        </w:tc>
        <w:tc>
          <w:tcPr>
            <w:tcW w:w="901" w:type="dxa"/>
            <w:vAlign w:val="center"/>
          </w:tcPr>
          <w:p>
            <w:pPr>
              <w:rPr>
                <w:rFonts w:ascii="仿宋_GB2312" w:eastAsia="仿宋_GB2312" w:cs="宋体" w:hAnsiTheme="minorEastAsia"/>
                <w:b/>
                <w:sz w:val="24"/>
              </w:rPr>
            </w:pPr>
            <w:r>
              <w:rPr>
                <w:rFonts w:hint="eastAsia" w:ascii="仿宋_GB2312" w:eastAsia="仿宋_GB2312" w:cs="宋体" w:hAnsiTheme="minorEastAsia"/>
                <w:b/>
                <w:sz w:val="24"/>
              </w:rPr>
              <w:t>分 值</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66" w:hRule="atLeast"/>
        </w:trPr>
        <w:tc>
          <w:tcPr>
            <w:tcW w:w="1033" w:type="dxa"/>
            <w:vMerge w:val="restart"/>
            <w:vAlign w:val="center"/>
          </w:tcPr>
          <w:p>
            <w:pPr>
              <w:rPr>
                <w:rFonts w:ascii="仿宋_GB2312" w:eastAsia="仿宋_GB2312" w:cs="宋体" w:hAnsiTheme="minorEastAsia"/>
                <w:sz w:val="24"/>
              </w:rPr>
            </w:pPr>
            <w:r>
              <w:rPr>
                <w:rFonts w:hint="eastAsia" w:ascii="仿宋_GB2312" w:eastAsia="仿宋_GB2312" w:cs="宋体" w:hAnsiTheme="minorEastAsia"/>
                <w:sz w:val="24"/>
              </w:rPr>
              <w:t>商务评分（J）</w:t>
            </w:r>
          </w:p>
          <w:p>
            <w:pPr>
              <w:rPr>
                <w:rFonts w:ascii="仿宋_GB2312" w:eastAsia="仿宋_GB2312" w:cs="宋体" w:hAnsiTheme="minorEastAsia"/>
                <w:sz w:val="24"/>
              </w:rPr>
            </w:pPr>
            <w:r>
              <w:rPr>
                <w:rFonts w:hint="eastAsia" w:ascii="仿宋_GB2312" w:eastAsia="仿宋_GB2312" w:cs="宋体" w:hAnsiTheme="minorEastAsia"/>
                <w:sz w:val="24"/>
              </w:rPr>
              <w:t>（合计44</w:t>
            </w:r>
          </w:p>
          <w:p>
            <w:pPr>
              <w:rPr>
                <w:rFonts w:ascii="仿宋_GB2312" w:eastAsia="仿宋_GB2312" w:cs="Arial" w:hAnsiTheme="minorEastAsia"/>
                <w:b/>
                <w:sz w:val="24"/>
              </w:rPr>
            </w:pPr>
            <w:r>
              <w:rPr>
                <w:rFonts w:hint="eastAsia" w:ascii="仿宋_GB2312" w:eastAsia="仿宋_GB2312" w:cs="宋体" w:hAnsiTheme="minorEastAsia"/>
                <w:sz w:val="24"/>
              </w:rPr>
              <w:t>分）</w:t>
            </w:r>
          </w:p>
        </w:tc>
        <w:tc>
          <w:tcPr>
            <w:tcW w:w="1471" w:type="dxa"/>
            <w:vAlign w:val="center"/>
          </w:tcPr>
          <w:p>
            <w:pPr>
              <w:rPr>
                <w:rFonts w:ascii="仿宋_GB2312" w:eastAsia="仿宋_GB2312" w:cs="宋体" w:hAnsiTheme="minorEastAsia"/>
                <w:sz w:val="24"/>
              </w:rPr>
            </w:pPr>
            <w:r>
              <w:rPr>
                <w:rFonts w:hint="eastAsia" w:ascii="仿宋_GB2312" w:eastAsia="仿宋_GB2312" w:cs="宋体" w:hAnsiTheme="minorEastAsia"/>
                <w:sz w:val="24"/>
              </w:rPr>
              <w:t>投标人通过相关认证情况</w:t>
            </w:r>
          </w:p>
        </w:tc>
        <w:tc>
          <w:tcPr>
            <w:tcW w:w="5067" w:type="dxa"/>
          </w:tcPr>
          <w:p>
            <w:pPr>
              <w:rPr>
                <w:rFonts w:ascii="仿宋_GB2312" w:eastAsia="仿宋_GB2312" w:cs="宋体" w:hAnsiTheme="minorEastAsia"/>
                <w:sz w:val="24"/>
              </w:rPr>
            </w:pPr>
            <w:r>
              <w:rPr>
                <w:rFonts w:hint="eastAsia" w:ascii="仿宋_GB2312" w:eastAsia="仿宋_GB2312" w:cs="宋体" w:hAnsiTheme="minorEastAsia"/>
                <w:sz w:val="24"/>
              </w:rPr>
              <w:t>1、</w:t>
            </w:r>
            <w:r>
              <w:rPr>
                <w:rFonts w:hint="eastAsia" w:ascii="仿宋_GB2312" w:eastAsia="仿宋_GB2312" w:cs="宋体" w:hAnsiTheme="minorEastAsia"/>
                <w:sz w:val="24"/>
              </w:rPr>
              <w:tab/>
            </w:r>
            <w:r>
              <w:rPr>
                <w:rFonts w:hint="eastAsia" w:ascii="仿宋_GB2312" w:eastAsia="仿宋_GB2312" w:cs="宋体" w:hAnsiTheme="minorEastAsia"/>
                <w:sz w:val="24"/>
              </w:rPr>
              <w:t>投标人具备省级及以上质量技术监督机构颁发的检验检测机构资质认定证书，得3分；</w:t>
            </w:r>
          </w:p>
          <w:p>
            <w:pPr>
              <w:rPr>
                <w:rFonts w:ascii="仿宋_GB2312" w:eastAsia="仿宋_GB2312" w:cs="宋体" w:hAnsiTheme="minorEastAsia"/>
                <w:sz w:val="24"/>
              </w:rPr>
            </w:pPr>
            <w:r>
              <w:rPr>
                <w:rFonts w:hint="eastAsia" w:ascii="仿宋_GB2312" w:eastAsia="仿宋_GB2312" w:cs="宋体" w:hAnsiTheme="minorEastAsia"/>
                <w:sz w:val="24"/>
              </w:rPr>
              <w:t>2、</w:t>
            </w:r>
            <w:r>
              <w:rPr>
                <w:rFonts w:hint="eastAsia" w:ascii="仿宋_GB2312" w:eastAsia="仿宋_GB2312" w:cs="宋体" w:hAnsiTheme="minorEastAsia"/>
                <w:sz w:val="24"/>
              </w:rPr>
              <w:tab/>
            </w:r>
            <w:r>
              <w:rPr>
                <w:rFonts w:hint="eastAsia" w:ascii="仿宋_GB2312" w:eastAsia="仿宋_GB2312" w:cs="宋体" w:hAnsiTheme="minorEastAsia"/>
                <w:sz w:val="24"/>
              </w:rPr>
              <w:t>投标人具备国家特种设备检验检测机构核准证书，得3分。</w:t>
            </w:r>
          </w:p>
          <w:p>
            <w:pPr>
              <w:rPr>
                <w:rFonts w:ascii="仿宋_GB2312" w:eastAsia="仿宋_GB2312" w:cs="宋体" w:hAnsiTheme="minorEastAsia"/>
                <w:sz w:val="24"/>
              </w:rPr>
            </w:pPr>
            <w:r>
              <w:rPr>
                <w:rFonts w:hint="eastAsia" w:ascii="仿宋_GB2312" w:eastAsia="仿宋_GB2312" w:cs="宋体" w:hAnsiTheme="minorEastAsia"/>
                <w:sz w:val="24"/>
              </w:rPr>
              <w:t>3、投标人具有有效的ISO9001质量管理体系认证证书、ISO14001环境管理体系认证证书、GB/T45001职业健康安全管理认证证书，得2分，缺任何一项不得分。</w:t>
            </w:r>
          </w:p>
          <w:p>
            <w:pPr>
              <w:rPr>
                <w:rFonts w:ascii="仿宋_GB2312" w:eastAsia="仿宋_GB2312" w:cs="宋体" w:hAnsiTheme="minorEastAsia"/>
                <w:sz w:val="24"/>
              </w:rPr>
            </w:pPr>
            <w:r>
              <w:rPr>
                <w:rFonts w:hint="eastAsia" w:ascii="仿宋_GB2312" w:eastAsia="仿宋_GB2312" w:cs="宋体" w:hAnsiTheme="minorEastAsia"/>
                <w:sz w:val="24"/>
              </w:rPr>
              <w:t>本项最高得分为8分。</w:t>
            </w:r>
          </w:p>
          <w:p>
            <w:pPr>
              <w:rPr>
                <w:rFonts w:ascii="仿宋_GB2312" w:eastAsia="仿宋_GB2312" w:cs="宋体" w:hAnsiTheme="minorEastAsia"/>
                <w:sz w:val="24"/>
              </w:rPr>
            </w:pPr>
            <w:r>
              <w:rPr>
                <w:rFonts w:hint="eastAsia" w:ascii="仿宋_GB2312" w:eastAsia="仿宋_GB2312" w:cs="宋体" w:hAnsiTheme="minorEastAsia"/>
                <w:sz w:val="24"/>
              </w:rPr>
              <w:t>注：相关证明文件扫描件或复印件（原件备查）作为证明资料，以此作为得分依据。</w:t>
            </w:r>
          </w:p>
        </w:tc>
        <w:tc>
          <w:tcPr>
            <w:tcW w:w="901" w:type="dxa"/>
            <w:vAlign w:val="center"/>
          </w:tcPr>
          <w:p>
            <w:pPr>
              <w:jc w:val="center"/>
              <w:rPr>
                <w:rFonts w:ascii="仿宋_GB2312" w:eastAsia="仿宋_GB2312" w:cs="宋体" w:hAnsiTheme="minorEastAsia"/>
                <w:snapToGrid w:val="0"/>
                <w:kern w:val="0"/>
                <w:sz w:val="24"/>
              </w:rPr>
            </w:pPr>
            <w:r>
              <w:rPr>
                <w:rFonts w:hint="eastAsia" w:ascii="仿宋_GB2312" w:eastAsia="仿宋_GB2312" w:cs="宋体" w:hAnsiTheme="minorEastAsia"/>
                <w:snapToGrid w:val="0"/>
                <w:kern w:val="0"/>
                <w:sz w:val="24"/>
              </w:rPr>
              <w:t>8分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66" w:hRule="atLeast"/>
        </w:trPr>
        <w:tc>
          <w:tcPr>
            <w:tcW w:w="1033" w:type="dxa"/>
            <w:vMerge w:val="continue"/>
            <w:vAlign w:val="center"/>
          </w:tcPr>
          <w:p>
            <w:pPr>
              <w:adjustRightInd w:val="0"/>
              <w:snapToGrid w:val="0"/>
              <w:spacing w:after="60"/>
              <w:jc w:val="center"/>
              <w:rPr>
                <w:rFonts w:ascii="仿宋_GB2312" w:eastAsia="仿宋_GB2312" w:cs="Arial" w:hAnsiTheme="minorEastAsia"/>
                <w:b/>
                <w:sz w:val="24"/>
              </w:rPr>
            </w:pPr>
          </w:p>
        </w:tc>
        <w:tc>
          <w:tcPr>
            <w:tcW w:w="1471" w:type="dxa"/>
            <w:vAlign w:val="center"/>
          </w:tcPr>
          <w:p>
            <w:pPr>
              <w:rPr>
                <w:rFonts w:ascii="仿宋_GB2312" w:eastAsia="仿宋_GB2312" w:cs="宋体" w:hAnsiTheme="minorEastAsia"/>
                <w:sz w:val="24"/>
              </w:rPr>
            </w:pPr>
            <w:r>
              <w:rPr>
                <w:rFonts w:hint="eastAsia" w:ascii="仿宋_GB2312" w:eastAsia="仿宋_GB2312" w:cs="宋体" w:hAnsiTheme="minorEastAsia"/>
                <w:sz w:val="24"/>
              </w:rPr>
              <w:t>投标人同类项目业绩情况</w:t>
            </w:r>
          </w:p>
        </w:tc>
        <w:tc>
          <w:tcPr>
            <w:tcW w:w="5067" w:type="dxa"/>
          </w:tcPr>
          <w:p>
            <w:pPr>
              <w:rPr>
                <w:rFonts w:ascii="仿宋_GB2312" w:eastAsia="仿宋_GB2312" w:cs="宋体" w:hAnsiTheme="minorEastAsia"/>
                <w:b/>
                <w:sz w:val="24"/>
              </w:rPr>
            </w:pPr>
            <w:r>
              <w:rPr>
                <w:rFonts w:hint="eastAsia" w:ascii="仿宋_GB2312" w:eastAsia="仿宋_GB2312" w:cs="宋体" w:hAnsiTheme="minorEastAsia"/>
                <w:b/>
                <w:sz w:val="24"/>
              </w:rPr>
              <w:t>同类项目业绩情况：</w:t>
            </w:r>
          </w:p>
          <w:p>
            <w:pPr>
              <w:rPr>
                <w:rFonts w:ascii="仿宋_GB2312" w:eastAsia="仿宋_GB2312" w:cs="宋体" w:hAnsiTheme="minorEastAsia"/>
                <w:sz w:val="24"/>
              </w:rPr>
            </w:pPr>
            <w:r>
              <w:rPr>
                <w:rFonts w:hint="eastAsia" w:ascii="仿宋_GB2312" w:eastAsia="仿宋_GB2312" w:cs="宋体" w:hAnsiTheme="minorEastAsia"/>
                <w:sz w:val="24"/>
              </w:rPr>
              <w:t>投标人承担过</w:t>
            </w:r>
            <w:r>
              <w:rPr>
                <w:rFonts w:hint="eastAsia" w:ascii="仿宋_GB2312" w:eastAsia="仿宋_GB2312" w:cs="宋体" w:hAnsiTheme="minorEastAsia"/>
                <w:sz w:val="24"/>
                <w:lang w:eastAsia="zh-CN"/>
              </w:rPr>
              <w:t>其他区（深圳市）的娱乐场所隐患排查整治工作</w:t>
            </w:r>
            <w:r>
              <w:rPr>
                <w:rFonts w:hint="eastAsia" w:ascii="仿宋_GB2312" w:eastAsia="仿宋_GB2312" w:cs="宋体" w:hAnsiTheme="minorEastAsia"/>
                <w:sz w:val="24"/>
              </w:rPr>
              <w:t>和考核验收、市级或区级</w:t>
            </w:r>
            <w:r>
              <w:rPr>
                <w:rFonts w:hint="eastAsia" w:ascii="仿宋_GB2312" w:eastAsia="仿宋_GB2312" w:cs="宋体" w:hAnsiTheme="minorEastAsia"/>
                <w:sz w:val="24"/>
                <w:lang w:eastAsia="zh-CN"/>
              </w:rPr>
              <w:t>娱乐</w:t>
            </w:r>
            <w:r>
              <w:rPr>
                <w:rFonts w:hint="eastAsia" w:ascii="仿宋_GB2312" w:eastAsia="仿宋_GB2312" w:cs="宋体" w:hAnsiTheme="minorEastAsia"/>
                <w:sz w:val="24"/>
              </w:rPr>
              <w:t>行业安全生产风险评估、安全生产大检查项目，每提供一个业绩，得2分。</w:t>
            </w:r>
          </w:p>
          <w:p>
            <w:pPr>
              <w:rPr>
                <w:rFonts w:ascii="仿宋_GB2312" w:eastAsia="仿宋_GB2312" w:cs="宋体" w:hAnsiTheme="minorEastAsia"/>
                <w:sz w:val="24"/>
              </w:rPr>
            </w:pPr>
            <w:r>
              <w:rPr>
                <w:rFonts w:hint="eastAsia" w:ascii="仿宋_GB2312" w:eastAsia="仿宋_GB2312" w:cs="宋体" w:hAnsiTheme="minorEastAsia"/>
                <w:sz w:val="24"/>
              </w:rPr>
              <w:t>本项最高得分为6分。</w:t>
            </w:r>
          </w:p>
          <w:p>
            <w:pPr>
              <w:rPr>
                <w:rFonts w:ascii="仿宋_GB2312" w:eastAsia="仿宋_GB2312" w:cs="宋体" w:hAnsiTheme="minorEastAsia"/>
                <w:sz w:val="24"/>
              </w:rPr>
            </w:pPr>
            <w:r>
              <w:rPr>
                <w:rFonts w:hint="eastAsia" w:ascii="仿宋_GB2312" w:eastAsia="仿宋_GB2312" w:cs="宋体" w:hAnsiTheme="minorEastAsia"/>
                <w:sz w:val="24"/>
              </w:rPr>
              <w:t>注：以上要求近三年业绩，需同时提供合同关键信息及甲方出具的项目履约（验收）合格评价文件（均要求提供复印件，原件备查）作为得分依据。未提供项目履约（验收）合格评价文件，一律作不得分处理。</w:t>
            </w:r>
          </w:p>
        </w:tc>
        <w:tc>
          <w:tcPr>
            <w:tcW w:w="901" w:type="dxa"/>
            <w:vAlign w:val="center"/>
          </w:tcPr>
          <w:p>
            <w:pPr>
              <w:jc w:val="center"/>
              <w:rPr>
                <w:rFonts w:ascii="仿宋_GB2312" w:eastAsia="仿宋_GB2312" w:cs="宋体" w:hAnsiTheme="minorEastAsia"/>
                <w:snapToGrid w:val="0"/>
                <w:kern w:val="0"/>
                <w:sz w:val="24"/>
              </w:rPr>
            </w:pPr>
            <w:r>
              <w:rPr>
                <w:rFonts w:hint="eastAsia" w:ascii="仿宋_GB2312" w:eastAsia="仿宋_GB2312" w:cs="宋体" w:hAnsiTheme="minorEastAsia"/>
                <w:snapToGrid w:val="0"/>
                <w:kern w:val="0"/>
                <w:sz w:val="24"/>
              </w:rPr>
              <w:t>6分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57" w:hRule="atLeast"/>
        </w:trPr>
        <w:tc>
          <w:tcPr>
            <w:tcW w:w="1033" w:type="dxa"/>
            <w:vMerge w:val="continue"/>
            <w:vAlign w:val="center"/>
          </w:tcPr>
          <w:p>
            <w:pPr>
              <w:adjustRightInd w:val="0"/>
              <w:snapToGrid w:val="0"/>
              <w:spacing w:after="60"/>
              <w:jc w:val="center"/>
              <w:rPr>
                <w:rFonts w:ascii="仿宋_GB2312" w:eastAsia="仿宋_GB2312" w:cs="Arial" w:hAnsiTheme="minorEastAsia"/>
                <w:b/>
                <w:sz w:val="24"/>
              </w:rPr>
            </w:pPr>
          </w:p>
        </w:tc>
        <w:tc>
          <w:tcPr>
            <w:tcW w:w="1471" w:type="dxa"/>
            <w:vAlign w:val="center"/>
          </w:tcPr>
          <w:p>
            <w:pPr>
              <w:rPr>
                <w:rFonts w:ascii="仿宋_GB2312" w:eastAsia="仿宋_GB2312" w:cs="宋体" w:hAnsiTheme="minorEastAsia"/>
                <w:sz w:val="24"/>
              </w:rPr>
            </w:pPr>
            <w:r>
              <w:rPr>
                <w:rFonts w:hint="eastAsia" w:ascii="仿宋_GB2312" w:eastAsia="仿宋_GB2312" w:cs="宋体" w:hAnsiTheme="minorEastAsia"/>
                <w:sz w:val="24"/>
              </w:rPr>
              <w:t>拟安排的项目负责人情况（仅限一人）</w:t>
            </w:r>
          </w:p>
        </w:tc>
        <w:tc>
          <w:tcPr>
            <w:tcW w:w="5067" w:type="dxa"/>
          </w:tcPr>
          <w:p>
            <w:pPr>
              <w:rPr>
                <w:rFonts w:ascii="仿宋_GB2312" w:eastAsia="仿宋_GB2312" w:cs="宋体" w:hAnsiTheme="minorEastAsia"/>
                <w:sz w:val="24"/>
              </w:rPr>
            </w:pPr>
            <w:r>
              <w:rPr>
                <w:rFonts w:hint="eastAsia" w:ascii="仿宋_GB2312" w:eastAsia="仿宋_GB2312" w:cs="宋体" w:hAnsiTheme="minorEastAsia"/>
                <w:sz w:val="24"/>
              </w:rPr>
              <w:t>项目负责人（仅限1人）必须具有硕士研究生或以上学历。不满足此条件的，不得分（即此项得0分）。在满足上述条件的基础上，具有从事安全技术与管理相关资质：</w:t>
            </w:r>
          </w:p>
          <w:p>
            <w:pPr>
              <w:rPr>
                <w:rFonts w:ascii="仿宋_GB2312" w:eastAsia="仿宋_GB2312" w:cs="宋体" w:hAnsiTheme="minorEastAsia"/>
                <w:sz w:val="24"/>
              </w:rPr>
            </w:pPr>
            <w:r>
              <w:rPr>
                <w:rFonts w:hint="eastAsia" w:ascii="仿宋_GB2312" w:eastAsia="仿宋_GB2312" w:cs="宋体" w:hAnsiTheme="minorEastAsia"/>
                <w:sz w:val="24"/>
              </w:rPr>
              <w:t>（1）二级及以上安全评价师，得2分；</w:t>
            </w:r>
          </w:p>
          <w:p>
            <w:pPr>
              <w:rPr>
                <w:rFonts w:ascii="仿宋_GB2312" w:eastAsia="仿宋_GB2312" w:cs="宋体" w:hAnsiTheme="minorEastAsia"/>
                <w:sz w:val="24"/>
              </w:rPr>
            </w:pPr>
            <w:r>
              <w:rPr>
                <w:rFonts w:hint="eastAsia" w:ascii="仿宋_GB2312" w:eastAsia="仿宋_GB2312" w:cs="宋体" w:hAnsiTheme="minorEastAsia"/>
                <w:sz w:val="24"/>
              </w:rPr>
              <w:t>（2）应急管理部消防救援局特约研究员，得2分；</w:t>
            </w:r>
          </w:p>
          <w:p>
            <w:pPr>
              <w:rPr>
                <w:rFonts w:ascii="仿宋_GB2312" w:eastAsia="仿宋_GB2312" w:cs="宋体" w:hAnsiTheme="minorEastAsia"/>
                <w:sz w:val="24"/>
              </w:rPr>
            </w:pPr>
            <w:r>
              <w:rPr>
                <w:rFonts w:hint="eastAsia" w:ascii="仿宋_GB2312" w:eastAsia="仿宋_GB2312" w:cs="宋体" w:hAnsiTheme="minorEastAsia"/>
                <w:sz w:val="24"/>
              </w:rPr>
              <w:t>（3）深圳市安全管理委员会颁发的深圳市安全生产专家组专家资格，得1分；</w:t>
            </w:r>
          </w:p>
          <w:p>
            <w:pPr>
              <w:rPr>
                <w:rFonts w:ascii="仿宋_GB2312" w:eastAsia="仿宋_GB2312" w:cs="宋体" w:hAnsiTheme="minorEastAsia"/>
                <w:sz w:val="24"/>
              </w:rPr>
            </w:pPr>
            <w:r>
              <w:rPr>
                <w:rFonts w:hint="eastAsia" w:ascii="仿宋_GB2312" w:eastAsia="仿宋_GB2312" w:cs="宋体" w:hAnsiTheme="minorEastAsia"/>
                <w:sz w:val="24"/>
              </w:rPr>
              <w:t>（4）安全技术及工程硕士研究生（或以上）学历的，得1分。</w:t>
            </w:r>
          </w:p>
          <w:p>
            <w:pPr>
              <w:rPr>
                <w:rFonts w:ascii="仿宋_GB2312" w:eastAsia="仿宋_GB2312" w:cs="宋体" w:hAnsiTheme="minorEastAsia"/>
                <w:sz w:val="24"/>
              </w:rPr>
            </w:pPr>
            <w:r>
              <w:rPr>
                <w:rFonts w:hint="eastAsia" w:ascii="仿宋_GB2312" w:eastAsia="仿宋_GB2312" w:cs="宋体" w:hAnsiTheme="minorEastAsia"/>
                <w:sz w:val="24"/>
              </w:rPr>
              <w:t>注：以上累计得分不超过6分。须提供该项目负责人（仅限1人）为本公司自有员工承诺函（格式自拟），同时，要求提供学历证书、安全评价师职业资格证书（还需提供中国安全生产协会网站注册截图）、</w:t>
            </w:r>
            <w:bookmarkStart w:id="0" w:name="_GoBack"/>
            <w:bookmarkEnd w:id="0"/>
            <w:r>
              <w:rPr>
                <w:rFonts w:hint="eastAsia" w:ascii="仿宋_GB2312" w:eastAsia="仿宋_GB2312" w:cs="宋体" w:hAnsiTheme="minorEastAsia"/>
                <w:sz w:val="24"/>
              </w:rPr>
              <w:t>应急管理部消防救援局特约研究员、安全生产专家组专家聘书等有效期内的相关证明资料（均为扫描件或复印件，原件备查）作为得分依据。</w:t>
            </w:r>
          </w:p>
        </w:tc>
        <w:tc>
          <w:tcPr>
            <w:tcW w:w="901" w:type="dxa"/>
            <w:vAlign w:val="center"/>
          </w:tcPr>
          <w:p>
            <w:pPr>
              <w:jc w:val="center"/>
              <w:rPr>
                <w:rFonts w:ascii="仿宋_GB2312" w:eastAsia="仿宋_GB2312" w:cs="宋体" w:hAnsiTheme="minorEastAsia"/>
                <w:snapToGrid w:val="0"/>
                <w:kern w:val="0"/>
                <w:sz w:val="24"/>
              </w:rPr>
            </w:pPr>
            <w:r>
              <w:rPr>
                <w:rFonts w:hint="eastAsia" w:ascii="仿宋_GB2312" w:eastAsia="仿宋_GB2312" w:cs="宋体" w:hAnsiTheme="minorEastAsia"/>
                <w:snapToGrid w:val="0"/>
                <w:kern w:val="0"/>
                <w:sz w:val="24"/>
              </w:rPr>
              <w:t>6分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019" w:hRule="atLeast"/>
        </w:trPr>
        <w:tc>
          <w:tcPr>
            <w:tcW w:w="1033" w:type="dxa"/>
            <w:vMerge w:val="continue"/>
            <w:vAlign w:val="center"/>
          </w:tcPr>
          <w:p>
            <w:pPr>
              <w:adjustRightInd w:val="0"/>
              <w:snapToGrid w:val="0"/>
              <w:spacing w:after="60"/>
              <w:jc w:val="center"/>
              <w:rPr>
                <w:rFonts w:ascii="仿宋_GB2312" w:eastAsia="仿宋_GB2312" w:cs="Arial" w:hAnsiTheme="minorEastAsia"/>
                <w:b/>
                <w:sz w:val="24"/>
              </w:rPr>
            </w:pPr>
          </w:p>
        </w:tc>
        <w:tc>
          <w:tcPr>
            <w:tcW w:w="1471" w:type="dxa"/>
            <w:vAlign w:val="center"/>
          </w:tcPr>
          <w:p>
            <w:pPr>
              <w:rPr>
                <w:rFonts w:ascii="仿宋_GB2312" w:eastAsia="仿宋_GB2312" w:cs="宋体" w:hAnsiTheme="minorEastAsia"/>
                <w:sz w:val="24"/>
              </w:rPr>
            </w:pPr>
            <w:r>
              <w:rPr>
                <w:rFonts w:hint="eastAsia" w:ascii="仿宋_GB2312" w:eastAsia="仿宋_GB2312" w:cs="宋体" w:hAnsiTheme="minorEastAsia"/>
                <w:sz w:val="24"/>
              </w:rPr>
              <w:t>拟安排的项目主要团队成员（主要技术人员）情况（项目负责人除外）</w:t>
            </w:r>
          </w:p>
        </w:tc>
        <w:tc>
          <w:tcPr>
            <w:tcW w:w="5067" w:type="dxa"/>
          </w:tcPr>
          <w:p>
            <w:pPr>
              <w:jc w:val="left"/>
              <w:rPr>
                <w:rFonts w:ascii="仿宋_GB2312" w:eastAsia="仿宋_GB2312" w:cs="宋体" w:hAnsiTheme="minorEastAsia"/>
                <w:b/>
                <w:sz w:val="24"/>
              </w:rPr>
            </w:pPr>
            <w:r>
              <w:rPr>
                <w:rFonts w:hint="eastAsia" w:ascii="仿宋_GB2312" w:eastAsia="仿宋_GB2312" w:cs="宋体" w:hAnsiTheme="minorEastAsia"/>
                <w:b/>
                <w:sz w:val="24"/>
              </w:rPr>
              <w:t xml:space="preserve">项目团队成员不少于5人，其中： </w:t>
            </w:r>
          </w:p>
          <w:p>
            <w:pPr>
              <w:jc w:val="left"/>
              <w:rPr>
                <w:rFonts w:ascii="仿宋_GB2312" w:eastAsia="仿宋_GB2312" w:cs="宋体" w:hAnsiTheme="minorEastAsia"/>
                <w:sz w:val="24"/>
              </w:rPr>
            </w:pPr>
            <w:r>
              <w:rPr>
                <w:rFonts w:hint="eastAsia" w:ascii="仿宋_GB2312" w:eastAsia="仿宋_GB2312" w:cs="宋体" w:hAnsiTheme="minorEastAsia"/>
                <w:sz w:val="24"/>
              </w:rPr>
              <w:t>1、1人及以上须具有安全评价师资格证书，得3分；</w:t>
            </w:r>
          </w:p>
          <w:p>
            <w:pPr>
              <w:jc w:val="left"/>
              <w:rPr>
                <w:rFonts w:ascii="仿宋_GB2312" w:eastAsia="仿宋_GB2312" w:cs="宋体" w:hAnsiTheme="minorEastAsia"/>
                <w:sz w:val="24"/>
              </w:rPr>
            </w:pPr>
            <w:r>
              <w:rPr>
                <w:rFonts w:hint="eastAsia" w:ascii="仿宋_GB2312" w:eastAsia="仿宋_GB2312" w:cs="宋体" w:hAnsiTheme="minorEastAsia"/>
                <w:sz w:val="24"/>
              </w:rPr>
              <w:t>2、1人及以上须具有注册安全工程师资格证书，得3分；</w:t>
            </w:r>
          </w:p>
          <w:p>
            <w:pPr>
              <w:jc w:val="left"/>
              <w:rPr>
                <w:rFonts w:ascii="仿宋_GB2312" w:eastAsia="仿宋_GB2312" w:cs="宋体" w:hAnsiTheme="minorEastAsia"/>
                <w:sz w:val="24"/>
              </w:rPr>
            </w:pPr>
            <w:r>
              <w:rPr>
                <w:rFonts w:hint="eastAsia" w:ascii="仿宋_GB2312" w:eastAsia="仿宋_GB2312" w:cs="宋体" w:hAnsiTheme="minorEastAsia"/>
                <w:sz w:val="24"/>
              </w:rPr>
              <w:t>3、2人及以上具有特种设备检测检验人员资格证书，得4分；</w:t>
            </w:r>
          </w:p>
          <w:p>
            <w:pPr>
              <w:jc w:val="left"/>
              <w:rPr>
                <w:rFonts w:ascii="仿宋_GB2312" w:eastAsia="仿宋_GB2312" w:cs="宋体" w:hAnsiTheme="minorEastAsia"/>
                <w:sz w:val="24"/>
              </w:rPr>
            </w:pPr>
            <w:r>
              <w:rPr>
                <w:rFonts w:hint="eastAsia" w:ascii="仿宋_GB2312" w:eastAsia="仿宋_GB2312" w:cs="宋体" w:hAnsiTheme="minorEastAsia"/>
                <w:sz w:val="24"/>
              </w:rPr>
              <w:t>4、1人及以上电气线路检测资格证书，得1分；</w:t>
            </w:r>
          </w:p>
          <w:p>
            <w:pPr>
              <w:jc w:val="left"/>
              <w:rPr>
                <w:rFonts w:ascii="仿宋_GB2312" w:eastAsia="仿宋_GB2312" w:cs="宋体" w:hAnsiTheme="minorEastAsia"/>
                <w:sz w:val="24"/>
              </w:rPr>
            </w:pPr>
            <w:r>
              <w:rPr>
                <w:rFonts w:hint="eastAsia" w:ascii="仿宋_GB2312" w:eastAsia="仿宋_GB2312" w:cs="宋体" w:hAnsiTheme="minorEastAsia"/>
                <w:sz w:val="24"/>
              </w:rPr>
              <w:t>5、1人及以上具备安全培训教员资格证书，得1分。</w:t>
            </w:r>
          </w:p>
          <w:p>
            <w:pPr>
              <w:jc w:val="left"/>
              <w:rPr>
                <w:rFonts w:ascii="仿宋_GB2312" w:eastAsia="仿宋_GB2312" w:cs="宋体" w:hAnsiTheme="minorEastAsia"/>
                <w:sz w:val="24"/>
              </w:rPr>
            </w:pPr>
            <w:r>
              <w:rPr>
                <w:rFonts w:hint="eastAsia" w:ascii="仿宋_GB2312" w:eastAsia="仿宋_GB2312" w:cs="宋体" w:hAnsiTheme="minorEastAsia"/>
                <w:sz w:val="24"/>
              </w:rPr>
              <w:t>注：以上证书不得重复计分，要求投标人提供以上人员资格证书、劳动合同等相关证明资料（均为扫描件或复印件加盖公章，原件备查）作为得分依据，未提供者得0分。安全评价师职业资格证书（还需提供中国安全生产协会网站注册截图）。</w:t>
            </w:r>
          </w:p>
        </w:tc>
        <w:tc>
          <w:tcPr>
            <w:tcW w:w="901" w:type="dxa"/>
            <w:vAlign w:val="center"/>
          </w:tcPr>
          <w:p>
            <w:pPr>
              <w:jc w:val="left"/>
              <w:rPr>
                <w:rFonts w:ascii="仿宋_GB2312" w:eastAsia="仿宋_GB2312" w:cs="宋体" w:hAnsiTheme="minorEastAsia"/>
                <w:snapToGrid w:val="0"/>
                <w:kern w:val="0"/>
                <w:sz w:val="24"/>
              </w:rPr>
            </w:pPr>
            <w:r>
              <w:rPr>
                <w:rFonts w:hint="eastAsia" w:ascii="仿宋_GB2312" w:eastAsia="仿宋_GB2312" w:cs="宋体" w:hAnsiTheme="minorEastAsia"/>
                <w:sz w:val="24"/>
              </w:rPr>
              <w:t>12分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019" w:hRule="atLeast"/>
        </w:trPr>
        <w:tc>
          <w:tcPr>
            <w:tcW w:w="1033" w:type="dxa"/>
            <w:vMerge w:val="continue"/>
            <w:vAlign w:val="center"/>
          </w:tcPr>
          <w:p>
            <w:pPr>
              <w:adjustRightInd w:val="0"/>
              <w:snapToGrid w:val="0"/>
              <w:spacing w:after="60"/>
              <w:jc w:val="center"/>
              <w:rPr>
                <w:rFonts w:ascii="仿宋_GB2312" w:eastAsia="仿宋_GB2312" w:cs="Arial" w:hAnsiTheme="minorEastAsia"/>
                <w:b/>
                <w:sz w:val="24"/>
              </w:rPr>
            </w:pPr>
          </w:p>
        </w:tc>
        <w:tc>
          <w:tcPr>
            <w:tcW w:w="1471" w:type="dxa"/>
            <w:vAlign w:val="center"/>
          </w:tcPr>
          <w:p>
            <w:pPr>
              <w:rPr>
                <w:rFonts w:ascii="仿宋_GB2312" w:eastAsia="仿宋_GB2312" w:cs="宋体" w:hAnsiTheme="minorEastAsia"/>
                <w:sz w:val="24"/>
              </w:rPr>
            </w:pPr>
            <w:r>
              <w:rPr>
                <w:rFonts w:hint="eastAsia" w:ascii="仿宋_GB2312" w:eastAsia="仿宋_GB2312" w:cs="宋体" w:hAnsiTheme="minorEastAsia"/>
                <w:sz w:val="24"/>
              </w:rPr>
              <w:t>服务网点</w:t>
            </w:r>
          </w:p>
        </w:tc>
        <w:tc>
          <w:tcPr>
            <w:tcW w:w="5067" w:type="dxa"/>
          </w:tcPr>
          <w:p>
            <w:pPr>
              <w:jc w:val="left"/>
              <w:rPr>
                <w:rFonts w:ascii="仿宋_GB2312" w:eastAsia="仿宋_GB2312" w:cs="宋体" w:hAnsiTheme="minorEastAsia"/>
                <w:sz w:val="24"/>
              </w:rPr>
            </w:pPr>
            <w:r>
              <w:rPr>
                <w:rFonts w:hint="eastAsia" w:ascii="仿宋_GB2312" w:eastAsia="仿宋_GB2312" w:cs="宋体" w:hAnsiTheme="minorEastAsia"/>
                <w:sz w:val="24"/>
              </w:rPr>
              <w:t>1．注册地在深圳（或在深圳有分公司），能够提供驻点售后服务的，得2分；</w:t>
            </w:r>
          </w:p>
          <w:p>
            <w:pPr>
              <w:jc w:val="left"/>
              <w:rPr>
                <w:rFonts w:ascii="仿宋_GB2312" w:eastAsia="仿宋_GB2312" w:cs="宋体" w:hAnsiTheme="minorEastAsia"/>
                <w:sz w:val="24"/>
              </w:rPr>
            </w:pPr>
            <w:r>
              <w:rPr>
                <w:rFonts w:hint="eastAsia" w:ascii="仿宋_GB2312" w:eastAsia="仿宋_GB2312" w:cs="宋体" w:hAnsiTheme="minorEastAsia"/>
                <w:sz w:val="24"/>
              </w:rPr>
              <w:t>2．注册在广东省内，得1分；</w:t>
            </w:r>
          </w:p>
          <w:p>
            <w:pPr>
              <w:jc w:val="left"/>
              <w:rPr>
                <w:rFonts w:ascii="仿宋_GB2312" w:eastAsia="仿宋_GB2312" w:cs="宋体" w:hAnsiTheme="minorEastAsia"/>
                <w:sz w:val="24"/>
              </w:rPr>
            </w:pPr>
            <w:r>
              <w:rPr>
                <w:rFonts w:hint="eastAsia" w:ascii="仿宋_GB2312" w:eastAsia="仿宋_GB2312" w:cs="宋体" w:hAnsiTheme="minorEastAsia"/>
                <w:sz w:val="24"/>
              </w:rPr>
              <w:t>3．其他不得分。</w:t>
            </w:r>
          </w:p>
          <w:p>
            <w:pPr>
              <w:jc w:val="left"/>
              <w:rPr>
                <w:rFonts w:ascii="仿宋_GB2312" w:eastAsia="仿宋_GB2312" w:cs="宋体" w:hAnsiTheme="minorEastAsia"/>
                <w:sz w:val="24"/>
              </w:rPr>
            </w:pPr>
            <w:r>
              <w:rPr>
                <w:rFonts w:hint="eastAsia" w:ascii="仿宋_GB2312" w:eastAsia="仿宋_GB2312" w:cs="宋体" w:hAnsiTheme="minorEastAsia"/>
                <w:sz w:val="24"/>
              </w:rPr>
              <w:t>注：须在投标文件中就设立的机构类型进行说明，并提供机构营业执照扫描件，原件备查，否则不得分。</w:t>
            </w:r>
          </w:p>
        </w:tc>
        <w:tc>
          <w:tcPr>
            <w:tcW w:w="901" w:type="dxa"/>
            <w:vAlign w:val="center"/>
          </w:tcPr>
          <w:p>
            <w:pPr>
              <w:jc w:val="center"/>
              <w:rPr>
                <w:rFonts w:ascii="仿宋_GB2312" w:eastAsia="仿宋_GB2312" w:cs="宋体" w:hAnsiTheme="minorEastAsia"/>
                <w:snapToGrid w:val="0"/>
                <w:kern w:val="0"/>
                <w:sz w:val="24"/>
              </w:rPr>
            </w:pPr>
            <w:r>
              <w:rPr>
                <w:rFonts w:hint="eastAsia" w:ascii="仿宋_GB2312" w:eastAsia="仿宋_GB2312" w:cs="宋体" w:hAnsiTheme="minorEastAsia"/>
                <w:snapToGrid w:val="0"/>
                <w:kern w:val="0"/>
                <w:sz w:val="24"/>
              </w:rPr>
              <w:t>2分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019" w:hRule="atLeast"/>
        </w:trPr>
        <w:tc>
          <w:tcPr>
            <w:tcW w:w="1033" w:type="dxa"/>
            <w:vMerge w:val="continue"/>
            <w:vAlign w:val="center"/>
          </w:tcPr>
          <w:p>
            <w:pPr>
              <w:adjustRightInd w:val="0"/>
              <w:snapToGrid w:val="0"/>
              <w:spacing w:after="60"/>
              <w:jc w:val="center"/>
              <w:rPr>
                <w:rFonts w:ascii="仿宋_GB2312" w:eastAsia="仿宋_GB2312" w:cs="Arial" w:hAnsiTheme="minorEastAsia"/>
                <w:b/>
                <w:sz w:val="24"/>
              </w:rPr>
            </w:pPr>
          </w:p>
        </w:tc>
        <w:tc>
          <w:tcPr>
            <w:tcW w:w="1471" w:type="dxa"/>
            <w:vAlign w:val="center"/>
          </w:tcPr>
          <w:p>
            <w:pPr>
              <w:rPr>
                <w:rFonts w:ascii="仿宋_GB2312" w:eastAsia="仿宋_GB2312" w:cs="宋体" w:hAnsiTheme="minorEastAsia"/>
                <w:sz w:val="24"/>
              </w:rPr>
            </w:pPr>
            <w:r>
              <w:rPr>
                <w:rFonts w:hint="eastAsia" w:ascii="仿宋_GB2312" w:eastAsia="仿宋_GB2312" w:cs="宋体" w:hAnsiTheme="minorEastAsia"/>
                <w:sz w:val="24"/>
              </w:rPr>
              <w:t>履约评价情况</w:t>
            </w:r>
          </w:p>
        </w:tc>
        <w:tc>
          <w:tcPr>
            <w:tcW w:w="5067" w:type="dxa"/>
          </w:tcPr>
          <w:p>
            <w:pPr>
              <w:jc w:val="left"/>
              <w:rPr>
                <w:rFonts w:ascii="仿宋_GB2312" w:eastAsia="仿宋_GB2312" w:cs="宋体" w:hAnsiTheme="minorEastAsia"/>
                <w:sz w:val="24"/>
              </w:rPr>
            </w:pPr>
            <w:r>
              <w:rPr>
                <w:rFonts w:hint="eastAsia" w:ascii="仿宋_GB2312" w:eastAsia="仿宋_GB2312" w:cs="宋体" w:hAnsiTheme="minorEastAsia"/>
                <w:sz w:val="24"/>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投标人无需提供任何证明材料，由代理机构工作人员向评委会提供相关信息。</w:t>
            </w:r>
          </w:p>
        </w:tc>
        <w:tc>
          <w:tcPr>
            <w:tcW w:w="901"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2分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019" w:hRule="atLeast"/>
        </w:trPr>
        <w:tc>
          <w:tcPr>
            <w:tcW w:w="1033" w:type="dxa"/>
            <w:vMerge w:val="continue"/>
            <w:vAlign w:val="center"/>
          </w:tcPr>
          <w:p>
            <w:pPr>
              <w:adjustRightInd w:val="0"/>
              <w:snapToGrid w:val="0"/>
              <w:spacing w:after="60"/>
              <w:jc w:val="center"/>
              <w:rPr>
                <w:rFonts w:ascii="仿宋_GB2312" w:eastAsia="仿宋_GB2312" w:cs="Arial" w:hAnsiTheme="minorEastAsia"/>
                <w:b/>
                <w:sz w:val="24"/>
              </w:rPr>
            </w:pPr>
          </w:p>
        </w:tc>
        <w:tc>
          <w:tcPr>
            <w:tcW w:w="1471" w:type="dxa"/>
            <w:vAlign w:val="center"/>
          </w:tcPr>
          <w:p>
            <w:pPr>
              <w:rPr>
                <w:rFonts w:ascii="仿宋_GB2312" w:eastAsia="仿宋_GB2312" w:cs="宋体" w:hAnsiTheme="minorEastAsia"/>
                <w:sz w:val="24"/>
              </w:rPr>
            </w:pPr>
            <w:r>
              <w:rPr>
                <w:rFonts w:hint="eastAsia" w:ascii="仿宋_GB2312" w:eastAsia="仿宋_GB2312" w:cs="宋体" w:hAnsiTheme="minorEastAsia"/>
                <w:sz w:val="24"/>
              </w:rPr>
              <w:t>诚信情况</w:t>
            </w:r>
          </w:p>
        </w:tc>
        <w:tc>
          <w:tcPr>
            <w:tcW w:w="5067"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c>
          <w:tcPr>
            <w:tcW w:w="901" w:type="dxa"/>
            <w:vAlign w:val="center"/>
          </w:tcPr>
          <w:p>
            <w:pPr>
              <w:adjustRightInd w:val="0"/>
              <w:jc w:val="left"/>
              <w:rPr>
                <w:rFonts w:ascii="仿宋_GB2312" w:eastAsia="仿宋_GB2312" w:cs="宋体" w:hAnsiTheme="minorEastAsia"/>
                <w:sz w:val="24"/>
              </w:rPr>
            </w:pPr>
            <w:r>
              <w:rPr>
                <w:rFonts w:hint="eastAsia" w:ascii="仿宋_GB2312" w:eastAsia="仿宋_GB2312" w:cs="宋体" w:hAnsiTheme="minorEastAsia"/>
                <w:sz w:val="24"/>
              </w:rPr>
              <w:t>4分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514" w:hRule="atLeast"/>
        </w:trPr>
        <w:tc>
          <w:tcPr>
            <w:tcW w:w="1033" w:type="dxa"/>
            <w:vMerge w:val="continue"/>
            <w:vAlign w:val="center"/>
          </w:tcPr>
          <w:p>
            <w:pPr>
              <w:adjustRightInd w:val="0"/>
              <w:snapToGrid w:val="0"/>
              <w:spacing w:after="60"/>
              <w:jc w:val="center"/>
              <w:rPr>
                <w:rFonts w:ascii="仿宋_GB2312" w:eastAsia="仿宋_GB2312" w:cs="Arial" w:hAnsiTheme="minorEastAsia"/>
                <w:b/>
                <w:sz w:val="24"/>
              </w:rPr>
            </w:pPr>
          </w:p>
        </w:tc>
        <w:tc>
          <w:tcPr>
            <w:tcW w:w="1471" w:type="dxa"/>
            <w:vAlign w:val="center"/>
          </w:tcPr>
          <w:p>
            <w:pPr>
              <w:rPr>
                <w:rFonts w:ascii="仿宋_GB2312" w:eastAsia="仿宋_GB2312" w:cs="宋体" w:hAnsiTheme="minorEastAsia"/>
                <w:sz w:val="24"/>
              </w:rPr>
            </w:pPr>
            <w:r>
              <w:rPr>
                <w:rFonts w:hint="eastAsia" w:ascii="仿宋_GB2312" w:eastAsia="仿宋_GB2312" w:cs="宋体" w:hAnsiTheme="minorEastAsia"/>
                <w:sz w:val="24"/>
              </w:rPr>
              <w:t>疫情防控</w:t>
            </w:r>
          </w:p>
        </w:tc>
        <w:tc>
          <w:tcPr>
            <w:tcW w:w="5067"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1、疫情防控重点企业得2分</w:t>
            </w:r>
          </w:p>
          <w:p>
            <w:pPr>
              <w:jc w:val="left"/>
              <w:rPr>
                <w:rFonts w:ascii="仿宋_GB2312" w:eastAsia="仿宋_GB2312" w:cs="宋体" w:hAnsiTheme="minorEastAsia"/>
                <w:sz w:val="24"/>
              </w:rPr>
            </w:pPr>
            <w:r>
              <w:rPr>
                <w:rFonts w:hint="eastAsia" w:ascii="仿宋_GB2312" w:eastAsia="仿宋_GB2312" w:cs="宋体" w:hAnsiTheme="minorEastAsia"/>
                <w:sz w:val="24"/>
              </w:rPr>
              <w:t>2、稳岗企业得2分</w:t>
            </w:r>
          </w:p>
          <w:p>
            <w:pPr>
              <w:jc w:val="left"/>
              <w:rPr>
                <w:rFonts w:ascii="仿宋_GB2312" w:eastAsia="仿宋_GB2312" w:cs="宋体" w:hAnsiTheme="minorEastAsia"/>
                <w:b/>
                <w:sz w:val="24"/>
              </w:rPr>
            </w:pPr>
            <w:r>
              <w:rPr>
                <w:rFonts w:hint="eastAsia" w:ascii="仿宋_GB2312" w:eastAsia="仿宋_GB2312" w:cs="宋体" w:hAnsiTheme="minorEastAsia"/>
                <w:b/>
                <w:sz w:val="24"/>
              </w:rPr>
              <w:t>评分说明：</w:t>
            </w:r>
          </w:p>
          <w:p>
            <w:pPr>
              <w:jc w:val="left"/>
              <w:rPr>
                <w:rFonts w:ascii="仿宋_GB2312" w:eastAsia="仿宋_GB2312" w:cs="宋体" w:hAnsiTheme="minorEastAsia"/>
                <w:sz w:val="24"/>
              </w:rPr>
            </w:pPr>
            <w:r>
              <w:rPr>
                <w:rFonts w:hint="eastAsia" w:ascii="仿宋_GB2312" w:eastAsia="仿宋_GB2312" w:cs="宋体" w:hAnsiTheme="minorEastAsia"/>
                <w:sz w:val="24"/>
              </w:rPr>
              <w:t>1、疫情防控重点企业：纳入全国性名单或地方性名单的疫情防控重点保障企业，直接参与我市政府采购投标的，提供至少一项自身属于重点保障企业的证明材料（名单网页截图、政府部门出具的文件或者企业享受重点保障企业优惠政策的其他证明文件）</w:t>
            </w:r>
          </w:p>
          <w:p>
            <w:pPr>
              <w:jc w:val="left"/>
              <w:rPr>
                <w:rFonts w:ascii="仿宋_GB2312" w:eastAsia="仿宋_GB2312" w:cs="宋体" w:hAnsiTheme="minorEastAsia"/>
                <w:sz w:val="24"/>
              </w:rPr>
            </w:pPr>
            <w:r>
              <w:rPr>
                <w:rFonts w:hint="eastAsia" w:ascii="仿宋_GB2312" w:eastAsia="仿宋_GB2312" w:cs="宋体" w:hAnsiTheme="minorEastAsia"/>
                <w:sz w:val="24"/>
              </w:rPr>
              <w:t>2、稳岗企业：未裁员或裁员低于20%的企业，即投标前一个月实际参加社会保险（至少包括养老保险）的员工人数（含免缴或延期缴纳社会保险人数）不低于2019年12月同口径人数80%（含）的企业，视为稳岗企业，提供自身符合稳岗企业条件的承诺函加盖公章。</w:t>
            </w:r>
          </w:p>
          <w:p>
            <w:pPr>
              <w:jc w:val="left"/>
              <w:rPr>
                <w:rFonts w:ascii="仿宋_GB2312" w:eastAsia="仿宋_GB2312" w:cs="宋体" w:hAnsiTheme="minorEastAsia"/>
                <w:sz w:val="24"/>
              </w:rPr>
            </w:pPr>
            <w:r>
              <w:rPr>
                <w:rFonts w:hint="eastAsia" w:ascii="仿宋_GB2312" w:eastAsia="仿宋_GB2312" w:cs="宋体" w:hAnsiTheme="minorEastAsia"/>
                <w:sz w:val="24"/>
              </w:rPr>
              <w:t>注：投标人提供虚假承诺的，将做无效投标处理。</w:t>
            </w:r>
          </w:p>
        </w:tc>
        <w:tc>
          <w:tcPr>
            <w:tcW w:w="901" w:type="dxa"/>
            <w:vAlign w:val="center"/>
          </w:tcPr>
          <w:p>
            <w:pPr>
              <w:adjustRightInd w:val="0"/>
              <w:jc w:val="left"/>
              <w:rPr>
                <w:rFonts w:ascii="仿宋_GB2312" w:eastAsia="仿宋_GB2312" w:cs="宋体" w:hAnsiTheme="minorEastAsia"/>
                <w:sz w:val="24"/>
              </w:rPr>
            </w:pPr>
            <w:r>
              <w:rPr>
                <w:rFonts w:hint="eastAsia" w:ascii="仿宋_GB2312" w:eastAsia="仿宋_GB2312" w:cs="宋体" w:hAnsiTheme="minorEastAsia"/>
                <w:sz w:val="24"/>
              </w:rPr>
              <w:t>4分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514" w:hRule="atLeast"/>
        </w:trPr>
        <w:tc>
          <w:tcPr>
            <w:tcW w:w="1033" w:type="dxa"/>
            <w:vMerge w:val="restart"/>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技术评分（J）</w:t>
            </w:r>
          </w:p>
          <w:p>
            <w:pPr>
              <w:jc w:val="left"/>
              <w:rPr>
                <w:rFonts w:ascii="仿宋_GB2312" w:eastAsia="仿宋_GB2312" w:cs="Arial" w:hAnsiTheme="minorEastAsia"/>
                <w:b/>
                <w:sz w:val="24"/>
              </w:rPr>
            </w:pPr>
            <w:r>
              <w:rPr>
                <w:rFonts w:hint="eastAsia" w:ascii="仿宋_GB2312" w:eastAsia="仿宋_GB2312" w:cs="宋体" w:hAnsiTheme="minorEastAsia"/>
                <w:sz w:val="24"/>
              </w:rPr>
              <w:t>（合计36分)</w:t>
            </w:r>
          </w:p>
        </w:tc>
        <w:tc>
          <w:tcPr>
            <w:tcW w:w="1471" w:type="dxa"/>
            <w:vAlign w:val="center"/>
          </w:tcPr>
          <w:p>
            <w:pPr>
              <w:rPr>
                <w:rFonts w:ascii="仿宋_GB2312" w:eastAsia="仿宋_GB2312" w:cs="宋体" w:hAnsiTheme="minorEastAsia"/>
                <w:sz w:val="24"/>
              </w:rPr>
            </w:pPr>
            <w:r>
              <w:rPr>
                <w:rFonts w:hint="eastAsia" w:ascii="仿宋_GB2312" w:eastAsia="仿宋_GB2312" w:cs="宋体" w:hAnsiTheme="minorEastAsia"/>
                <w:sz w:val="24"/>
              </w:rPr>
              <w:t>实施方案</w:t>
            </w:r>
          </w:p>
        </w:tc>
        <w:tc>
          <w:tcPr>
            <w:tcW w:w="5067" w:type="dxa"/>
            <w:vAlign w:val="center"/>
          </w:tcPr>
          <w:p>
            <w:pPr>
              <w:jc w:val="left"/>
              <w:rPr>
                <w:rFonts w:ascii="仿宋_GB2312" w:eastAsia="仿宋_GB2312" w:cs="宋体" w:hAnsiTheme="minorEastAsia"/>
                <w:b/>
                <w:sz w:val="24"/>
              </w:rPr>
            </w:pPr>
            <w:r>
              <w:rPr>
                <w:rFonts w:hint="eastAsia" w:ascii="仿宋_GB2312" w:eastAsia="仿宋_GB2312" w:cs="宋体" w:hAnsiTheme="minorEastAsia"/>
                <w:b/>
                <w:sz w:val="24"/>
              </w:rPr>
              <w:t>评审内容：</w:t>
            </w:r>
          </w:p>
          <w:p>
            <w:pPr>
              <w:jc w:val="left"/>
              <w:rPr>
                <w:rFonts w:ascii="仿宋_GB2312" w:eastAsia="仿宋_GB2312" w:cs="宋体" w:hAnsiTheme="minorEastAsia"/>
                <w:sz w:val="24"/>
              </w:rPr>
            </w:pPr>
            <w:r>
              <w:rPr>
                <w:rFonts w:hint="eastAsia" w:ascii="仿宋_GB2312" w:eastAsia="仿宋_GB2312" w:cs="宋体" w:hAnsiTheme="minorEastAsia"/>
                <w:sz w:val="24"/>
              </w:rPr>
              <w:t>1. 工作措施是否细化和得当；</w:t>
            </w:r>
          </w:p>
          <w:p>
            <w:pPr>
              <w:jc w:val="left"/>
              <w:rPr>
                <w:rFonts w:ascii="仿宋_GB2312" w:eastAsia="仿宋_GB2312" w:cs="宋体" w:hAnsiTheme="minorEastAsia"/>
                <w:sz w:val="24"/>
              </w:rPr>
            </w:pPr>
            <w:r>
              <w:rPr>
                <w:rFonts w:hint="eastAsia" w:ascii="仿宋_GB2312" w:eastAsia="仿宋_GB2312" w:cs="宋体" w:hAnsiTheme="minorEastAsia"/>
                <w:sz w:val="24"/>
              </w:rPr>
              <w:t>2.结合本项目的实际情况，采取科学、可行的工作方法；</w:t>
            </w:r>
          </w:p>
          <w:p>
            <w:pPr>
              <w:jc w:val="left"/>
              <w:rPr>
                <w:rFonts w:ascii="仿宋_GB2312" w:eastAsia="仿宋_GB2312" w:cs="宋体" w:hAnsiTheme="minorEastAsia"/>
                <w:sz w:val="24"/>
              </w:rPr>
            </w:pPr>
            <w:r>
              <w:rPr>
                <w:rFonts w:hint="eastAsia" w:ascii="仿宋_GB2312" w:eastAsia="仿宋_GB2312" w:cs="宋体" w:hAnsiTheme="minorEastAsia"/>
                <w:sz w:val="24"/>
              </w:rPr>
              <w:t>3.详细阐述投标方在本项目实施中所采用的工作流程、工作方法与手段。做到项目实施过程中，有步骤、有计划；</w:t>
            </w:r>
          </w:p>
          <w:p>
            <w:pPr>
              <w:jc w:val="left"/>
              <w:rPr>
                <w:rFonts w:ascii="仿宋_GB2312" w:eastAsia="仿宋_GB2312" w:cs="宋体" w:hAnsiTheme="minorEastAsia"/>
                <w:sz w:val="24"/>
              </w:rPr>
            </w:pPr>
            <w:r>
              <w:rPr>
                <w:rFonts w:hint="eastAsia" w:ascii="仿宋_GB2312" w:eastAsia="仿宋_GB2312" w:cs="宋体" w:hAnsiTheme="minorEastAsia"/>
                <w:sz w:val="24"/>
              </w:rPr>
              <w:t>4.在以上内容完整的基础上，根据内容的合理性进行分档评分。</w:t>
            </w:r>
          </w:p>
          <w:p>
            <w:pPr>
              <w:jc w:val="left"/>
              <w:rPr>
                <w:rFonts w:ascii="仿宋_GB2312" w:eastAsia="仿宋_GB2312" w:cs="宋体" w:hAnsiTheme="minorEastAsia"/>
                <w:sz w:val="24"/>
              </w:rPr>
            </w:pPr>
            <w:r>
              <w:rPr>
                <w:rFonts w:hint="eastAsia" w:ascii="仿宋_GB2312" w:eastAsia="仿宋_GB2312" w:cs="宋体" w:hAnsiTheme="minorEastAsia"/>
                <w:sz w:val="24"/>
              </w:rPr>
              <w:t>评分标准：</w:t>
            </w:r>
          </w:p>
          <w:p>
            <w:pPr>
              <w:jc w:val="left"/>
              <w:rPr>
                <w:rFonts w:ascii="仿宋_GB2312" w:eastAsia="仿宋_GB2312" w:cs="宋体" w:hAnsiTheme="minorEastAsia"/>
                <w:sz w:val="24"/>
              </w:rPr>
            </w:pPr>
            <w:r>
              <w:rPr>
                <w:rFonts w:hint="eastAsia" w:ascii="仿宋_GB2312" w:eastAsia="仿宋_GB2312" w:cs="宋体" w:hAnsiTheme="minorEastAsia"/>
                <w:sz w:val="24"/>
              </w:rPr>
              <w:t>优良中差评分标准：</w:t>
            </w:r>
          </w:p>
          <w:p>
            <w:pPr>
              <w:jc w:val="left"/>
              <w:rPr>
                <w:rFonts w:ascii="仿宋_GB2312" w:eastAsia="仿宋_GB2312" w:cs="宋体" w:hAnsiTheme="minorEastAsia"/>
                <w:sz w:val="24"/>
              </w:rPr>
            </w:pPr>
            <w:r>
              <w:rPr>
                <w:rFonts w:hint="eastAsia" w:ascii="仿宋_GB2312" w:eastAsia="仿宋_GB2312" w:cs="宋体" w:hAnsiTheme="minorEastAsia"/>
                <w:sz w:val="24"/>
              </w:rPr>
              <w:t>（1）投标文件响应内容全面；</w:t>
            </w:r>
          </w:p>
          <w:p>
            <w:pPr>
              <w:jc w:val="left"/>
              <w:rPr>
                <w:rFonts w:ascii="仿宋_GB2312" w:eastAsia="仿宋_GB2312" w:cs="宋体" w:hAnsiTheme="minorEastAsia"/>
                <w:sz w:val="24"/>
              </w:rPr>
            </w:pPr>
            <w:r>
              <w:rPr>
                <w:rFonts w:hint="eastAsia" w:ascii="仿宋_GB2312" w:eastAsia="仿宋_GB2312" w:cs="宋体" w:hAnsiTheme="minorEastAsia"/>
                <w:sz w:val="24"/>
              </w:rPr>
              <w:t>（2）投标文件响应内容具体；</w:t>
            </w:r>
          </w:p>
          <w:p>
            <w:pPr>
              <w:jc w:val="left"/>
              <w:rPr>
                <w:rFonts w:ascii="仿宋_GB2312" w:eastAsia="仿宋_GB2312" w:cs="宋体" w:hAnsiTheme="minorEastAsia"/>
                <w:sz w:val="24"/>
              </w:rPr>
            </w:pPr>
            <w:r>
              <w:rPr>
                <w:rFonts w:hint="eastAsia" w:ascii="仿宋_GB2312" w:eastAsia="仿宋_GB2312" w:cs="宋体" w:hAnsiTheme="minorEastAsia"/>
                <w:sz w:val="24"/>
              </w:rPr>
              <w:t>（3）投标文件响应内容针对性强；</w:t>
            </w:r>
          </w:p>
          <w:p>
            <w:pPr>
              <w:jc w:val="left"/>
              <w:rPr>
                <w:rFonts w:ascii="仿宋_GB2312" w:eastAsia="仿宋_GB2312" w:cs="宋体" w:hAnsiTheme="minorEastAsia"/>
                <w:sz w:val="24"/>
              </w:rPr>
            </w:pPr>
            <w:r>
              <w:rPr>
                <w:rFonts w:hint="eastAsia" w:ascii="仿宋_GB2312" w:eastAsia="仿宋_GB2312" w:cs="宋体" w:hAnsiTheme="minorEastAsia"/>
                <w:sz w:val="24"/>
              </w:rPr>
              <w:t>（4）投标文件响应内容科学合理；</w:t>
            </w:r>
          </w:p>
          <w:p>
            <w:pPr>
              <w:jc w:val="left"/>
              <w:rPr>
                <w:rFonts w:ascii="仿宋_GB2312" w:eastAsia="仿宋_GB2312" w:cs="宋体" w:hAnsiTheme="minorEastAsia"/>
                <w:sz w:val="24"/>
              </w:rPr>
            </w:pPr>
            <w:r>
              <w:rPr>
                <w:rFonts w:hint="eastAsia" w:ascii="仿宋_GB2312" w:eastAsia="仿宋_GB2312" w:cs="宋体" w:hAnsiTheme="minorEastAsia"/>
                <w:sz w:val="24"/>
              </w:rPr>
              <w:t>（5）投标文件响应内容可操作性强。</w:t>
            </w:r>
          </w:p>
          <w:p>
            <w:pPr>
              <w:jc w:val="left"/>
              <w:rPr>
                <w:rFonts w:ascii="仿宋_GB2312" w:eastAsia="仿宋_GB2312" w:cs="宋体" w:hAnsiTheme="minorEastAsia"/>
                <w:sz w:val="24"/>
              </w:rPr>
            </w:pPr>
            <w:r>
              <w:rPr>
                <w:rFonts w:hint="eastAsia" w:ascii="仿宋_GB2312" w:eastAsia="仿宋_GB2312" w:cs="宋体" w:hAnsiTheme="minorEastAsia"/>
                <w:sz w:val="24"/>
              </w:rPr>
              <w:t>满足以上五项要求的评价为优，得9分；</w:t>
            </w:r>
          </w:p>
          <w:p>
            <w:pPr>
              <w:jc w:val="left"/>
              <w:rPr>
                <w:rFonts w:ascii="仿宋_GB2312" w:eastAsia="仿宋_GB2312" w:cs="宋体" w:hAnsiTheme="minorEastAsia"/>
                <w:sz w:val="24"/>
              </w:rPr>
            </w:pPr>
            <w:r>
              <w:rPr>
                <w:rFonts w:hint="eastAsia" w:ascii="仿宋_GB2312" w:eastAsia="仿宋_GB2312" w:cs="宋体" w:hAnsiTheme="minorEastAsia"/>
                <w:sz w:val="24"/>
              </w:rPr>
              <w:t>满足以上四项要求的评价为良，得7分；</w:t>
            </w:r>
          </w:p>
          <w:p>
            <w:pPr>
              <w:jc w:val="left"/>
              <w:rPr>
                <w:rFonts w:ascii="仿宋_GB2312" w:eastAsia="仿宋_GB2312" w:cs="宋体" w:hAnsiTheme="minorEastAsia"/>
                <w:sz w:val="24"/>
              </w:rPr>
            </w:pPr>
            <w:r>
              <w:rPr>
                <w:rFonts w:hint="eastAsia" w:ascii="仿宋_GB2312" w:eastAsia="仿宋_GB2312" w:cs="宋体" w:hAnsiTheme="minorEastAsia"/>
                <w:sz w:val="24"/>
              </w:rPr>
              <w:t xml:space="preserve">满足以上三项要求的评价为中，得5分； </w:t>
            </w:r>
          </w:p>
          <w:p>
            <w:pPr>
              <w:jc w:val="left"/>
              <w:rPr>
                <w:rFonts w:ascii="仿宋_GB2312" w:eastAsia="仿宋_GB2312" w:cs="宋体" w:hAnsiTheme="minorEastAsia"/>
                <w:sz w:val="24"/>
              </w:rPr>
            </w:pPr>
            <w:r>
              <w:rPr>
                <w:rFonts w:hint="eastAsia" w:ascii="仿宋_GB2312" w:eastAsia="仿宋_GB2312" w:cs="宋体" w:hAnsiTheme="minorEastAsia"/>
                <w:sz w:val="24"/>
              </w:rPr>
              <w:t>其它情况的评价为差，不得分。</w:t>
            </w:r>
          </w:p>
        </w:tc>
        <w:tc>
          <w:tcPr>
            <w:tcW w:w="901"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9分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514" w:hRule="atLeast"/>
        </w:trPr>
        <w:tc>
          <w:tcPr>
            <w:tcW w:w="1033" w:type="dxa"/>
            <w:vMerge w:val="continue"/>
            <w:vAlign w:val="center"/>
          </w:tcPr>
          <w:p>
            <w:pPr>
              <w:adjustRightInd w:val="0"/>
              <w:snapToGrid w:val="0"/>
              <w:spacing w:after="60"/>
              <w:jc w:val="center"/>
              <w:rPr>
                <w:rFonts w:ascii="仿宋_GB2312" w:eastAsia="仿宋_GB2312" w:hAnsiTheme="minorEastAsia"/>
                <w:b/>
                <w:sz w:val="24"/>
              </w:rPr>
            </w:pPr>
          </w:p>
        </w:tc>
        <w:tc>
          <w:tcPr>
            <w:tcW w:w="1471"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项目重点难点分析、应对措施及相关的合理化建议</w:t>
            </w:r>
          </w:p>
        </w:tc>
        <w:tc>
          <w:tcPr>
            <w:tcW w:w="5067" w:type="dxa"/>
            <w:vAlign w:val="center"/>
          </w:tcPr>
          <w:p>
            <w:pPr>
              <w:jc w:val="left"/>
              <w:rPr>
                <w:rFonts w:ascii="仿宋_GB2312" w:eastAsia="仿宋_GB2312" w:cs="宋体" w:hAnsiTheme="minorEastAsia"/>
                <w:b/>
                <w:sz w:val="24"/>
              </w:rPr>
            </w:pPr>
            <w:r>
              <w:rPr>
                <w:rFonts w:hint="eastAsia" w:ascii="仿宋_GB2312" w:eastAsia="仿宋_GB2312" w:cs="宋体" w:hAnsiTheme="minorEastAsia"/>
                <w:b/>
                <w:sz w:val="24"/>
              </w:rPr>
              <w:t>评审内容：</w:t>
            </w:r>
          </w:p>
          <w:p>
            <w:pPr>
              <w:jc w:val="left"/>
              <w:rPr>
                <w:rFonts w:ascii="仿宋_GB2312" w:eastAsia="仿宋_GB2312" w:cs="宋体" w:hAnsiTheme="minorEastAsia"/>
                <w:sz w:val="24"/>
              </w:rPr>
            </w:pPr>
            <w:r>
              <w:rPr>
                <w:rFonts w:hint="eastAsia" w:ascii="仿宋_GB2312" w:eastAsia="仿宋_GB2312" w:cs="宋体" w:hAnsiTheme="minorEastAsia"/>
                <w:sz w:val="24"/>
              </w:rPr>
              <w:t>1.针对项目实施过程重点难点问题，进行逐一分析，且分析准确到位；</w:t>
            </w:r>
          </w:p>
          <w:p>
            <w:pPr>
              <w:jc w:val="left"/>
              <w:rPr>
                <w:rFonts w:ascii="仿宋_GB2312" w:eastAsia="仿宋_GB2312" w:cs="宋体" w:hAnsiTheme="minorEastAsia"/>
                <w:sz w:val="24"/>
              </w:rPr>
            </w:pPr>
            <w:r>
              <w:rPr>
                <w:rFonts w:hint="eastAsia" w:ascii="仿宋_GB2312" w:eastAsia="仿宋_GB2312" w:cs="宋体" w:hAnsiTheme="minorEastAsia"/>
                <w:sz w:val="24"/>
              </w:rPr>
              <w:t>2. 应对措施及相关的合理化建议的主要内容科学完整；</w:t>
            </w:r>
          </w:p>
          <w:p>
            <w:pPr>
              <w:jc w:val="left"/>
              <w:rPr>
                <w:rFonts w:ascii="仿宋_GB2312" w:eastAsia="仿宋_GB2312" w:cs="宋体" w:hAnsiTheme="minorEastAsia"/>
                <w:sz w:val="24"/>
              </w:rPr>
            </w:pPr>
            <w:r>
              <w:rPr>
                <w:rFonts w:hint="eastAsia" w:ascii="仿宋_GB2312" w:eastAsia="仿宋_GB2312" w:cs="宋体" w:hAnsiTheme="minorEastAsia"/>
                <w:sz w:val="24"/>
              </w:rPr>
              <w:t>3.在以上内容完整的基础上，根据内容的合理性进行分档评分。</w:t>
            </w:r>
          </w:p>
          <w:p>
            <w:pPr>
              <w:jc w:val="left"/>
              <w:rPr>
                <w:rFonts w:ascii="仿宋_GB2312" w:eastAsia="仿宋_GB2312" w:cs="宋体" w:hAnsiTheme="minorEastAsia"/>
                <w:sz w:val="24"/>
              </w:rPr>
            </w:pPr>
            <w:r>
              <w:rPr>
                <w:rFonts w:hint="eastAsia" w:ascii="仿宋_GB2312" w:eastAsia="仿宋_GB2312" w:cs="宋体" w:hAnsiTheme="minorEastAsia"/>
                <w:sz w:val="24"/>
              </w:rPr>
              <w:t>评分标准：</w:t>
            </w:r>
          </w:p>
          <w:p>
            <w:pPr>
              <w:jc w:val="left"/>
              <w:rPr>
                <w:rFonts w:ascii="仿宋_GB2312" w:eastAsia="仿宋_GB2312" w:cs="宋体" w:hAnsiTheme="minorEastAsia"/>
                <w:sz w:val="24"/>
              </w:rPr>
            </w:pPr>
            <w:r>
              <w:rPr>
                <w:rFonts w:hint="eastAsia" w:ascii="仿宋_GB2312" w:eastAsia="仿宋_GB2312" w:cs="宋体" w:hAnsiTheme="minorEastAsia"/>
                <w:sz w:val="24"/>
              </w:rPr>
              <w:t>优良中差评分标准：</w:t>
            </w:r>
          </w:p>
          <w:p>
            <w:pPr>
              <w:jc w:val="left"/>
              <w:rPr>
                <w:rFonts w:ascii="仿宋_GB2312" w:eastAsia="仿宋_GB2312" w:cs="宋体" w:hAnsiTheme="minorEastAsia"/>
                <w:sz w:val="24"/>
              </w:rPr>
            </w:pPr>
            <w:r>
              <w:rPr>
                <w:rFonts w:hint="eastAsia" w:ascii="仿宋_GB2312" w:eastAsia="仿宋_GB2312" w:cs="宋体" w:hAnsiTheme="minorEastAsia"/>
                <w:sz w:val="24"/>
              </w:rPr>
              <w:t>（1）投标文件响应内容全面；</w:t>
            </w:r>
          </w:p>
          <w:p>
            <w:pPr>
              <w:jc w:val="left"/>
              <w:rPr>
                <w:rFonts w:ascii="仿宋_GB2312" w:eastAsia="仿宋_GB2312" w:cs="宋体" w:hAnsiTheme="minorEastAsia"/>
                <w:sz w:val="24"/>
              </w:rPr>
            </w:pPr>
            <w:r>
              <w:rPr>
                <w:rFonts w:hint="eastAsia" w:ascii="仿宋_GB2312" w:eastAsia="仿宋_GB2312" w:cs="宋体" w:hAnsiTheme="minorEastAsia"/>
                <w:sz w:val="24"/>
              </w:rPr>
              <w:t>（2）投标文件响应内容具体；</w:t>
            </w:r>
          </w:p>
          <w:p>
            <w:pPr>
              <w:jc w:val="left"/>
              <w:rPr>
                <w:rFonts w:ascii="仿宋_GB2312" w:eastAsia="仿宋_GB2312" w:cs="宋体" w:hAnsiTheme="minorEastAsia"/>
                <w:sz w:val="24"/>
              </w:rPr>
            </w:pPr>
            <w:r>
              <w:rPr>
                <w:rFonts w:hint="eastAsia" w:ascii="仿宋_GB2312" w:eastAsia="仿宋_GB2312" w:cs="宋体" w:hAnsiTheme="minorEastAsia"/>
                <w:sz w:val="24"/>
              </w:rPr>
              <w:t>（3）投标文件响应内容针对性强；</w:t>
            </w:r>
          </w:p>
          <w:p>
            <w:pPr>
              <w:jc w:val="left"/>
              <w:rPr>
                <w:rFonts w:ascii="仿宋_GB2312" w:eastAsia="仿宋_GB2312" w:cs="宋体" w:hAnsiTheme="minorEastAsia"/>
                <w:sz w:val="24"/>
              </w:rPr>
            </w:pPr>
            <w:r>
              <w:rPr>
                <w:rFonts w:hint="eastAsia" w:ascii="仿宋_GB2312" w:eastAsia="仿宋_GB2312" w:cs="宋体" w:hAnsiTheme="minorEastAsia"/>
                <w:sz w:val="24"/>
              </w:rPr>
              <w:t>（4）投标文件响应内容科学合理；</w:t>
            </w:r>
          </w:p>
          <w:p>
            <w:pPr>
              <w:jc w:val="left"/>
              <w:rPr>
                <w:rFonts w:ascii="仿宋_GB2312" w:eastAsia="仿宋_GB2312" w:cs="宋体" w:hAnsiTheme="minorEastAsia"/>
                <w:sz w:val="24"/>
              </w:rPr>
            </w:pPr>
            <w:r>
              <w:rPr>
                <w:rFonts w:hint="eastAsia" w:ascii="仿宋_GB2312" w:eastAsia="仿宋_GB2312" w:cs="宋体" w:hAnsiTheme="minorEastAsia"/>
                <w:sz w:val="24"/>
              </w:rPr>
              <w:t>（5）投标文件响应内容可操作性强。</w:t>
            </w:r>
          </w:p>
          <w:p>
            <w:pPr>
              <w:jc w:val="left"/>
              <w:rPr>
                <w:rFonts w:ascii="仿宋_GB2312" w:eastAsia="仿宋_GB2312" w:cs="宋体" w:hAnsiTheme="minorEastAsia"/>
                <w:sz w:val="24"/>
              </w:rPr>
            </w:pPr>
            <w:r>
              <w:rPr>
                <w:rFonts w:hint="eastAsia" w:ascii="仿宋_GB2312" w:eastAsia="仿宋_GB2312" w:cs="宋体" w:hAnsiTheme="minorEastAsia"/>
                <w:sz w:val="24"/>
              </w:rPr>
              <w:t>满足以上五项要求的评价为优，得9分；</w:t>
            </w:r>
          </w:p>
          <w:p>
            <w:pPr>
              <w:jc w:val="left"/>
              <w:rPr>
                <w:rFonts w:ascii="仿宋_GB2312" w:eastAsia="仿宋_GB2312" w:cs="宋体" w:hAnsiTheme="minorEastAsia"/>
                <w:sz w:val="24"/>
              </w:rPr>
            </w:pPr>
            <w:r>
              <w:rPr>
                <w:rFonts w:hint="eastAsia" w:ascii="仿宋_GB2312" w:eastAsia="仿宋_GB2312" w:cs="宋体" w:hAnsiTheme="minorEastAsia"/>
                <w:sz w:val="24"/>
              </w:rPr>
              <w:t>满足以上四项要求的评价为良，得7分；</w:t>
            </w:r>
          </w:p>
          <w:p>
            <w:pPr>
              <w:jc w:val="left"/>
              <w:rPr>
                <w:rFonts w:ascii="仿宋_GB2312" w:eastAsia="仿宋_GB2312" w:cs="宋体" w:hAnsiTheme="minorEastAsia"/>
                <w:sz w:val="24"/>
              </w:rPr>
            </w:pPr>
            <w:r>
              <w:rPr>
                <w:rFonts w:hint="eastAsia" w:ascii="仿宋_GB2312" w:eastAsia="仿宋_GB2312" w:cs="宋体" w:hAnsiTheme="minorEastAsia"/>
                <w:sz w:val="24"/>
              </w:rPr>
              <w:t>满足以上三项要求的评价为中，得5分；</w:t>
            </w:r>
          </w:p>
          <w:p>
            <w:pPr>
              <w:jc w:val="left"/>
              <w:rPr>
                <w:rFonts w:ascii="仿宋_GB2312" w:eastAsia="仿宋_GB2312" w:cs="宋体" w:hAnsiTheme="minorEastAsia"/>
                <w:sz w:val="24"/>
              </w:rPr>
            </w:pPr>
            <w:r>
              <w:rPr>
                <w:rFonts w:hint="eastAsia" w:ascii="仿宋_GB2312" w:eastAsia="仿宋_GB2312" w:cs="宋体" w:hAnsiTheme="minorEastAsia"/>
                <w:sz w:val="24"/>
              </w:rPr>
              <w:t>其它情况的评价为差，不得分。</w:t>
            </w:r>
          </w:p>
        </w:tc>
        <w:tc>
          <w:tcPr>
            <w:tcW w:w="901"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9分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66" w:hRule="atLeast"/>
        </w:trPr>
        <w:tc>
          <w:tcPr>
            <w:tcW w:w="1033" w:type="dxa"/>
            <w:vMerge w:val="continue"/>
            <w:vAlign w:val="center"/>
          </w:tcPr>
          <w:p>
            <w:pPr>
              <w:adjustRightInd w:val="0"/>
              <w:snapToGrid w:val="0"/>
              <w:spacing w:after="60"/>
              <w:jc w:val="center"/>
              <w:rPr>
                <w:rFonts w:ascii="仿宋_GB2312" w:eastAsia="仿宋_GB2312" w:cs="Arial" w:hAnsiTheme="minorEastAsia"/>
                <w:b/>
                <w:sz w:val="24"/>
              </w:rPr>
            </w:pPr>
          </w:p>
        </w:tc>
        <w:tc>
          <w:tcPr>
            <w:tcW w:w="1471"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质量（完成时间、安全、环保）保障措施及方案</w:t>
            </w:r>
          </w:p>
        </w:tc>
        <w:tc>
          <w:tcPr>
            <w:tcW w:w="5067" w:type="dxa"/>
            <w:vAlign w:val="center"/>
          </w:tcPr>
          <w:p>
            <w:pPr>
              <w:jc w:val="left"/>
              <w:rPr>
                <w:rFonts w:ascii="仿宋_GB2312" w:eastAsia="仿宋_GB2312" w:cs="宋体" w:hAnsiTheme="minorEastAsia"/>
                <w:b/>
                <w:sz w:val="24"/>
              </w:rPr>
            </w:pPr>
            <w:r>
              <w:rPr>
                <w:rFonts w:hint="eastAsia" w:ascii="仿宋_GB2312" w:eastAsia="仿宋_GB2312" w:cs="宋体" w:hAnsiTheme="minorEastAsia"/>
                <w:b/>
                <w:sz w:val="24"/>
              </w:rPr>
              <w:t>评审内容：</w:t>
            </w:r>
          </w:p>
          <w:p>
            <w:pPr>
              <w:jc w:val="left"/>
              <w:rPr>
                <w:rFonts w:ascii="仿宋_GB2312" w:eastAsia="仿宋_GB2312" w:cs="宋体" w:hAnsiTheme="minorEastAsia"/>
                <w:sz w:val="24"/>
              </w:rPr>
            </w:pPr>
            <w:r>
              <w:rPr>
                <w:rFonts w:hint="eastAsia" w:ascii="仿宋_GB2312" w:eastAsia="仿宋_GB2312" w:cs="宋体" w:hAnsiTheme="minorEastAsia"/>
                <w:sz w:val="24"/>
              </w:rPr>
              <w:t>1. 质量保障措施及方案的全面、得当、科学、合理及具实操性,内容清晰完整；</w:t>
            </w:r>
          </w:p>
          <w:p>
            <w:pPr>
              <w:jc w:val="left"/>
              <w:rPr>
                <w:rFonts w:ascii="仿宋_GB2312" w:eastAsia="仿宋_GB2312" w:cs="宋体" w:hAnsiTheme="minorEastAsia"/>
                <w:sz w:val="24"/>
              </w:rPr>
            </w:pPr>
            <w:r>
              <w:rPr>
                <w:rFonts w:hint="eastAsia" w:ascii="仿宋_GB2312" w:eastAsia="仿宋_GB2312" w:cs="宋体" w:hAnsiTheme="minorEastAsia"/>
                <w:sz w:val="24"/>
              </w:rPr>
              <w:t>2.制度措施合理到位；</w:t>
            </w:r>
          </w:p>
          <w:p>
            <w:pPr>
              <w:jc w:val="left"/>
              <w:rPr>
                <w:rFonts w:ascii="仿宋_GB2312" w:eastAsia="仿宋_GB2312" w:cs="宋体" w:hAnsiTheme="minorEastAsia"/>
                <w:sz w:val="24"/>
              </w:rPr>
            </w:pPr>
            <w:r>
              <w:rPr>
                <w:rFonts w:hint="eastAsia" w:ascii="仿宋_GB2312" w:eastAsia="仿宋_GB2312" w:cs="宋体" w:hAnsiTheme="minorEastAsia"/>
                <w:sz w:val="24"/>
              </w:rPr>
              <w:t>3.进度安排科学、符合项目要求；</w:t>
            </w:r>
          </w:p>
          <w:p>
            <w:pPr>
              <w:jc w:val="left"/>
              <w:rPr>
                <w:rFonts w:ascii="仿宋_GB2312" w:eastAsia="仿宋_GB2312" w:cs="宋体" w:hAnsiTheme="minorEastAsia"/>
                <w:sz w:val="24"/>
              </w:rPr>
            </w:pPr>
            <w:r>
              <w:rPr>
                <w:rFonts w:hint="eastAsia" w:ascii="仿宋_GB2312" w:eastAsia="仿宋_GB2312" w:cs="宋体" w:hAnsiTheme="minorEastAsia"/>
                <w:sz w:val="24"/>
              </w:rPr>
              <w:t>4.在以上内容完整的基础上，根据内容的合理性进行分档评分；</w:t>
            </w:r>
          </w:p>
          <w:p>
            <w:pPr>
              <w:jc w:val="left"/>
              <w:rPr>
                <w:rFonts w:ascii="仿宋_GB2312" w:eastAsia="仿宋_GB2312" w:cs="宋体" w:hAnsiTheme="minorEastAsia"/>
                <w:sz w:val="24"/>
              </w:rPr>
            </w:pPr>
            <w:r>
              <w:rPr>
                <w:rFonts w:hint="eastAsia" w:ascii="仿宋_GB2312" w:eastAsia="仿宋_GB2312" w:cs="宋体" w:hAnsiTheme="minorEastAsia"/>
                <w:sz w:val="24"/>
              </w:rPr>
              <w:t>评分标准：</w:t>
            </w:r>
          </w:p>
          <w:p>
            <w:pPr>
              <w:jc w:val="left"/>
              <w:rPr>
                <w:rFonts w:ascii="仿宋_GB2312" w:eastAsia="仿宋_GB2312" w:cs="宋体" w:hAnsiTheme="minorEastAsia"/>
                <w:sz w:val="24"/>
              </w:rPr>
            </w:pPr>
            <w:r>
              <w:rPr>
                <w:rFonts w:hint="eastAsia" w:ascii="仿宋_GB2312" w:eastAsia="仿宋_GB2312" w:cs="宋体" w:hAnsiTheme="minorEastAsia"/>
                <w:sz w:val="24"/>
              </w:rPr>
              <w:t>优良中差评分标准：</w:t>
            </w:r>
          </w:p>
          <w:p>
            <w:pPr>
              <w:jc w:val="left"/>
              <w:rPr>
                <w:rFonts w:ascii="仿宋_GB2312" w:eastAsia="仿宋_GB2312" w:cs="宋体" w:hAnsiTheme="minorEastAsia"/>
                <w:sz w:val="24"/>
              </w:rPr>
            </w:pPr>
            <w:r>
              <w:rPr>
                <w:rFonts w:hint="eastAsia" w:ascii="仿宋_GB2312" w:eastAsia="仿宋_GB2312" w:cs="宋体" w:hAnsiTheme="minorEastAsia"/>
                <w:sz w:val="24"/>
              </w:rPr>
              <w:t>（1）投标文件响应内容全面；</w:t>
            </w:r>
          </w:p>
          <w:p>
            <w:pPr>
              <w:jc w:val="left"/>
              <w:rPr>
                <w:rFonts w:ascii="仿宋_GB2312" w:eastAsia="仿宋_GB2312" w:cs="宋体" w:hAnsiTheme="minorEastAsia"/>
                <w:sz w:val="24"/>
              </w:rPr>
            </w:pPr>
            <w:r>
              <w:rPr>
                <w:rFonts w:hint="eastAsia" w:ascii="仿宋_GB2312" w:eastAsia="仿宋_GB2312" w:cs="宋体" w:hAnsiTheme="minorEastAsia"/>
                <w:sz w:val="24"/>
              </w:rPr>
              <w:t>（2）投标文件响应内容具体；</w:t>
            </w:r>
          </w:p>
          <w:p>
            <w:pPr>
              <w:jc w:val="left"/>
              <w:rPr>
                <w:rFonts w:ascii="仿宋_GB2312" w:eastAsia="仿宋_GB2312" w:cs="宋体" w:hAnsiTheme="minorEastAsia"/>
                <w:sz w:val="24"/>
              </w:rPr>
            </w:pPr>
            <w:r>
              <w:rPr>
                <w:rFonts w:hint="eastAsia" w:ascii="仿宋_GB2312" w:eastAsia="仿宋_GB2312" w:cs="宋体" w:hAnsiTheme="minorEastAsia"/>
                <w:sz w:val="24"/>
              </w:rPr>
              <w:t>（3）投标文件响应内容针对性强；</w:t>
            </w:r>
          </w:p>
          <w:p>
            <w:pPr>
              <w:jc w:val="left"/>
              <w:rPr>
                <w:rFonts w:ascii="仿宋_GB2312" w:eastAsia="仿宋_GB2312" w:cs="宋体" w:hAnsiTheme="minorEastAsia"/>
                <w:sz w:val="24"/>
              </w:rPr>
            </w:pPr>
            <w:r>
              <w:rPr>
                <w:rFonts w:hint="eastAsia" w:ascii="仿宋_GB2312" w:eastAsia="仿宋_GB2312" w:cs="宋体" w:hAnsiTheme="minorEastAsia"/>
                <w:sz w:val="24"/>
              </w:rPr>
              <w:t>（4）投标文件响应内容科学合理；</w:t>
            </w:r>
          </w:p>
          <w:p>
            <w:pPr>
              <w:jc w:val="left"/>
              <w:rPr>
                <w:rFonts w:ascii="仿宋_GB2312" w:eastAsia="仿宋_GB2312" w:cs="宋体" w:hAnsiTheme="minorEastAsia"/>
                <w:sz w:val="24"/>
              </w:rPr>
            </w:pPr>
            <w:r>
              <w:rPr>
                <w:rFonts w:hint="eastAsia" w:ascii="仿宋_GB2312" w:eastAsia="仿宋_GB2312" w:cs="宋体" w:hAnsiTheme="minorEastAsia"/>
                <w:sz w:val="24"/>
              </w:rPr>
              <w:t>（5）投标文件响应内容可操作性强。</w:t>
            </w:r>
          </w:p>
          <w:p>
            <w:pPr>
              <w:jc w:val="left"/>
              <w:rPr>
                <w:rFonts w:ascii="仿宋_GB2312" w:eastAsia="仿宋_GB2312" w:cs="宋体" w:hAnsiTheme="minorEastAsia"/>
                <w:sz w:val="24"/>
              </w:rPr>
            </w:pPr>
            <w:r>
              <w:rPr>
                <w:rFonts w:hint="eastAsia" w:ascii="仿宋_GB2312" w:eastAsia="仿宋_GB2312" w:cs="宋体" w:hAnsiTheme="minorEastAsia"/>
                <w:sz w:val="24"/>
              </w:rPr>
              <w:t>满足以上五项要求的评价为优，得9分；</w:t>
            </w:r>
          </w:p>
          <w:p>
            <w:pPr>
              <w:jc w:val="left"/>
              <w:rPr>
                <w:rFonts w:ascii="仿宋_GB2312" w:eastAsia="仿宋_GB2312" w:cs="宋体" w:hAnsiTheme="minorEastAsia"/>
                <w:sz w:val="24"/>
              </w:rPr>
            </w:pPr>
            <w:r>
              <w:rPr>
                <w:rFonts w:hint="eastAsia" w:ascii="仿宋_GB2312" w:eastAsia="仿宋_GB2312" w:cs="宋体" w:hAnsiTheme="minorEastAsia"/>
                <w:sz w:val="24"/>
              </w:rPr>
              <w:t>满足以上四项要求的评价为良，得7分；</w:t>
            </w:r>
          </w:p>
          <w:p>
            <w:pPr>
              <w:jc w:val="left"/>
              <w:rPr>
                <w:rFonts w:ascii="仿宋_GB2312" w:eastAsia="仿宋_GB2312" w:cs="宋体" w:hAnsiTheme="minorEastAsia"/>
                <w:sz w:val="24"/>
              </w:rPr>
            </w:pPr>
            <w:r>
              <w:rPr>
                <w:rFonts w:hint="eastAsia" w:ascii="仿宋_GB2312" w:eastAsia="仿宋_GB2312" w:cs="宋体" w:hAnsiTheme="minorEastAsia"/>
                <w:sz w:val="24"/>
              </w:rPr>
              <w:t>满足以上三项要求的评价为中，得5分；</w:t>
            </w:r>
          </w:p>
          <w:p>
            <w:pPr>
              <w:jc w:val="left"/>
              <w:rPr>
                <w:rFonts w:ascii="仿宋_GB2312" w:eastAsia="仿宋_GB2312" w:cs="宋体" w:hAnsiTheme="minorEastAsia"/>
                <w:sz w:val="24"/>
              </w:rPr>
            </w:pPr>
            <w:r>
              <w:rPr>
                <w:rFonts w:hint="eastAsia" w:ascii="仿宋_GB2312" w:eastAsia="仿宋_GB2312" w:cs="宋体" w:hAnsiTheme="minorEastAsia"/>
                <w:sz w:val="24"/>
              </w:rPr>
              <w:t>其它情况的评价为差，不得分。</w:t>
            </w:r>
          </w:p>
        </w:tc>
        <w:tc>
          <w:tcPr>
            <w:tcW w:w="901"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9分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66" w:hRule="atLeast"/>
        </w:trPr>
        <w:tc>
          <w:tcPr>
            <w:tcW w:w="1033" w:type="dxa"/>
            <w:vMerge w:val="continue"/>
            <w:vAlign w:val="center"/>
          </w:tcPr>
          <w:p>
            <w:pPr>
              <w:adjustRightInd w:val="0"/>
              <w:snapToGrid w:val="0"/>
              <w:spacing w:after="60"/>
              <w:jc w:val="center"/>
              <w:rPr>
                <w:rFonts w:ascii="仿宋_GB2312" w:eastAsia="仿宋_GB2312" w:cs="Arial" w:hAnsiTheme="minorEastAsia"/>
                <w:b/>
                <w:sz w:val="24"/>
              </w:rPr>
            </w:pPr>
          </w:p>
        </w:tc>
        <w:tc>
          <w:tcPr>
            <w:tcW w:w="1471"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项目完成（服务期满）后的服务承诺</w:t>
            </w:r>
          </w:p>
        </w:tc>
        <w:tc>
          <w:tcPr>
            <w:tcW w:w="5067" w:type="dxa"/>
            <w:vAlign w:val="center"/>
          </w:tcPr>
          <w:p>
            <w:pPr>
              <w:jc w:val="left"/>
              <w:rPr>
                <w:rFonts w:ascii="仿宋_GB2312" w:eastAsia="仿宋_GB2312" w:cs="宋体" w:hAnsiTheme="minorEastAsia"/>
                <w:b/>
                <w:sz w:val="24"/>
              </w:rPr>
            </w:pPr>
            <w:r>
              <w:rPr>
                <w:rFonts w:hint="eastAsia" w:ascii="仿宋_GB2312" w:eastAsia="仿宋_GB2312" w:cs="宋体" w:hAnsiTheme="minorEastAsia"/>
                <w:b/>
                <w:sz w:val="24"/>
              </w:rPr>
              <w:t>评审内容：</w:t>
            </w:r>
          </w:p>
          <w:p>
            <w:pPr>
              <w:jc w:val="left"/>
              <w:rPr>
                <w:rFonts w:ascii="仿宋_GB2312" w:eastAsia="仿宋_GB2312" w:cs="宋体" w:hAnsiTheme="minorEastAsia"/>
                <w:sz w:val="24"/>
              </w:rPr>
            </w:pPr>
            <w:r>
              <w:rPr>
                <w:rFonts w:hint="eastAsia" w:ascii="仿宋_GB2312" w:eastAsia="仿宋_GB2312" w:cs="宋体" w:hAnsiTheme="minorEastAsia"/>
                <w:sz w:val="24"/>
              </w:rPr>
              <w:t>1.提供项目完成后服务负责人信息与联系方式；</w:t>
            </w:r>
          </w:p>
          <w:p>
            <w:pPr>
              <w:jc w:val="left"/>
              <w:rPr>
                <w:rFonts w:ascii="仿宋_GB2312" w:eastAsia="仿宋_GB2312" w:cs="宋体" w:hAnsiTheme="minorEastAsia"/>
                <w:sz w:val="24"/>
              </w:rPr>
            </w:pPr>
            <w:r>
              <w:rPr>
                <w:rFonts w:hint="eastAsia" w:ascii="仿宋_GB2312" w:eastAsia="仿宋_GB2312" w:cs="宋体" w:hAnsiTheme="minorEastAsia"/>
                <w:sz w:val="24"/>
              </w:rPr>
              <w:t>2.给出明确的服务年限；</w:t>
            </w:r>
          </w:p>
          <w:p>
            <w:pPr>
              <w:jc w:val="left"/>
              <w:rPr>
                <w:rFonts w:ascii="仿宋_GB2312" w:eastAsia="仿宋_GB2312" w:cs="宋体" w:hAnsiTheme="minorEastAsia"/>
                <w:sz w:val="24"/>
              </w:rPr>
            </w:pPr>
            <w:r>
              <w:rPr>
                <w:rFonts w:hint="eastAsia" w:ascii="仿宋_GB2312" w:eastAsia="仿宋_GB2312" w:cs="宋体" w:hAnsiTheme="minorEastAsia"/>
                <w:sz w:val="24"/>
              </w:rPr>
              <w:t>3.详细阐述服务制度与响应时间；</w:t>
            </w:r>
          </w:p>
          <w:p>
            <w:pPr>
              <w:jc w:val="left"/>
              <w:rPr>
                <w:rFonts w:ascii="仿宋_GB2312" w:eastAsia="仿宋_GB2312" w:cs="宋体" w:hAnsiTheme="minorEastAsia"/>
                <w:sz w:val="24"/>
              </w:rPr>
            </w:pPr>
            <w:r>
              <w:rPr>
                <w:rFonts w:hint="eastAsia" w:ascii="仿宋_GB2312" w:eastAsia="仿宋_GB2312" w:cs="宋体" w:hAnsiTheme="minorEastAsia"/>
                <w:sz w:val="24"/>
              </w:rPr>
              <w:t>4.详细阐述项目完成后服务内容。</w:t>
            </w:r>
          </w:p>
          <w:p>
            <w:pPr>
              <w:jc w:val="left"/>
              <w:rPr>
                <w:rFonts w:ascii="仿宋_GB2312" w:eastAsia="仿宋_GB2312" w:cs="宋体" w:hAnsiTheme="minorEastAsia"/>
                <w:sz w:val="24"/>
              </w:rPr>
            </w:pPr>
            <w:r>
              <w:rPr>
                <w:rFonts w:hint="eastAsia" w:ascii="仿宋_GB2312" w:eastAsia="仿宋_GB2312" w:cs="宋体" w:hAnsiTheme="minorEastAsia"/>
                <w:sz w:val="24"/>
              </w:rPr>
              <w:t>评分标准：</w:t>
            </w:r>
          </w:p>
          <w:p>
            <w:pPr>
              <w:jc w:val="left"/>
              <w:rPr>
                <w:rFonts w:ascii="仿宋_GB2312" w:eastAsia="仿宋_GB2312" w:cs="宋体" w:hAnsiTheme="minorEastAsia"/>
                <w:sz w:val="24"/>
              </w:rPr>
            </w:pPr>
            <w:r>
              <w:rPr>
                <w:rFonts w:hint="eastAsia" w:ascii="仿宋_GB2312" w:eastAsia="仿宋_GB2312" w:cs="宋体" w:hAnsiTheme="minorEastAsia"/>
                <w:sz w:val="24"/>
              </w:rPr>
              <w:t>投标人承诺以上全部4项的得满分，否则不得分。要求提供承诺作为得分依据，格式自拟。</w:t>
            </w:r>
          </w:p>
        </w:tc>
        <w:tc>
          <w:tcPr>
            <w:tcW w:w="901"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4分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514" w:hRule="atLeast"/>
        </w:trPr>
        <w:tc>
          <w:tcPr>
            <w:tcW w:w="1033" w:type="dxa"/>
            <w:vMerge w:val="continue"/>
            <w:vAlign w:val="center"/>
          </w:tcPr>
          <w:p>
            <w:pPr>
              <w:adjustRightInd w:val="0"/>
              <w:snapToGrid w:val="0"/>
              <w:spacing w:after="60"/>
              <w:jc w:val="center"/>
              <w:rPr>
                <w:rFonts w:ascii="仿宋_GB2312" w:eastAsia="仿宋_GB2312" w:cs="Arial" w:hAnsiTheme="minorEastAsia"/>
                <w:b/>
                <w:sz w:val="24"/>
              </w:rPr>
            </w:pPr>
          </w:p>
        </w:tc>
        <w:tc>
          <w:tcPr>
            <w:tcW w:w="1471"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违约承诺</w:t>
            </w:r>
          </w:p>
        </w:tc>
        <w:tc>
          <w:tcPr>
            <w:tcW w:w="5067" w:type="dxa"/>
          </w:tcPr>
          <w:p>
            <w:pPr>
              <w:jc w:val="left"/>
              <w:rPr>
                <w:rFonts w:ascii="仿宋_GB2312" w:eastAsia="仿宋_GB2312" w:cs="宋体" w:hAnsiTheme="minorEastAsia"/>
                <w:b/>
                <w:sz w:val="24"/>
              </w:rPr>
            </w:pPr>
            <w:r>
              <w:rPr>
                <w:rFonts w:hint="eastAsia" w:ascii="仿宋_GB2312" w:eastAsia="仿宋_GB2312" w:cs="宋体" w:hAnsiTheme="minorEastAsia"/>
                <w:b/>
                <w:sz w:val="24"/>
              </w:rPr>
              <w:t>评审内容：</w:t>
            </w:r>
          </w:p>
          <w:p>
            <w:pPr>
              <w:jc w:val="left"/>
              <w:rPr>
                <w:rFonts w:ascii="仿宋_GB2312" w:eastAsia="仿宋_GB2312" w:cs="宋体" w:hAnsiTheme="minorEastAsia"/>
                <w:sz w:val="24"/>
              </w:rPr>
            </w:pPr>
            <w:r>
              <w:rPr>
                <w:rFonts w:hint="eastAsia" w:ascii="仿宋_GB2312" w:eastAsia="仿宋_GB2312" w:cs="宋体" w:hAnsiTheme="minorEastAsia"/>
                <w:sz w:val="24"/>
              </w:rPr>
              <w:t>1.承诺满足招标文件要求，保证措施合理且有针对性，有具体的违约责任承诺的为优；</w:t>
            </w:r>
          </w:p>
          <w:p>
            <w:pPr>
              <w:jc w:val="left"/>
              <w:rPr>
                <w:rFonts w:ascii="仿宋_GB2312" w:eastAsia="仿宋_GB2312" w:cs="宋体" w:hAnsiTheme="minorEastAsia"/>
                <w:sz w:val="24"/>
              </w:rPr>
            </w:pPr>
            <w:r>
              <w:rPr>
                <w:rFonts w:hint="eastAsia" w:ascii="仿宋_GB2312" w:eastAsia="仿宋_GB2312" w:cs="宋体" w:hAnsiTheme="minorEastAsia"/>
                <w:sz w:val="24"/>
              </w:rPr>
              <w:t>2.承诺满足招标文件要求，保证措施合理但针对性一般，有具体的违约责任承诺的为良；</w:t>
            </w:r>
          </w:p>
          <w:p>
            <w:pPr>
              <w:jc w:val="left"/>
              <w:rPr>
                <w:rFonts w:ascii="仿宋_GB2312" w:eastAsia="仿宋_GB2312" w:cs="宋体" w:hAnsiTheme="minorEastAsia"/>
                <w:sz w:val="24"/>
              </w:rPr>
            </w:pPr>
            <w:r>
              <w:rPr>
                <w:rFonts w:hint="eastAsia" w:ascii="仿宋_GB2312" w:eastAsia="仿宋_GB2312" w:cs="宋体" w:hAnsiTheme="minorEastAsia"/>
                <w:sz w:val="24"/>
              </w:rPr>
              <w:t>3.承诺满足招标文件要求，保证措施基本合理，有具体的违约责任承诺的为中；</w:t>
            </w:r>
          </w:p>
          <w:p>
            <w:pPr>
              <w:jc w:val="left"/>
              <w:rPr>
                <w:rFonts w:ascii="仿宋_GB2312" w:eastAsia="仿宋_GB2312" w:cs="宋体" w:hAnsiTheme="minorEastAsia"/>
                <w:sz w:val="24"/>
              </w:rPr>
            </w:pPr>
            <w:r>
              <w:rPr>
                <w:rFonts w:hint="eastAsia" w:ascii="仿宋_GB2312" w:eastAsia="仿宋_GB2312" w:cs="宋体" w:hAnsiTheme="minorEastAsia"/>
                <w:sz w:val="24"/>
              </w:rPr>
              <w:t>4.在以上内容完整的基础上，根据内容的合理性进行分档评分；</w:t>
            </w:r>
          </w:p>
          <w:p>
            <w:pPr>
              <w:jc w:val="left"/>
              <w:rPr>
                <w:rFonts w:ascii="仿宋_GB2312" w:eastAsia="仿宋_GB2312" w:cs="宋体" w:hAnsiTheme="minorEastAsia"/>
                <w:sz w:val="24"/>
              </w:rPr>
            </w:pPr>
            <w:r>
              <w:rPr>
                <w:rFonts w:hint="eastAsia" w:ascii="仿宋_GB2312" w:eastAsia="仿宋_GB2312" w:cs="宋体" w:hAnsiTheme="minorEastAsia"/>
                <w:sz w:val="24"/>
              </w:rPr>
              <w:t>评分标准：</w:t>
            </w:r>
          </w:p>
          <w:p>
            <w:pPr>
              <w:jc w:val="left"/>
              <w:rPr>
                <w:rFonts w:ascii="仿宋_GB2312" w:eastAsia="仿宋_GB2312" w:cs="宋体" w:hAnsiTheme="minorEastAsia"/>
                <w:sz w:val="24"/>
              </w:rPr>
            </w:pPr>
            <w:r>
              <w:rPr>
                <w:rFonts w:hint="eastAsia" w:ascii="仿宋_GB2312" w:eastAsia="仿宋_GB2312" w:cs="宋体" w:hAnsiTheme="minorEastAsia"/>
                <w:sz w:val="24"/>
              </w:rPr>
              <w:t>优良中差评分标准：</w:t>
            </w:r>
          </w:p>
          <w:p>
            <w:pPr>
              <w:jc w:val="left"/>
              <w:rPr>
                <w:rFonts w:ascii="仿宋_GB2312" w:eastAsia="仿宋_GB2312" w:cs="宋体" w:hAnsiTheme="minorEastAsia"/>
                <w:sz w:val="24"/>
              </w:rPr>
            </w:pPr>
            <w:r>
              <w:rPr>
                <w:rFonts w:hint="eastAsia" w:ascii="仿宋_GB2312" w:eastAsia="仿宋_GB2312" w:cs="宋体" w:hAnsiTheme="minorEastAsia"/>
                <w:sz w:val="24"/>
              </w:rPr>
              <w:t>（1）投标文件响应内容全面；</w:t>
            </w:r>
          </w:p>
          <w:p>
            <w:pPr>
              <w:jc w:val="left"/>
              <w:rPr>
                <w:rFonts w:ascii="仿宋_GB2312" w:eastAsia="仿宋_GB2312" w:cs="宋体" w:hAnsiTheme="minorEastAsia"/>
                <w:sz w:val="24"/>
              </w:rPr>
            </w:pPr>
            <w:r>
              <w:rPr>
                <w:rFonts w:hint="eastAsia" w:ascii="仿宋_GB2312" w:eastAsia="仿宋_GB2312" w:cs="宋体" w:hAnsiTheme="minorEastAsia"/>
                <w:sz w:val="24"/>
              </w:rPr>
              <w:t>（2）投标文件响应内容具体；</w:t>
            </w:r>
          </w:p>
          <w:p>
            <w:pPr>
              <w:jc w:val="left"/>
              <w:rPr>
                <w:rFonts w:ascii="仿宋_GB2312" w:eastAsia="仿宋_GB2312" w:cs="宋体" w:hAnsiTheme="minorEastAsia"/>
                <w:sz w:val="24"/>
              </w:rPr>
            </w:pPr>
            <w:r>
              <w:rPr>
                <w:rFonts w:hint="eastAsia" w:ascii="仿宋_GB2312" w:eastAsia="仿宋_GB2312" w:cs="宋体" w:hAnsiTheme="minorEastAsia"/>
                <w:sz w:val="24"/>
              </w:rPr>
              <w:t>（3）投标文件响应内容针对性强；</w:t>
            </w:r>
          </w:p>
          <w:p>
            <w:pPr>
              <w:jc w:val="left"/>
              <w:rPr>
                <w:rFonts w:ascii="仿宋_GB2312" w:eastAsia="仿宋_GB2312" w:cs="宋体" w:hAnsiTheme="minorEastAsia"/>
                <w:sz w:val="24"/>
              </w:rPr>
            </w:pPr>
            <w:r>
              <w:rPr>
                <w:rFonts w:hint="eastAsia" w:ascii="仿宋_GB2312" w:eastAsia="仿宋_GB2312" w:cs="宋体" w:hAnsiTheme="minorEastAsia"/>
                <w:sz w:val="24"/>
              </w:rPr>
              <w:t>（4）投标文件响应内容科学合理；</w:t>
            </w:r>
          </w:p>
          <w:p>
            <w:pPr>
              <w:jc w:val="left"/>
              <w:rPr>
                <w:rFonts w:ascii="仿宋_GB2312" w:eastAsia="仿宋_GB2312" w:cs="宋体" w:hAnsiTheme="minorEastAsia"/>
                <w:sz w:val="24"/>
              </w:rPr>
            </w:pPr>
            <w:r>
              <w:rPr>
                <w:rFonts w:hint="eastAsia" w:ascii="仿宋_GB2312" w:eastAsia="仿宋_GB2312" w:cs="宋体" w:hAnsiTheme="minorEastAsia"/>
                <w:sz w:val="24"/>
              </w:rPr>
              <w:t>（5）投标文件响应内容可操作性强。</w:t>
            </w:r>
          </w:p>
          <w:p>
            <w:pPr>
              <w:jc w:val="left"/>
              <w:rPr>
                <w:rFonts w:ascii="仿宋_GB2312" w:eastAsia="仿宋_GB2312" w:cs="宋体" w:hAnsiTheme="minorEastAsia"/>
                <w:sz w:val="24"/>
              </w:rPr>
            </w:pPr>
            <w:r>
              <w:rPr>
                <w:rFonts w:hint="eastAsia" w:ascii="仿宋_GB2312" w:eastAsia="仿宋_GB2312" w:cs="宋体" w:hAnsiTheme="minorEastAsia"/>
                <w:sz w:val="24"/>
              </w:rPr>
              <w:t>满足以上五项要求的评价为优，得5分；</w:t>
            </w:r>
          </w:p>
          <w:p>
            <w:pPr>
              <w:jc w:val="left"/>
              <w:rPr>
                <w:rFonts w:ascii="仿宋_GB2312" w:eastAsia="仿宋_GB2312" w:cs="宋体" w:hAnsiTheme="minorEastAsia"/>
                <w:sz w:val="24"/>
              </w:rPr>
            </w:pPr>
            <w:r>
              <w:rPr>
                <w:rFonts w:hint="eastAsia" w:ascii="仿宋_GB2312" w:eastAsia="仿宋_GB2312" w:cs="宋体" w:hAnsiTheme="minorEastAsia"/>
                <w:sz w:val="24"/>
              </w:rPr>
              <w:t>满足以上四项要求的评价为良，得4分；</w:t>
            </w:r>
          </w:p>
          <w:p>
            <w:pPr>
              <w:jc w:val="left"/>
              <w:rPr>
                <w:rFonts w:ascii="仿宋_GB2312" w:eastAsia="仿宋_GB2312" w:cs="宋体" w:hAnsiTheme="minorEastAsia"/>
                <w:sz w:val="24"/>
              </w:rPr>
            </w:pPr>
            <w:r>
              <w:rPr>
                <w:rFonts w:hint="eastAsia" w:ascii="仿宋_GB2312" w:eastAsia="仿宋_GB2312" w:cs="宋体" w:hAnsiTheme="minorEastAsia"/>
                <w:sz w:val="24"/>
              </w:rPr>
              <w:t>满足以上三项要求的评价为中，得3分；</w:t>
            </w:r>
          </w:p>
          <w:p>
            <w:pPr>
              <w:jc w:val="left"/>
              <w:rPr>
                <w:rFonts w:ascii="仿宋_GB2312" w:eastAsia="仿宋_GB2312" w:cs="宋体" w:hAnsiTheme="minorEastAsia"/>
                <w:sz w:val="24"/>
              </w:rPr>
            </w:pPr>
            <w:r>
              <w:rPr>
                <w:rFonts w:hint="eastAsia" w:ascii="仿宋_GB2312" w:eastAsia="仿宋_GB2312" w:cs="宋体" w:hAnsiTheme="minorEastAsia"/>
                <w:sz w:val="24"/>
              </w:rPr>
              <w:t>其它情况的评价为差，不得分。</w:t>
            </w:r>
          </w:p>
        </w:tc>
        <w:tc>
          <w:tcPr>
            <w:tcW w:w="901"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5分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514" w:hRule="atLeast"/>
        </w:trPr>
        <w:tc>
          <w:tcPr>
            <w:tcW w:w="1033"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价格评分（S）</w:t>
            </w:r>
          </w:p>
          <w:p>
            <w:pPr>
              <w:adjustRightInd w:val="0"/>
              <w:snapToGrid w:val="0"/>
              <w:spacing w:after="60"/>
              <w:jc w:val="center"/>
              <w:rPr>
                <w:rFonts w:ascii="仿宋_GB2312" w:eastAsia="仿宋_GB2312" w:cs="Arial" w:hAnsiTheme="minorEastAsia"/>
                <w:b/>
                <w:sz w:val="24"/>
              </w:rPr>
            </w:pPr>
            <w:r>
              <w:rPr>
                <w:rFonts w:hint="eastAsia" w:ascii="仿宋_GB2312" w:eastAsia="仿宋_GB2312" w:cs="宋体" w:hAnsiTheme="minorEastAsia"/>
                <w:sz w:val="24"/>
              </w:rPr>
              <w:t>（合计20分）</w:t>
            </w:r>
          </w:p>
        </w:tc>
        <w:tc>
          <w:tcPr>
            <w:tcW w:w="6538" w:type="dxa"/>
            <w:gridSpan w:val="2"/>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以所有通过符合性检查和不可偏离项检查的投标报价计算。得分按下列公式计算：S=[评标基准价/投标报价]×价格权重×100</w:t>
            </w:r>
          </w:p>
          <w:p>
            <w:pPr>
              <w:jc w:val="left"/>
              <w:rPr>
                <w:rFonts w:ascii="仿宋_GB2312" w:eastAsia="仿宋_GB2312" w:cs="宋体" w:hAnsiTheme="minorEastAsia"/>
                <w:sz w:val="24"/>
              </w:rPr>
            </w:pPr>
            <w:r>
              <w:rPr>
                <w:rFonts w:hint="eastAsia" w:ascii="仿宋_GB2312" w:eastAsia="仿宋_GB2312" w:cs="宋体" w:hAnsiTheme="minorEastAsia"/>
                <w:sz w:val="24"/>
              </w:rPr>
              <w:t>注：1.评标基准价为投标价格最低的投标报价，本项目价格分为20，即价格权值为20％；</w:t>
            </w:r>
          </w:p>
          <w:p>
            <w:pPr>
              <w:jc w:val="left"/>
              <w:rPr>
                <w:rFonts w:ascii="仿宋_GB2312" w:eastAsia="仿宋_GB2312" w:cs="宋体" w:hAnsiTheme="minorEastAsia"/>
                <w:b/>
                <w:sz w:val="24"/>
              </w:rPr>
            </w:pPr>
            <w:r>
              <w:rPr>
                <w:rFonts w:hint="eastAsia" w:ascii="仿宋_GB2312" w:eastAsia="仿宋_GB2312" w:cs="宋体" w:hAnsiTheme="minorEastAsia"/>
                <w:sz w:val="24"/>
              </w:rPr>
              <w:t>2. 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10%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tc>
        <w:tc>
          <w:tcPr>
            <w:tcW w:w="901"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20分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53" w:hRule="atLeast"/>
        </w:trPr>
        <w:tc>
          <w:tcPr>
            <w:tcW w:w="1033" w:type="dxa"/>
            <w:vAlign w:val="center"/>
          </w:tcPr>
          <w:p>
            <w:pPr>
              <w:jc w:val="left"/>
              <w:rPr>
                <w:rFonts w:ascii="仿宋_GB2312" w:eastAsia="仿宋_GB2312" w:cs="宋体" w:hAnsiTheme="minorEastAsia"/>
                <w:sz w:val="24"/>
              </w:rPr>
            </w:pPr>
            <w:r>
              <w:rPr>
                <w:rFonts w:hint="eastAsia" w:ascii="仿宋_GB2312" w:eastAsia="仿宋_GB2312" w:cs="宋体" w:hAnsiTheme="minorEastAsia"/>
                <w:sz w:val="24"/>
              </w:rPr>
              <w:t>评标总得分（N）（总分100分）</w:t>
            </w:r>
          </w:p>
        </w:tc>
        <w:tc>
          <w:tcPr>
            <w:tcW w:w="7439" w:type="dxa"/>
            <w:gridSpan w:val="3"/>
            <w:vAlign w:val="center"/>
          </w:tcPr>
          <w:p>
            <w:pPr>
              <w:jc w:val="center"/>
              <w:rPr>
                <w:rFonts w:ascii="仿宋_GB2312" w:eastAsia="仿宋_GB2312" w:cs="宋体" w:hAnsiTheme="minorEastAsia"/>
                <w:sz w:val="24"/>
              </w:rPr>
            </w:pPr>
            <w:r>
              <w:rPr>
                <w:rFonts w:hint="eastAsia" w:ascii="仿宋_GB2312" w:eastAsia="仿宋_GB2312" w:cs="宋体" w:hAnsiTheme="minorEastAsia"/>
                <w:sz w:val="24"/>
              </w:rPr>
              <w:t>N=J＋S</w:t>
            </w:r>
          </w:p>
        </w:tc>
      </w:tr>
    </w:tbl>
    <w:p>
      <w:pPr>
        <w:spacing w:line="560" w:lineRule="exact"/>
        <w:rPr>
          <w:rFonts w:ascii="黑体" w:hAnsi="黑体" w:eastAsia="黑体" w:cs="黑体"/>
          <w:sz w:val="32"/>
          <w:szCs w:val="32"/>
        </w:rPr>
      </w:pPr>
    </w:p>
    <w:p>
      <w:pPr>
        <w:spacing w:line="560" w:lineRule="exact"/>
        <w:ind w:firstLine="720" w:firstLineChars="200"/>
        <w:rPr>
          <w:rFonts w:ascii="黑体" w:hAnsi="黑体" w:eastAsia="黑体" w:cs="黑体"/>
          <w:sz w:val="36"/>
          <w:szCs w:val="36"/>
        </w:rPr>
      </w:pPr>
      <w:r>
        <w:rPr>
          <w:rFonts w:hint="eastAsia" w:ascii="黑体" w:hAnsi="黑体" w:eastAsia="黑体" w:cs="黑体"/>
          <w:sz w:val="36"/>
          <w:szCs w:val="36"/>
        </w:rPr>
        <w:t>第三部分   供应商资质要求</w:t>
      </w:r>
    </w:p>
    <w:p>
      <w:pPr>
        <w:widowControl/>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（1）</w:t>
      </w:r>
      <w:r>
        <w:rPr>
          <w:rFonts w:hint="eastAsia" w:ascii="仿宋_GB2312" w:hAnsi="宋体" w:eastAsia="仿宋_GB2312"/>
          <w:sz w:val="32"/>
          <w:szCs w:val="32"/>
        </w:rPr>
        <w:t>投标人应具有独立法人资格，具有安全技术咨询服务相关经营范围（提供营业执照副本及税务登记证副本及组织机构代码证复印件或“三证合一”合并后的营业执照证明扫描件，原件备查）；</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(2)投标人必须是深圳市政府采购供应商，提供供应商证明或网站截图；</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（2）近三年内无行贿犯罪记录（由深圳交易集团有限公司政府采购业务分公司定期向市人民检察院申请对政府采购供应商库中注册有效的供应商进行集中查询，投标文件中无需提供证明材料）；</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（3）本项目不接受联合体投标，不允许转包分包；</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以上内容由供应商在《政府采购投标及履约承诺函》中作出声明）</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注：“信用中国”中“信用服务”栏的“重大税收违法案件当事人名单”“失信被执行人”“中国政府采购网”中的“政府采购严重违法失信行为记录名单”“深圳信用网”以及“深圳市政府采购监管网”为供应商信用信息的查询渠道。</w:t>
      </w:r>
    </w:p>
    <w:p>
      <w:pPr>
        <w:spacing w:line="560" w:lineRule="exact"/>
        <w:rPr>
          <w:rFonts w:ascii="黑体" w:hAnsi="黑体" w:eastAsia="黑体" w:cs="黑体"/>
          <w:sz w:val="32"/>
          <w:szCs w:val="32"/>
        </w:rPr>
      </w:pPr>
    </w:p>
    <w:p>
      <w:pPr>
        <w:spacing w:line="560" w:lineRule="exact"/>
        <w:ind w:firstLine="720" w:firstLineChars="200"/>
        <w:rPr>
          <w:rFonts w:ascii="黑体" w:hAnsi="黑体" w:eastAsia="黑体" w:cs="黑体"/>
          <w:sz w:val="36"/>
          <w:szCs w:val="36"/>
        </w:rPr>
      </w:pPr>
      <w:r>
        <w:rPr>
          <w:rFonts w:hint="eastAsia" w:ascii="黑体" w:hAnsi="黑体" w:eastAsia="黑体" w:cs="黑体"/>
          <w:sz w:val="36"/>
          <w:szCs w:val="36"/>
        </w:rPr>
        <w:t>第四部分   响应文件的构成及递交</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一、响应文件的构成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（一）单位营业执照原件扫描件（加盖公章，原件备查；如深圳企业营业执照未反映经营范围，须提供深圳市市场监督管理局网站关于供应商经营范围查询结果的截图）；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（二）详细清单报价；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（三）近三年内（以投标截止日期为准，前推3年）同规模项目案例业绩资料；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（四）项目负责人及成员社保证明原件与安全类或消防类职称证书原件扫描件（加盖公章，原件备查）；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（五）项目团队人员证书原件扫描件（加盖公章，原件备查）；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（六）项目服务方案。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二、响应文件的递交</w:t>
      </w:r>
      <w:r>
        <w:rPr>
          <w:rFonts w:hint="eastAsia" w:ascii="仿宋_GB2312" w:hAnsi="仿宋_GB2312" w:eastAsia="仿宋_GB2312" w:cs="仿宋_GB2312"/>
          <w:sz w:val="32"/>
          <w:szCs w:val="32"/>
        </w:rPr>
        <w:t>（邮递拒绝到付）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（一）供应商应准备“响应文件”一式六份，与《响应一览表》（附件1）一同装在信封内密封，封口处需加盖单位公章，并在信封封面注明：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1.响应项目；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2.供应商名称；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3.联系人姓名、电话。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同时提供电子版或扫描版材料发送到（wgltzfk@szgm.gov.cn）。</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（二）响应文件递交截止时间：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供应商响应文件时间不得迟于响应文件递交截止时间202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时00分(北京时间)。</w:t>
      </w:r>
    </w:p>
    <w:p/>
    <w:p>
      <w:pPr>
        <w:spacing w:line="56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widowControl/>
        <w:spacing w:line="560" w:lineRule="exact"/>
        <w:jc w:val="center"/>
        <w:rPr>
          <w:rFonts w:ascii="黑体" w:hAnsi="黑体" w:eastAsia="黑体" w:cs="黑体"/>
          <w:sz w:val="36"/>
          <w:szCs w:val="36"/>
        </w:rPr>
      </w:pPr>
    </w:p>
    <w:p>
      <w:pPr>
        <w:widowControl/>
        <w:spacing w:line="560" w:lineRule="exact"/>
        <w:jc w:val="center"/>
        <w:rPr>
          <w:rFonts w:ascii="黑体" w:hAnsi="黑体" w:eastAsia="黑体" w:cs="黑体"/>
          <w:sz w:val="36"/>
          <w:szCs w:val="36"/>
        </w:rPr>
      </w:pPr>
      <w:r>
        <w:rPr>
          <w:rFonts w:hint="eastAsia" w:ascii="黑体" w:hAnsi="黑体" w:eastAsia="黑体" w:cs="黑体"/>
          <w:sz w:val="36"/>
          <w:szCs w:val="36"/>
        </w:rPr>
        <w:t>第三章  附件</w:t>
      </w:r>
    </w:p>
    <w:p>
      <w:pPr>
        <w:widowControl/>
        <w:adjustRightInd w:val="0"/>
        <w:snapToGrid w:val="0"/>
        <w:jc w:val="center"/>
        <w:rPr>
          <w:rFonts w:ascii="黑体" w:hAnsi="黑体" w:eastAsia="黑体" w:cs="黑体"/>
          <w:sz w:val="20"/>
          <w:szCs w:val="20"/>
        </w:rPr>
      </w:pPr>
    </w:p>
    <w:p>
      <w:pPr>
        <w:spacing w:line="560" w:lineRule="exact"/>
        <w:rPr>
          <w:rFonts w:ascii="黑体" w:hAnsi="黑体" w:eastAsia="黑体" w:cs="黑体"/>
          <w:sz w:val="36"/>
          <w:szCs w:val="36"/>
        </w:rPr>
      </w:pPr>
      <w:r>
        <w:rPr>
          <w:rFonts w:hint="eastAsia" w:ascii="黑体" w:hAnsi="黑体" w:eastAsia="黑体" w:cs="黑体"/>
          <w:sz w:val="36"/>
          <w:szCs w:val="36"/>
        </w:rPr>
        <w:t>附件1</w:t>
      </w:r>
    </w:p>
    <w:p>
      <w:pPr>
        <w:spacing w:line="560" w:lineRule="exact"/>
        <w:ind w:firstLine="3360" w:firstLineChars="1050"/>
        <w:rPr>
          <w:rFonts w:ascii="仿宋_GB2312" w:eastAsia="仿宋_GB2312"/>
          <w:sz w:val="32"/>
          <w:szCs w:val="32"/>
        </w:rPr>
      </w:pPr>
    </w:p>
    <w:p>
      <w:pPr>
        <w:spacing w:line="560" w:lineRule="exact"/>
        <w:ind w:firstLine="3360" w:firstLineChars="1050"/>
        <w:rPr>
          <w:rFonts w:ascii="仿宋_GB2312" w:eastAsia="仿宋_GB2312"/>
          <w:sz w:val="32"/>
          <w:szCs w:val="32"/>
        </w:rPr>
      </w:pPr>
      <w:r>
        <w:rPr>
          <w:rFonts w:hint="eastAsia" w:ascii="仿宋_GB2312" w:eastAsia="仿宋_GB2312"/>
          <w:sz w:val="32"/>
          <w:szCs w:val="32"/>
        </w:rPr>
        <w:t>响应一览表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项目编号：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项目名称：</w:t>
      </w:r>
    </w:p>
    <w:p>
      <w:pPr>
        <w:spacing w:afterLines="100" w:line="560" w:lineRule="exact"/>
        <w:ind w:firstLine="640" w:firstLineChars="200"/>
        <w:rPr>
          <w:rFonts w:ascii="仿宋_GB2312" w:eastAsia="仿宋_GB2312"/>
          <w:sz w:val="32"/>
          <w:szCs w:val="32"/>
        </w:rPr>
      </w:pPr>
      <w:r>
        <w:rPr>
          <w:rFonts w:hint="eastAsia" w:ascii="仿宋_GB2312" w:eastAsia="仿宋_GB2312"/>
          <w:sz w:val="32"/>
          <w:szCs w:val="32"/>
        </w:rPr>
        <w:t>供应商名称：</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95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序号</w:t>
            </w:r>
          </w:p>
        </w:tc>
        <w:tc>
          <w:tcPr>
            <w:tcW w:w="3953" w:type="dxa"/>
            <w:vAlign w:val="center"/>
          </w:tcPr>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响应报价</w:t>
            </w:r>
          </w:p>
        </w:tc>
        <w:tc>
          <w:tcPr>
            <w:tcW w:w="2841" w:type="dxa"/>
            <w:vAlign w:val="center"/>
          </w:tcPr>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spacing w:line="560" w:lineRule="exact"/>
              <w:ind w:firstLine="640" w:firstLineChars="200"/>
              <w:jc w:val="center"/>
              <w:rPr>
                <w:rFonts w:ascii="仿宋_GB2312" w:eastAsia="仿宋_GB2312"/>
                <w:sz w:val="32"/>
                <w:szCs w:val="32"/>
              </w:rPr>
            </w:pPr>
          </w:p>
        </w:tc>
        <w:tc>
          <w:tcPr>
            <w:tcW w:w="3953" w:type="dxa"/>
            <w:vAlign w:val="center"/>
          </w:tcPr>
          <w:p>
            <w:pPr>
              <w:spacing w:line="560" w:lineRule="exact"/>
              <w:ind w:firstLine="640" w:firstLineChars="200"/>
              <w:jc w:val="center"/>
              <w:rPr>
                <w:rFonts w:ascii="仿宋_GB2312" w:eastAsia="仿宋_GB2312"/>
                <w:sz w:val="32"/>
                <w:szCs w:val="32"/>
              </w:rPr>
            </w:pPr>
          </w:p>
        </w:tc>
        <w:tc>
          <w:tcPr>
            <w:tcW w:w="2841" w:type="dxa"/>
            <w:vAlign w:val="center"/>
          </w:tcPr>
          <w:p>
            <w:pPr>
              <w:spacing w:line="560" w:lineRule="exact"/>
              <w:ind w:firstLine="640" w:firstLineChars="200"/>
              <w:jc w:val="center"/>
              <w:rPr>
                <w:rFonts w:ascii="仿宋_GB2312" w:eastAsia="仿宋_GB2312"/>
                <w:sz w:val="32"/>
                <w:szCs w:val="32"/>
              </w:rPr>
            </w:pPr>
          </w:p>
        </w:tc>
      </w:tr>
    </w:tbl>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供应商代表签字：</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单位盖章：</w:t>
      </w:r>
    </w:p>
    <w:p>
      <w:pPr>
        <w:spacing w:line="560" w:lineRule="exact"/>
        <w:ind w:firstLine="640" w:firstLineChars="200"/>
        <w:rPr>
          <w:rFonts w:ascii="仿宋_GB2312" w:eastAsia="仿宋_GB2312"/>
          <w:sz w:val="32"/>
          <w:szCs w:val="32"/>
          <w:u w:val="single"/>
        </w:rPr>
      </w:pPr>
    </w:p>
    <w:p>
      <w:pPr>
        <w:spacing w:line="560" w:lineRule="exact"/>
        <w:ind w:firstLine="640" w:firstLineChars="200"/>
        <w:rPr>
          <w:rFonts w:ascii="仿宋_GB2312" w:eastAsia="仿宋_GB2312"/>
          <w:sz w:val="32"/>
          <w:szCs w:val="32"/>
          <w:u w:val="single"/>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供应商联系电话（必填）：</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日  期：</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- 15 -</w:t>
                          </w:r>
                          <w:r>
                            <w:rPr>
                              <w:rFonts w:hint="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- 15 -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46E78"/>
    <w:rsid w:val="0BB32E83"/>
    <w:rsid w:val="0DA21ECB"/>
    <w:rsid w:val="11A82469"/>
    <w:rsid w:val="23BF5858"/>
    <w:rsid w:val="2AB2275B"/>
    <w:rsid w:val="367F1D56"/>
    <w:rsid w:val="3ADA1813"/>
    <w:rsid w:val="3C3D48B3"/>
    <w:rsid w:val="3C7E4E65"/>
    <w:rsid w:val="46152919"/>
    <w:rsid w:val="490B349F"/>
    <w:rsid w:val="62646E78"/>
    <w:rsid w:val="6A0A4BEC"/>
    <w:rsid w:val="7BC567EA"/>
    <w:rsid w:val="7F3635A1"/>
    <w:rsid w:val="DFBBA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3"/>
    <w:next w:val="1"/>
    <w:qFormat/>
    <w:uiPriority w:val="0"/>
    <w:pPr>
      <w:spacing w:before="260" w:after="260" w:line="360" w:lineRule="auto"/>
      <w:jc w:val="center"/>
      <w:outlineLvl w:val="1"/>
    </w:pPr>
    <w:rPr>
      <w:rFonts w:ascii="黑体" w:hAnsi="宋体" w:eastAsia="黑体" w:cs="Arial"/>
      <w:b w:val="0"/>
      <w:bCs w:val="0"/>
      <w:sz w:val="28"/>
      <w:szCs w:val="21"/>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Courier New"/>
    </w:rPr>
  </w:style>
  <w:style w:type="paragraph" w:styleId="6">
    <w:name w:val="Body Text Indent"/>
    <w:basedOn w:val="1"/>
    <w:qFormat/>
    <w:uiPriority w:val="99"/>
    <w:pPr>
      <w:ind w:firstLine="900"/>
    </w:pPr>
    <w:rPr>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unhideWhenUsed/>
    <w:qFormat/>
    <w:uiPriority w:val="99"/>
    <w:pPr>
      <w:spacing w:after="120" w:line="360" w:lineRule="auto"/>
      <w:ind w:left="420" w:leftChars="200" w:firstLine="420" w:firstLineChars="200"/>
    </w:pPr>
    <w:rPr>
      <w:rFonts w:ascii="Calibri" w:hAnsi="Calibri"/>
      <w:szCs w:val="21"/>
    </w:rPr>
  </w:style>
  <w:style w:type="paragraph" w:customStyle="1" w:styleId="12">
    <w:name w:val="2册标题2"/>
    <w:basedOn w:val="1"/>
    <w:next w:val="1"/>
    <w:qFormat/>
    <w:uiPriority w:val="0"/>
    <w:pPr>
      <w:spacing w:beforeLines="50" w:afterLines="50" w:line="300" w:lineRule="auto"/>
      <w:outlineLvl w:val="1"/>
    </w:pPr>
    <w:rPr>
      <w:rFonts w:ascii="Arial" w:hAnsi="Arial" w:eastAsia="黑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2021-06-08T14:45:00Z</dcterms:created>
  <dc:creator>DaTou</dc:creator>
  <cp:lastModifiedBy>chloe</cp:lastModifiedBy>
  <dcterms:modified xsi:type="dcterms:W3CDTF">2024-07-08T10:53:00Z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D7AB45877E1E46A09E81C99C9796278F</vt:lpwstr>
  </property>
</Properties>
</file>