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明汇府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马田街道振兴路与富利南路交叉口。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合水口</w:t>
      </w:r>
      <w:r>
        <w:rPr>
          <w:rFonts w:hint="eastAsia" w:ascii="宋体" w:hAnsi="宋体" w:eastAsia="宋体"/>
          <w:sz w:val="24"/>
          <w:szCs w:val="24"/>
        </w:rPr>
        <w:t>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及公明广场站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700</w:t>
      </w:r>
      <w:r>
        <w:rPr>
          <w:rFonts w:hint="eastAsia" w:ascii="宋体" w:hAnsi="宋体" w:eastAsia="宋体"/>
          <w:sz w:val="24"/>
          <w:szCs w:val="24"/>
        </w:rPr>
        <w:t>米；附近公交站有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中粮云景广场</w:t>
      </w:r>
      <w:r>
        <w:rPr>
          <w:rFonts w:hint="eastAsia" w:ascii="宋体" w:hAnsi="宋体" w:eastAsia="宋体"/>
          <w:sz w:val="24"/>
          <w:szCs w:val="24"/>
        </w:rPr>
        <w:t>站（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M218</w:t>
      </w:r>
      <w:r>
        <w:rPr>
          <w:rFonts w:hint="eastAsia" w:ascii="宋体" w:hAnsi="宋体" w:eastAsia="宋体"/>
          <w:sz w:val="24"/>
          <w:szCs w:val="24"/>
        </w:rPr>
        <w:t>路、M234路、M2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/>
          <w:sz w:val="24"/>
          <w:szCs w:val="24"/>
        </w:rPr>
        <w:t>路、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M337路、P432</w:t>
      </w:r>
      <w:r>
        <w:rPr>
          <w:rFonts w:hint="eastAsia"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M548路</w:t>
      </w:r>
      <w:r>
        <w:rPr>
          <w:rFonts w:hint="eastAsia" w:ascii="宋体" w:hAnsi="宋体" w:eastAsia="宋体"/>
          <w:sz w:val="24"/>
          <w:szCs w:val="24"/>
        </w:rPr>
        <w:t>等）、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公明广场站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M234</w:t>
      </w:r>
      <w:r>
        <w:rPr>
          <w:rFonts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M337路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548</w:t>
      </w:r>
      <w:r>
        <w:rPr>
          <w:rFonts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</w:rPr>
        <w:t>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>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1.项目物业管理费：3.25元/㎡▪月，物业专项维修基金：0.25元/㎡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2052</w:t>
      </w:r>
      <w:r>
        <w:rPr>
          <w:rFonts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充电</w:t>
      </w:r>
      <w:r>
        <w:rPr>
          <w:rFonts w:hint="eastAsia" w:ascii="宋体" w:hAnsi="宋体" w:eastAsia="宋体"/>
          <w:sz w:val="24"/>
          <w:szCs w:val="24"/>
        </w:rPr>
        <w:t>停车位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499</w:t>
      </w:r>
      <w:r>
        <w:rPr>
          <w:rFonts w:hint="eastAsia"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，停车收费标准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暂未确定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ascii="宋体" w:hAnsi="宋体" w:eastAsia="宋体" w:cs="宋体"/>
          <w:sz w:val="24"/>
          <w:szCs w:val="24"/>
          <w:highlight w:val="none"/>
        </w:rPr>
        <w:t>0755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  <w:highlight w:val="none"/>
        </w:rPr>
        <w:t>88658536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或电磁炉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eastAsia="宋体"/>
          <w:sz w:val="24"/>
          <w:szCs w:val="24"/>
          <w:highlight w:val="none"/>
        </w:rPr>
        <w:t>本项目紧邻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振兴路</w:t>
      </w:r>
      <w:r>
        <w:rPr>
          <w:rFonts w:ascii="宋体" w:hAnsi="宋体" w:eastAsia="宋体"/>
          <w:sz w:val="24"/>
          <w:szCs w:val="24"/>
          <w:highlight w:val="none"/>
        </w:rPr>
        <w:t>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佳裕科技</w:t>
      </w:r>
      <w:r>
        <w:rPr>
          <w:rFonts w:ascii="宋体" w:hAnsi="宋体" w:eastAsia="宋体"/>
          <w:sz w:val="24"/>
          <w:szCs w:val="24"/>
          <w:highlight w:val="none"/>
        </w:rPr>
        <w:t>园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等</w:t>
      </w:r>
      <w:r>
        <w:rPr>
          <w:rFonts w:ascii="宋体" w:hAnsi="宋体" w:eastAsia="宋体"/>
          <w:sz w:val="24"/>
          <w:szCs w:val="24"/>
          <w:highlight w:val="none"/>
        </w:rPr>
        <w:t>，可能会面临噪音、震动和异味等影响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2.本项目回迁房在集中装修期，会有装修噪音施工等不利因素。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  <w:u w:val="single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0D97921"/>
    <w:rsid w:val="19CF6119"/>
    <w:rsid w:val="207F50E2"/>
    <w:rsid w:val="2A376107"/>
    <w:rsid w:val="2D6A2F45"/>
    <w:rsid w:val="2F186AD1"/>
    <w:rsid w:val="32D10198"/>
    <w:rsid w:val="3D5877B1"/>
    <w:rsid w:val="63035E78"/>
    <w:rsid w:val="6DAD3FCA"/>
    <w:rsid w:val="75B95F5A"/>
    <w:rsid w:val="7A716F34"/>
    <w:rsid w:val="7AA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857</Characters>
  <Lines>10</Lines>
  <Paragraphs>2</Paragraphs>
  <TotalTime>0</TotalTime>
  <ScaleCrop>false</ScaleCrop>
  <LinksUpToDate>false</LinksUpToDate>
  <CharactersWithSpaces>1115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Lenovo</cp:lastModifiedBy>
  <dcterms:modified xsi:type="dcterms:W3CDTF">2025-05-29T02:06:00Z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42D21C45B1ED44EE90CFDAE76B1EBFCC</vt:lpwstr>
  </property>
</Properties>
</file>